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55AABB">
      <w:pPr>
        <w:keepNext w:val="0"/>
        <w:keepLines w:val="0"/>
        <w:pageBreakBefore w:val="0"/>
        <w:widowControl w:val="0"/>
        <w:kinsoku/>
        <w:wordWrap/>
        <w:overflowPunct/>
        <w:topLinePunct w:val="0"/>
        <w:autoSpaceDE/>
        <w:autoSpaceDN/>
        <w:bidi w:val="0"/>
        <w:adjustRightInd/>
        <w:snapToGrid/>
        <w:spacing w:line="579"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鄂尔多斯市农牧局202</w:t>
      </w:r>
      <w:r>
        <w:rPr>
          <w:rFonts w:hint="eastAsia" w:ascii="方正小标宋简体" w:hAnsi="方正小标宋简体" w:eastAsia="方正小标宋简体" w:cs="方正小标宋简体"/>
          <w:sz w:val="44"/>
          <w:szCs w:val="44"/>
          <w:lang w:val="en-US" w:eastAsia="zh-CN"/>
        </w:rPr>
        <w:t>5</w:t>
      </w:r>
      <w:r>
        <w:rPr>
          <w:rFonts w:hint="eastAsia" w:ascii="方正小标宋简体" w:hAnsi="方正小标宋简体" w:eastAsia="方正小标宋简体" w:cs="方正小标宋简体"/>
          <w:sz w:val="44"/>
          <w:szCs w:val="44"/>
        </w:rPr>
        <w:t>年政府信息公开工作年度报告</w:t>
      </w:r>
    </w:p>
    <w:p w14:paraId="1BDACE67">
      <w:pPr>
        <w:keepNext w:val="0"/>
        <w:keepLines w:val="0"/>
        <w:pageBreakBefore w:val="0"/>
        <w:widowControl w:val="0"/>
        <w:kinsoku/>
        <w:wordWrap/>
        <w:overflowPunct/>
        <w:topLinePunct w:val="0"/>
        <w:autoSpaceDE/>
        <w:autoSpaceDN/>
        <w:bidi w:val="0"/>
        <w:adjustRightInd/>
        <w:snapToGrid/>
        <w:spacing w:line="579" w:lineRule="exact"/>
        <w:textAlignment w:val="auto"/>
        <w:rPr>
          <w:rFonts w:hint="eastAsia" w:ascii="仿宋_GB2312" w:hAnsi="仿宋_GB2312" w:eastAsia="仿宋_GB2312" w:cs="仿宋_GB2312"/>
          <w:sz w:val="32"/>
          <w:szCs w:val="32"/>
          <w:lang w:eastAsia="zh-CN"/>
        </w:rPr>
      </w:pPr>
    </w:p>
    <w:p w14:paraId="69B055F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根据《中华人民共和国政府信息公开条例》《国务院办公厅政府信息与政务公开办公室关于印发〈中华人民共和国政府信息公开工作年度报告格式〉的通知》要求，现将市农牧局202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年政府信息公开工作报告如下。本报告中所列数据的统计期限为202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年1月1日至202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年12月31日。如对本年度报告有疑问，请与鄂尔多斯市农牧局联系（电话：0477-8581900）。</w:t>
      </w:r>
    </w:p>
    <w:p w14:paraId="61C12A2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黑体" w:hAnsi="黑体" w:eastAsia="黑体" w:cs="黑体"/>
          <w:sz w:val="32"/>
          <w:szCs w:val="32"/>
        </w:rPr>
        <w:t>一、总体情况</w:t>
      </w:r>
    </w:p>
    <w:p w14:paraId="5574036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年，鄂尔多斯市农牧局坚持以习近平新时代中国特色社会主义思想为指导，深入贯彻党的二十大和二十届历次全会精神，及时准确地向社会公开政府信息</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以高质量政府信息公开助力推动“三农三牧”工作高质量发展。</w:t>
      </w:r>
    </w:p>
    <w:p w14:paraId="734F8185">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highlight w:val="none"/>
        </w:rPr>
      </w:pPr>
      <w:r>
        <w:rPr>
          <w:rFonts w:hint="eastAsia" w:ascii="楷体_GB2312" w:hAnsi="楷体_GB2312" w:eastAsia="楷体_GB2312" w:cs="楷体_GB2312"/>
          <w:sz w:val="32"/>
          <w:szCs w:val="32"/>
        </w:rPr>
        <w:t>（一）主动公开情况</w:t>
      </w:r>
      <w:r>
        <w:rPr>
          <w:rFonts w:hint="eastAsia" w:ascii="楷体_GB2312" w:hAnsi="楷体_GB2312" w:eastAsia="楷体_GB2312" w:cs="楷体_GB2312"/>
          <w:sz w:val="32"/>
          <w:szCs w:val="32"/>
          <w:lang w:eastAsia="zh-CN"/>
        </w:rPr>
        <w:t>。</w:t>
      </w:r>
      <w:r>
        <w:rPr>
          <w:rFonts w:hint="eastAsia" w:ascii="仿宋_GB2312" w:hAnsi="仿宋_GB2312" w:eastAsia="仿宋_GB2312" w:cs="仿宋_GB2312"/>
          <w:sz w:val="32"/>
          <w:szCs w:val="32"/>
          <w:lang w:eastAsia="zh-CN"/>
        </w:rPr>
        <w:t>鄂尔多斯市农牧局</w:t>
      </w:r>
      <w:r>
        <w:rPr>
          <w:rFonts w:hint="eastAsia" w:ascii="仿宋_GB2312" w:hAnsi="仿宋_GB2312" w:eastAsia="仿宋_GB2312" w:cs="仿宋_GB2312"/>
          <w:sz w:val="32"/>
          <w:szCs w:val="32"/>
          <w:lang w:val="en-US" w:eastAsia="zh-CN"/>
        </w:rPr>
        <w:t>门户网站发布信息1233条，其中信息公开93条。</w:t>
      </w:r>
      <w:r>
        <w:rPr>
          <w:rFonts w:hint="eastAsia" w:ascii="仿宋_GB2312" w:hAnsi="仿宋_GB2312" w:eastAsia="仿宋_GB2312" w:cs="仿宋_GB2312"/>
          <w:sz w:val="32"/>
          <w:szCs w:val="32"/>
          <w:highlight w:val="none"/>
        </w:rPr>
        <w:t>政务微信公众号发布信息</w:t>
      </w:r>
      <w:r>
        <w:rPr>
          <w:rFonts w:hint="eastAsia" w:ascii="仿宋_GB2312" w:hAnsi="仿宋_GB2312" w:eastAsia="仿宋_GB2312" w:cs="仿宋_GB2312"/>
          <w:sz w:val="32"/>
          <w:szCs w:val="32"/>
          <w:highlight w:val="none"/>
          <w:lang w:val="en-US" w:eastAsia="zh-CN"/>
        </w:rPr>
        <w:t>2063</w:t>
      </w:r>
      <w:r>
        <w:rPr>
          <w:rFonts w:hint="eastAsia" w:ascii="仿宋_GB2312" w:hAnsi="仿宋_GB2312" w:eastAsia="仿宋_GB2312" w:cs="仿宋_GB2312"/>
          <w:sz w:val="32"/>
          <w:szCs w:val="32"/>
          <w:highlight w:val="none"/>
        </w:rPr>
        <w:t>条</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highlight w:val="none"/>
          <w:lang w:val="en-US" w:eastAsia="zh-CN"/>
        </w:rPr>
        <w:t>12345市长热线</w:t>
      </w:r>
      <w:r>
        <w:rPr>
          <w:rFonts w:hint="eastAsia" w:ascii="仿宋_GB2312" w:hAnsi="仿宋_GB2312" w:eastAsia="仿宋_GB2312" w:cs="仿宋_GB2312"/>
          <w:sz w:val="32"/>
          <w:szCs w:val="32"/>
          <w:highlight w:val="none"/>
        </w:rPr>
        <w:t>全年共受理</w:t>
      </w:r>
      <w:r>
        <w:rPr>
          <w:rFonts w:hint="eastAsia" w:ascii="仿宋_GB2312" w:hAnsi="仿宋_GB2312" w:eastAsia="仿宋_GB2312" w:cs="仿宋_GB2312"/>
          <w:sz w:val="32"/>
          <w:szCs w:val="32"/>
          <w:highlight w:val="none"/>
          <w:lang w:val="en-US" w:eastAsia="zh-CN"/>
        </w:rPr>
        <w:t>22</w:t>
      </w:r>
      <w:r>
        <w:rPr>
          <w:rFonts w:hint="eastAsia" w:ascii="仿宋_GB2312" w:hAnsi="仿宋_GB2312" w:eastAsia="仿宋_GB2312" w:cs="仿宋_GB2312"/>
          <w:sz w:val="32"/>
          <w:szCs w:val="32"/>
          <w:highlight w:val="none"/>
        </w:rPr>
        <w:t>件次，办结率100%。</w:t>
      </w:r>
    </w:p>
    <w:p w14:paraId="5C3018BF">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（二）依申请公开情况。</w:t>
      </w:r>
      <w:r>
        <w:rPr>
          <w:rFonts w:hint="eastAsia" w:ascii="仿宋_GB2312" w:hAnsi="仿宋_GB2312" w:eastAsia="仿宋_GB2312" w:cs="仿宋_GB2312"/>
          <w:sz w:val="32"/>
          <w:szCs w:val="32"/>
        </w:rPr>
        <w:t>全年收到信息公开申请</w:t>
      </w:r>
      <w:r>
        <w:rPr>
          <w:rFonts w:hint="eastAsia" w:ascii="仿宋_GB2312" w:hAnsi="仿宋_GB2312" w:eastAsia="仿宋_GB2312" w:cs="仿宋_GB2312"/>
          <w:sz w:val="32"/>
          <w:szCs w:val="32"/>
          <w:highlight w:val="none"/>
          <w:lang w:val="en-US" w:eastAsia="zh-CN"/>
        </w:rPr>
        <w:t>8</w:t>
      </w:r>
      <w:r>
        <w:rPr>
          <w:rFonts w:hint="eastAsia" w:ascii="仿宋_GB2312" w:hAnsi="仿宋_GB2312" w:eastAsia="仿宋_GB2312" w:cs="仿宋_GB2312"/>
          <w:sz w:val="32"/>
          <w:szCs w:val="32"/>
        </w:rPr>
        <w:t>件，其中予以公开</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件，不予公开</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件，</w:t>
      </w:r>
      <w:r>
        <w:rPr>
          <w:rFonts w:hint="eastAsia" w:ascii="仿宋_GB2312" w:hAnsi="仿宋_GB2312" w:eastAsia="仿宋_GB2312" w:cs="仿宋_GB2312"/>
          <w:sz w:val="32"/>
          <w:szCs w:val="32"/>
          <w:lang w:val="en-US" w:eastAsia="zh-CN"/>
        </w:rPr>
        <w:t>无法提供2</w:t>
      </w:r>
      <w:r>
        <w:rPr>
          <w:rFonts w:hint="eastAsia" w:ascii="仿宋_GB2312" w:hAnsi="仿宋_GB2312" w:eastAsia="仿宋_GB2312" w:cs="仿宋_GB2312"/>
          <w:sz w:val="32"/>
          <w:szCs w:val="32"/>
        </w:rPr>
        <w:t>件，结转下年度继续办理</w:t>
      </w:r>
      <w:r>
        <w:rPr>
          <w:rFonts w:hint="eastAsia" w:ascii="仿宋_GB2312" w:hAnsi="仿宋_GB2312" w:eastAsia="仿宋_GB2312" w:cs="仿宋_GB2312"/>
          <w:sz w:val="32"/>
          <w:szCs w:val="32"/>
          <w:lang w:val="en-US" w:eastAsia="zh-CN"/>
        </w:rPr>
        <w:t>2件，</w:t>
      </w:r>
      <w:r>
        <w:rPr>
          <w:rFonts w:hint="eastAsia" w:ascii="仿宋_GB2312" w:hAnsi="仿宋_GB2312" w:eastAsia="仿宋_GB2312" w:cs="仿宋_GB2312"/>
          <w:sz w:val="32"/>
          <w:szCs w:val="32"/>
        </w:rPr>
        <w:t>均在法定期限内予以答复。</w:t>
      </w:r>
    </w:p>
    <w:p w14:paraId="21F0E0E4">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（三）政府信息管理情况。</w:t>
      </w:r>
      <w:r>
        <w:rPr>
          <w:rFonts w:hint="eastAsia" w:ascii="仿宋_GB2312" w:hAnsi="仿宋_GB2312" w:eastAsia="仿宋_GB2312" w:cs="仿宋_GB2312"/>
          <w:sz w:val="32"/>
          <w:szCs w:val="32"/>
        </w:rPr>
        <w:t>严格落实信息发布“三审三校”</w:t>
      </w:r>
      <w:r>
        <w:rPr>
          <w:rFonts w:hint="eastAsia" w:ascii="仿宋_GB2312" w:hAnsi="仿宋_GB2312" w:eastAsia="仿宋_GB2312" w:cs="仿宋_GB2312"/>
          <w:sz w:val="32"/>
          <w:szCs w:val="32"/>
          <w:lang w:val="en-US" w:eastAsia="zh-CN"/>
        </w:rPr>
        <w:t>制度，</w:t>
      </w:r>
      <w:r>
        <w:rPr>
          <w:rFonts w:hint="eastAsia" w:ascii="仿宋_GB2312" w:hAnsi="仿宋_GB2312" w:eastAsia="仿宋_GB2312" w:cs="仿宋_GB2312"/>
          <w:sz w:val="32"/>
          <w:szCs w:val="32"/>
        </w:rPr>
        <w:t>强化保密审核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内容审核</w:t>
      </w:r>
      <w:r>
        <w:rPr>
          <w:rFonts w:hint="eastAsia" w:ascii="仿宋_GB2312" w:hAnsi="仿宋_GB2312" w:eastAsia="仿宋_GB2312" w:cs="仿宋_GB2312"/>
          <w:sz w:val="32"/>
          <w:szCs w:val="32"/>
          <w:lang w:val="en-US" w:eastAsia="zh-CN"/>
        </w:rPr>
        <w:t>及</w:t>
      </w:r>
      <w:r>
        <w:rPr>
          <w:rFonts w:hint="eastAsia" w:ascii="仿宋_GB2312" w:hAnsi="仿宋_GB2312" w:eastAsia="仿宋_GB2312" w:cs="仿宋_GB2312"/>
          <w:sz w:val="32"/>
          <w:szCs w:val="32"/>
        </w:rPr>
        <w:t>合规性审核</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通过严格的审核机制，有效保障</w:t>
      </w:r>
      <w:r>
        <w:rPr>
          <w:rFonts w:hint="eastAsia" w:ascii="仿宋_GB2312" w:hAnsi="仿宋_GB2312" w:eastAsia="仿宋_GB2312" w:cs="仿宋_GB2312"/>
          <w:sz w:val="32"/>
          <w:szCs w:val="32"/>
          <w:lang w:val="en-US" w:eastAsia="zh-CN"/>
        </w:rPr>
        <w:t>了</w:t>
      </w:r>
      <w:r>
        <w:rPr>
          <w:rFonts w:hint="eastAsia" w:ascii="仿宋_GB2312" w:hAnsi="仿宋_GB2312" w:eastAsia="仿宋_GB2312" w:cs="仿宋_GB2312"/>
          <w:sz w:val="32"/>
          <w:szCs w:val="32"/>
        </w:rPr>
        <w:t>公开信息的权威性和公信力，全年未发生因信息发布不当引发的重大负面舆情或失泄密事件。</w:t>
      </w:r>
    </w:p>
    <w:p w14:paraId="4F26432E">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（四）政府信息公开平台建设情况。</w:t>
      </w:r>
      <w:r>
        <w:rPr>
          <w:rFonts w:hint="eastAsia" w:ascii="仿宋_GB2312" w:hAnsi="仿宋_GB2312" w:eastAsia="仿宋_GB2312" w:cs="仿宋_GB2312"/>
          <w:sz w:val="32"/>
          <w:szCs w:val="32"/>
          <w:lang w:val="en-US" w:eastAsia="zh-CN"/>
        </w:rPr>
        <w:t>一是</w:t>
      </w:r>
      <w:r>
        <w:rPr>
          <w:rFonts w:hint="eastAsia" w:ascii="仿宋_GB2312" w:hAnsi="仿宋_GB2312" w:eastAsia="仿宋_GB2312" w:cs="仿宋_GB2312"/>
          <w:sz w:val="32"/>
          <w:szCs w:val="32"/>
        </w:rPr>
        <w:t>强化局门户网站信息公开第一平台功能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做好网站内容保障与安全运维</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不断丰富内容板块</w:t>
      </w:r>
      <w:r>
        <w:rPr>
          <w:rFonts w:hint="eastAsia" w:ascii="仿宋_GB2312" w:hAnsi="仿宋_GB2312" w:eastAsia="仿宋_GB2312" w:cs="仿宋_GB2312"/>
          <w:sz w:val="32"/>
          <w:szCs w:val="32"/>
        </w:rPr>
        <w:t>，提升</w:t>
      </w:r>
      <w:r>
        <w:rPr>
          <w:rFonts w:hint="eastAsia" w:ascii="仿宋_GB2312" w:hAnsi="仿宋_GB2312" w:eastAsia="仿宋_GB2312" w:cs="仿宋_GB2312"/>
          <w:sz w:val="32"/>
          <w:szCs w:val="32"/>
          <w:lang w:val="en-US" w:eastAsia="zh-CN"/>
        </w:rPr>
        <w:t>群众满意度</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二是</w:t>
      </w:r>
      <w:r>
        <w:rPr>
          <w:rFonts w:hint="eastAsia" w:ascii="仿宋_GB2312" w:hAnsi="仿宋_GB2312" w:eastAsia="仿宋_GB2312" w:cs="仿宋_GB2312"/>
          <w:sz w:val="32"/>
          <w:szCs w:val="32"/>
        </w:rPr>
        <w:t>政务新媒体协同发展</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规范运营“鄂尔多斯</w:t>
      </w:r>
      <w:r>
        <w:rPr>
          <w:rFonts w:hint="eastAsia" w:ascii="仿宋_GB2312" w:hAnsi="仿宋_GB2312" w:eastAsia="仿宋_GB2312" w:cs="仿宋_GB2312"/>
          <w:sz w:val="32"/>
          <w:szCs w:val="32"/>
          <w:lang w:val="en-US" w:eastAsia="zh-CN"/>
        </w:rPr>
        <w:t>市农牧局</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微信公众号</w:t>
      </w:r>
      <w:r>
        <w:rPr>
          <w:rFonts w:hint="eastAsia" w:ascii="仿宋_GB2312" w:hAnsi="仿宋_GB2312" w:eastAsia="仿宋_GB2312" w:cs="仿宋_GB2312"/>
          <w:sz w:val="32"/>
          <w:szCs w:val="32"/>
        </w:rPr>
        <w:t>，加强与门户网站联动，及时发布权威信息，提供便捷政务服务，增强互动交流。</w:t>
      </w:r>
    </w:p>
    <w:p w14:paraId="76C08E9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楷体_GB2312" w:hAnsi="楷体_GB2312" w:eastAsia="楷体_GB2312" w:cs="楷体_GB2312"/>
          <w:sz w:val="32"/>
          <w:szCs w:val="32"/>
        </w:rPr>
        <w:t>（五）监督保障情况。</w:t>
      </w:r>
      <w:r>
        <w:rPr>
          <w:rFonts w:hint="eastAsia" w:ascii="仿宋_GB2312" w:hAnsi="仿宋_GB2312" w:eastAsia="仿宋_GB2312" w:cs="仿宋_GB2312"/>
          <w:sz w:val="32"/>
          <w:szCs w:val="32"/>
        </w:rPr>
        <w:t>加强</w:t>
      </w:r>
      <w:r>
        <w:rPr>
          <w:rFonts w:hint="eastAsia" w:ascii="仿宋_GB2312" w:hAnsi="仿宋_GB2312" w:eastAsia="仿宋_GB2312" w:cs="仿宋_GB2312"/>
          <w:sz w:val="32"/>
          <w:szCs w:val="32"/>
          <w:lang w:val="en-US" w:eastAsia="zh-CN"/>
        </w:rPr>
        <w:t>组织领导</w:t>
      </w:r>
      <w:r>
        <w:rPr>
          <w:rFonts w:hint="eastAsia" w:ascii="仿宋_GB2312" w:hAnsi="仿宋_GB2312" w:eastAsia="仿宋_GB2312" w:cs="仿宋_GB2312"/>
          <w:sz w:val="32"/>
          <w:szCs w:val="32"/>
        </w:rPr>
        <w:t>，由局办公室承担统筹协调与指导督促的主体责任，指定</w:t>
      </w:r>
      <w:r>
        <w:rPr>
          <w:rFonts w:hint="eastAsia" w:ascii="仿宋_GB2312" w:hAnsi="仿宋_GB2312" w:eastAsia="仿宋_GB2312" w:cs="仿宋_GB2312"/>
          <w:sz w:val="32"/>
          <w:szCs w:val="32"/>
          <w:lang w:val="en-US" w:eastAsia="zh-CN"/>
        </w:rPr>
        <w:t>专职人员</w:t>
      </w:r>
      <w:r>
        <w:rPr>
          <w:rFonts w:hint="eastAsia" w:ascii="仿宋_GB2312" w:hAnsi="仿宋_GB2312" w:eastAsia="仿宋_GB2312" w:cs="仿宋_GB2312"/>
          <w:sz w:val="32"/>
          <w:szCs w:val="32"/>
        </w:rPr>
        <w:t>具体负责日常信息公开事务及依申请公开的及时规范答复。同时，坚持遵循政府信息公开工作的制度规范与流程要求，确保所发布信息内容准确可靠、安全合规。</w:t>
      </w:r>
    </w:p>
    <w:p w14:paraId="724E62F2">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firstLine="640" w:firstLineChars="200"/>
        <w:jc w:val="both"/>
        <w:textAlignment w:val="auto"/>
        <w:rPr>
          <w:rFonts w:hint="eastAsia" w:ascii="宋体" w:hAnsi="宋体" w:eastAsia="宋体" w:cs="宋体"/>
        </w:rPr>
      </w:pPr>
      <w:r>
        <w:rPr>
          <w:rFonts w:hint="eastAsia" w:ascii="黑体" w:hAnsi="黑体" w:eastAsia="黑体" w:cs="黑体"/>
          <w:b w:val="0"/>
          <w:bCs w:val="0"/>
          <w:sz w:val="32"/>
          <w:szCs w:val="32"/>
        </w:rPr>
        <w:t>二、主动公开政府信息情况</w:t>
      </w:r>
    </w:p>
    <w:tbl>
      <w:tblPr>
        <w:tblStyle w:val="3"/>
        <w:tblW w:w="97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435"/>
        <w:gridCol w:w="2435"/>
        <w:gridCol w:w="2435"/>
        <w:gridCol w:w="2435"/>
      </w:tblGrid>
      <w:tr w14:paraId="74EBFC8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9740" w:type="dxa"/>
            <w:gridSpan w:val="4"/>
            <w:tcBorders>
              <w:top w:val="single" w:color="auto" w:sz="8" w:space="0"/>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0BB11DE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第二十条第（一）项</w:t>
            </w:r>
          </w:p>
        </w:tc>
      </w:tr>
      <w:tr w14:paraId="08AF37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DFEA0E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2435"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538D6A4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本年</w:t>
            </w:r>
            <w:r>
              <w:rPr>
                <w:rFonts w:hint="eastAsia" w:ascii="宋体" w:hAnsi="宋体" w:eastAsia="宋体" w:cs="宋体"/>
                <w:kern w:val="0"/>
                <w:sz w:val="20"/>
                <w:szCs w:val="20"/>
                <w:lang w:val="en-US" w:eastAsia="zh-CN" w:bidi="ar"/>
              </w:rPr>
              <w:t>制发件数</w:t>
            </w:r>
          </w:p>
        </w:tc>
        <w:tc>
          <w:tcPr>
            <w:tcW w:w="2435"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9CE3A8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本年废止件数</w:t>
            </w:r>
          </w:p>
        </w:tc>
        <w:tc>
          <w:tcPr>
            <w:tcW w:w="2435"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1E0C4A9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现行有效件</w:t>
            </w:r>
            <w:r>
              <w:rPr>
                <w:rFonts w:hint="eastAsia" w:ascii="宋体" w:hAnsi="宋体" w:eastAsia="宋体" w:cs="宋体"/>
                <w:kern w:val="0"/>
                <w:sz w:val="20"/>
                <w:szCs w:val="20"/>
                <w:lang w:val="en-US" w:eastAsia="zh-CN" w:bidi="ar"/>
              </w:rPr>
              <w:t>数</w:t>
            </w:r>
          </w:p>
        </w:tc>
      </w:tr>
      <w:tr w14:paraId="5E7DE5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4B3941E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bookmarkStart w:id="0" w:name="_GoBack" w:colFirst="1" w:colLast="3"/>
            <w:r>
              <w:rPr>
                <w:rFonts w:hint="eastAsia" w:ascii="宋体" w:hAnsi="宋体" w:eastAsia="宋体" w:cs="宋体"/>
                <w:color w:val="000000"/>
                <w:kern w:val="0"/>
                <w:sz w:val="20"/>
                <w:szCs w:val="20"/>
                <w:lang w:val="en-US" w:eastAsia="zh-CN" w:bidi="ar"/>
              </w:rPr>
              <w:t>规章</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B4E6AF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7502CA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952E19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lang w:val="en-US" w:eastAsia="zh-CN"/>
              </w:rPr>
            </w:pPr>
            <w:r>
              <w:rPr>
                <w:rFonts w:hint="eastAsia" w:ascii="宋体"/>
                <w:sz w:val="24"/>
                <w:szCs w:val="24"/>
                <w:lang w:val="en-US" w:eastAsia="zh-CN"/>
              </w:rPr>
              <w:t>0</w:t>
            </w:r>
          </w:p>
        </w:tc>
      </w:tr>
      <w:tr w14:paraId="532B53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123C9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行政规范性文件</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1895BB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default" w:ascii="宋体"/>
                <w:sz w:val="24"/>
                <w:szCs w:val="24"/>
                <w:lang w:val="en-US" w:eastAsia="zh-CN"/>
              </w:rPr>
            </w:pPr>
            <w:r>
              <w:rPr>
                <w:rFonts w:hint="eastAsia" w:ascii="宋体"/>
                <w:sz w:val="24"/>
                <w:szCs w:val="24"/>
                <w:lang w:val="en-US" w:eastAsia="zh-CN"/>
              </w:rPr>
              <w:t>2</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A2896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default" w:ascii="宋体"/>
                <w:sz w:val="24"/>
                <w:szCs w:val="24"/>
                <w:lang w:val="en-US" w:eastAsia="zh-CN"/>
              </w:rPr>
            </w:pPr>
            <w:r>
              <w:rPr>
                <w:rFonts w:hint="eastAsia" w:ascii="宋体"/>
                <w:sz w:val="24"/>
                <w:szCs w:val="24"/>
                <w:lang w:val="en-US" w:eastAsia="zh-CN"/>
              </w:rPr>
              <w:t>0</w:t>
            </w:r>
          </w:p>
        </w:tc>
        <w:tc>
          <w:tcPr>
            <w:tcW w:w="2435"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B32899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lang w:val="en-US" w:eastAsia="zh-CN"/>
              </w:rPr>
            </w:pPr>
            <w:r>
              <w:rPr>
                <w:rFonts w:hint="eastAsia" w:ascii="宋体"/>
                <w:sz w:val="24"/>
                <w:szCs w:val="24"/>
                <w:lang w:val="en-US" w:eastAsia="zh-CN"/>
              </w:rPr>
              <w:t>8</w:t>
            </w:r>
          </w:p>
        </w:tc>
      </w:tr>
      <w:bookmarkEnd w:id="0"/>
      <w:tr w14:paraId="08D30F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7043679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第二十条第（五）项</w:t>
            </w:r>
          </w:p>
        </w:tc>
      </w:tr>
      <w:tr w14:paraId="28E8C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3D3527D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324FAF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2B600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2CF62FA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行政许可</w:t>
            </w:r>
          </w:p>
        </w:tc>
        <w:tc>
          <w:tcPr>
            <w:tcW w:w="7305" w:type="dxa"/>
            <w:gridSpan w:val="3"/>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36BF1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6</w:t>
            </w:r>
          </w:p>
        </w:tc>
      </w:tr>
      <w:tr w14:paraId="37782A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445A117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第二十条第（六）项</w:t>
            </w:r>
          </w:p>
        </w:tc>
      </w:tr>
      <w:tr w14:paraId="2EA5BD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76C0A0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BDD83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color w:val="000000"/>
                <w:kern w:val="0"/>
                <w:sz w:val="20"/>
                <w:szCs w:val="20"/>
                <w:lang w:val="en-US" w:eastAsia="zh-CN" w:bidi="ar"/>
              </w:rPr>
              <w:t>本年处理决定数量</w:t>
            </w:r>
          </w:p>
        </w:tc>
      </w:tr>
      <w:tr w14:paraId="1FCEE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65A90B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行政处罚</w:t>
            </w:r>
          </w:p>
        </w:tc>
        <w:tc>
          <w:tcPr>
            <w:tcW w:w="7305" w:type="dxa"/>
            <w:gridSpan w:val="3"/>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BF4A81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rPr>
                <w:rFonts w:hint="default"/>
                <w:lang w:val="en-US"/>
              </w:rPr>
            </w:pPr>
            <w:r>
              <w:rPr>
                <w:rFonts w:hint="eastAsia" w:ascii="宋体" w:hAnsi="宋体" w:eastAsia="宋体" w:cs="宋体"/>
                <w:color w:val="000000"/>
                <w:kern w:val="0"/>
                <w:sz w:val="20"/>
                <w:szCs w:val="20"/>
                <w:lang w:val="en-US" w:eastAsia="zh-CN" w:bidi="ar"/>
              </w:rPr>
              <w:t>1</w:t>
            </w:r>
          </w:p>
        </w:tc>
      </w:tr>
      <w:tr w14:paraId="3079E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5CB6E8A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行政强制</w:t>
            </w:r>
          </w:p>
        </w:tc>
        <w:tc>
          <w:tcPr>
            <w:tcW w:w="7305" w:type="dxa"/>
            <w:gridSpan w:val="3"/>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F08420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rPr>
                <w:rFonts w:hint="default"/>
                <w:lang w:val="en-US"/>
              </w:rPr>
            </w:pPr>
            <w:r>
              <w:rPr>
                <w:rFonts w:hint="eastAsia" w:ascii="宋体" w:hAnsi="宋体" w:eastAsia="宋体" w:cs="宋体"/>
                <w:color w:val="000000"/>
                <w:kern w:val="0"/>
                <w:sz w:val="20"/>
                <w:szCs w:val="20"/>
                <w:lang w:val="en-US" w:eastAsia="zh-CN" w:bidi="ar"/>
              </w:rPr>
              <w:t>0</w:t>
            </w:r>
          </w:p>
        </w:tc>
      </w:tr>
      <w:tr w14:paraId="61E1F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9740" w:type="dxa"/>
            <w:gridSpan w:val="4"/>
            <w:tcBorders>
              <w:top w:val="nil"/>
              <w:left w:val="single" w:color="auto" w:sz="8" w:space="0"/>
              <w:bottom w:val="single" w:color="auto" w:sz="8" w:space="0"/>
              <w:right w:val="single" w:color="auto" w:sz="8" w:space="0"/>
            </w:tcBorders>
            <w:shd w:val="clear" w:color="auto" w:fill="C6D9F1"/>
            <w:tcMar>
              <w:top w:w="0" w:type="dxa"/>
              <w:left w:w="57" w:type="dxa"/>
              <w:bottom w:w="0" w:type="dxa"/>
              <w:right w:w="57" w:type="dxa"/>
            </w:tcMar>
            <w:vAlign w:val="center"/>
          </w:tcPr>
          <w:p w14:paraId="2985AE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第二十条第（八）项</w:t>
            </w:r>
          </w:p>
        </w:tc>
      </w:tr>
      <w:tr w14:paraId="5D6BE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170F01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信息内容</w:t>
            </w:r>
          </w:p>
        </w:tc>
        <w:tc>
          <w:tcPr>
            <w:tcW w:w="7305" w:type="dxa"/>
            <w:gridSpan w:val="3"/>
            <w:tcBorders>
              <w:top w:val="nil"/>
              <w:left w:val="nil"/>
              <w:bottom w:val="single" w:color="auto" w:sz="8" w:space="0"/>
              <w:right w:val="single" w:color="000000" w:sz="8" w:space="0"/>
            </w:tcBorders>
            <w:shd w:val="clear" w:color="auto" w:fill="auto"/>
            <w:tcMar>
              <w:top w:w="0" w:type="dxa"/>
              <w:left w:w="57" w:type="dxa"/>
              <w:bottom w:w="0" w:type="dxa"/>
              <w:right w:w="57" w:type="dxa"/>
            </w:tcMar>
            <w:vAlign w:val="center"/>
          </w:tcPr>
          <w:p w14:paraId="2372884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本年收费金额（单位：万元）</w:t>
            </w:r>
          </w:p>
        </w:tc>
      </w:tr>
      <w:tr w14:paraId="39D8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340" w:hRule="atLeast"/>
          <w:jc w:val="center"/>
        </w:trPr>
        <w:tc>
          <w:tcPr>
            <w:tcW w:w="2435" w:type="dxa"/>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397A73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color w:val="000000"/>
                <w:kern w:val="0"/>
                <w:sz w:val="20"/>
                <w:szCs w:val="20"/>
                <w:lang w:val="en-US" w:eastAsia="zh-CN" w:bidi="ar"/>
              </w:rPr>
              <w:t>行政事业性收费</w:t>
            </w:r>
          </w:p>
        </w:tc>
        <w:tc>
          <w:tcPr>
            <w:tcW w:w="7305" w:type="dxa"/>
            <w:gridSpan w:val="3"/>
            <w:tcBorders>
              <w:top w:val="nil"/>
              <w:left w:val="nil"/>
              <w:bottom w:val="single" w:color="auto" w:sz="8" w:space="0"/>
              <w:right w:val="single" w:color="000000" w:sz="8" w:space="0"/>
            </w:tcBorders>
            <w:shd w:val="clear" w:color="auto" w:fill="auto"/>
            <w:tcMar>
              <w:top w:w="0" w:type="dxa"/>
              <w:left w:w="57" w:type="dxa"/>
              <w:bottom w:w="0" w:type="dxa"/>
              <w:right w:w="57" w:type="dxa"/>
            </w:tcMar>
            <w:vAlign w:val="center"/>
          </w:tcPr>
          <w:p w14:paraId="122EEDB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67AD6CE5">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right="0" w:firstLine="320" w:firstLineChars="100"/>
        <w:jc w:val="both"/>
        <w:textAlignment w:val="auto"/>
        <w:rPr>
          <w:rFonts w:hint="eastAsia" w:ascii="宋体" w:hAnsi="宋体" w:eastAsia="宋体" w:cs="宋体"/>
        </w:rPr>
      </w:pPr>
      <w:r>
        <w:rPr>
          <w:rFonts w:hint="eastAsia" w:ascii="黑体" w:hAnsi="黑体" w:eastAsia="黑体" w:cs="黑体"/>
          <w:b w:val="0"/>
          <w:bCs w:val="0"/>
          <w:sz w:val="32"/>
          <w:szCs w:val="32"/>
          <w:lang w:eastAsia="zh-CN"/>
        </w:rPr>
        <w:t>三、</w:t>
      </w:r>
      <w:r>
        <w:rPr>
          <w:rFonts w:hint="eastAsia" w:ascii="黑体" w:hAnsi="黑体" w:eastAsia="黑体" w:cs="黑体"/>
          <w:b w:val="0"/>
          <w:bCs w:val="0"/>
          <w:sz w:val="32"/>
          <w:szCs w:val="32"/>
        </w:rPr>
        <w:t>收到和处理政府信息公开申请情况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68"/>
        <w:gridCol w:w="943"/>
        <w:gridCol w:w="3220"/>
        <w:gridCol w:w="688"/>
        <w:gridCol w:w="688"/>
        <w:gridCol w:w="688"/>
        <w:gridCol w:w="688"/>
        <w:gridCol w:w="688"/>
        <w:gridCol w:w="688"/>
        <w:gridCol w:w="689"/>
      </w:tblGrid>
      <w:tr w14:paraId="665358F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5150" w:type="dxa"/>
            <w:gridSpan w:val="3"/>
            <w:vMerge w:val="restart"/>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4FB5ED9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楷体" w:hAnsi="楷体" w:eastAsia="楷体" w:cs="楷体"/>
                <w:kern w:val="0"/>
                <w:sz w:val="20"/>
                <w:szCs w:val="20"/>
                <w:lang w:val="en-US" w:eastAsia="zh-CN" w:bidi="ar"/>
              </w:rPr>
              <w:t>（本列数据的勾稽关系为：第一项加第二项之和，等于第三项加第四项之和）</w:t>
            </w:r>
          </w:p>
        </w:tc>
        <w:tc>
          <w:tcPr>
            <w:tcW w:w="4998" w:type="dxa"/>
            <w:gridSpan w:val="7"/>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9ADA9F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申请人情况</w:t>
            </w:r>
          </w:p>
        </w:tc>
      </w:tr>
      <w:tr w14:paraId="796202D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317B869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714" w:type="dxa"/>
            <w:vMerge w:val="restart"/>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3F47B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自然人</w:t>
            </w:r>
          </w:p>
        </w:tc>
        <w:tc>
          <w:tcPr>
            <w:tcW w:w="3570" w:type="dxa"/>
            <w:gridSpan w:val="5"/>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3CA94D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法人或其他组织</w:t>
            </w:r>
          </w:p>
        </w:tc>
        <w:tc>
          <w:tcPr>
            <w:tcW w:w="714" w:type="dxa"/>
            <w:vMerge w:val="restart"/>
            <w:tcBorders>
              <w:top w:val="single" w:color="auto" w:sz="8" w:space="0"/>
              <w:left w:val="nil"/>
              <w:bottom w:val="outset" w:color="auto" w:sz="8" w:space="0"/>
              <w:right w:val="single" w:color="auto" w:sz="8" w:space="0"/>
            </w:tcBorders>
            <w:shd w:val="clear" w:color="auto" w:fill="auto"/>
            <w:tcMar>
              <w:top w:w="0" w:type="dxa"/>
              <w:left w:w="57" w:type="dxa"/>
              <w:bottom w:w="0" w:type="dxa"/>
              <w:right w:w="57" w:type="dxa"/>
            </w:tcMar>
            <w:vAlign w:val="center"/>
          </w:tcPr>
          <w:p w14:paraId="6EFFC0B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总计</w:t>
            </w:r>
          </w:p>
        </w:tc>
      </w:tr>
      <w:tr w14:paraId="136E3DD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vMerge w:val="continue"/>
            <w:tcBorders>
              <w:top w:val="single" w:color="auto" w:sz="8" w:space="0"/>
              <w:left w:val="single" w:color="auto" w:sz="8" w:space="0"/>
              <w:bottom w:val="outset" w:color="auto" w:sz="8" w:space="0"/>
              <w:right w:val="single" w:color="auto" w:sz="8" w:space="0"/>
            </w:tcBorders>
            <w:shd w:val="clear" w:color="auto" w:fill="auto"/>
            <w:tcMar>
              <w:top w:w="0" w:type="dxa"/>
              <w:left w:w="108" w:type="dxa"/>
              <w:bottom w:w="0" w:type="dxa"/>
              <w:right w:w="108" w:type="dxa"/>
            </w:tcMar>
            <w:vAlign w:val="center"/>
          </w:tcPr>
          <w:p w14:paraId="54C38CE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714" w:type="dxa"/>
            <w:vMerge w:val="continue"/>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F5685D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CE87D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商业</w:t>
            </w:r>
          </w:p>
          <w:p w14:paraId="2DA31E0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企业</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8B91A48">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科研</w:t>
            </w:r>
          </w:p>
          <w:p w14:paraId="7E04337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机构</w:t>
            </w:r>
          </w:p>
        </w:tc>
        <w:tc>
          <w:tcPr>
            <w:tcW w:w="714"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5B0034B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社会公益组织</w:t>
            </w:r>
          </w:p>
        </w:tc>
        <w:tc>
          <w:tcPr>
            <w:tcW w:w="714"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53DF9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法律服务机构</w:t>
            </w:r>
          </w:p>
        </w:tc>
        <w:tc>
          <w:tcPr>
            <w:tcW w:w="714"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2DA814C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其他</w:t>
            </w:r>
          </w:p>
        </w:tc>
        <w:tc>
          <w:tcPr>
            <w:tcW w:w="714" w:type="dxa"/>
            <w:vMerge w:val="continue"/>
            <w:tcBorders>
              <w:top w:val="single" w:color="auto" w:sz="8" w:space="0"/>
              <w:left w:val="nil"/>
              <w:bottom w:val="outset" w:color="auto" w:sz="8" w:space="0"/>
              <w:right w:val="single" w:color="auto" w:sz="8" w:space="0"/>
            </w:tcBorders>
            <w:shd w:val="clear" w:color="auto" w:fill="auto"/>
            <w:tcMar>
              <w:top w:w="0" w:type="dxa"/>
              <w:left w:w="57" w:type="dxa"/>
              <w:bottom w:w="0" w:type="dxa"/>
              <w:right w:w="57" w:type="dxa"/>
            </w:tcMar>
            <w:vAlign w:val="center"/>
          </w:tcPr>
          <w:p w14:paraId="6242CDA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r>
      <w:tr w14:paraId="5486077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D0D6C6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一、本年新收政府信息公开申请数量</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CAB035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8</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93D18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8A63A2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0088D0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D65037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3DE486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C57962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8</w:t>
            </w:r>
          </w:p>
        </w:tc>
      </w:tr>
      <w:tr w14:paraId="5B0A0F90">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722CBBB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二、上年结转政府信息公开申请数量</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807294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00FFFE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61204D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E89BEB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5A84FD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443A5F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F08C39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50B64A5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restart"/>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0C63FE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三、本年度办理结果</w:t>
            </w:r>
          </w:p>
        </w:tc>
        <w:tc>
          <w:tcPr>
            <w:tcW w:w="4365" w:type="dxa"/>
            <w:gridSpan w:val="2"/>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6E4CAE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（一）予以公开</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C1AC8D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1</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83A5A8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687A1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843642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2414F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CAE254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0B131FE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1</w:t>
            </w:r>
          </w:p>
        </w:tc>
      </w:tr>
      <w:tr w14:paraId="17024B55">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4A0DC2E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97BA0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（二）部分公开</w:t>
            </w:r>
            <w:r>
              <w:rPr>
                <w:rFonts w:hint="eastAsia" w:ascii="楷体" w:hAnsi="楷体" w:eastAsia="楷体" w:cs="楷体"/>
                <w:kern w:val="0"/>
                <w:sz w:val="20"/>
                <w:szCs w:val="20"/>
                <w:lang w:val="en-US" w:eastAsia="zh-CN" w:bidi="ar"/>
              </w:rPr>
              <w:t>（区分处理的，只计这一情形，不计其他情形）</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19928B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FD63E2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F8DA0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2CC76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B19862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6A4B4D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718DD0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7A9920A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2D16398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57B212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（三）不予公开</w:t>
            </w: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7F2A5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1.属于国家秘密</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3BD863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3</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C436F3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E7C39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6F95E4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39A8E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7F6F3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single" w:color="auto" w:sz="8" w:space="0"/>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0A88C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3</w:t>
            </w:r>
          </w:p>
        </w:tc>
      </w:tr>
      <w:tr w14:paraId="63A9395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738F537">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2AED1AC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C60B3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2.其他法律行政法规禁止公开</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D1E77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450ACD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2793B5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BB0E9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147D62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3C288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58999E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41565BF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0CCDAA3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26741CD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61842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3.危及“三安全一稳定”</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E32683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836D43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32E325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B17678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280F08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D4AC3E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06A5B7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2102663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19F2E3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23E6CA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A4988B1">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4.保护第三方合法权益</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2EA7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96AF0A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997B51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3D32FA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F913A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1A12C8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A78130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746DCCA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3B06695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7F91F6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D05AE2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5.属于三类内部事务信息</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09E4E1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CE2F1F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62D72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BA7DD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DE52D8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020668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73252A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76C2D28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2E2A437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1AB2EE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848862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6.属于四类过程性信息</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85EDD2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C8F59F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77997B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00B525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E1D8BC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3C6B3C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AC326B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1A226DD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3E87AEA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784B44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187288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7.属于行政执法案卷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A65B6C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7D0C25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92D1CE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4D4E54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E4B44C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C5C47B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8C3E42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7803839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659D2DF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43F01B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04EA81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8.属于行政查询事项</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4C80A7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03B516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C58F6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24B506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3AD11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DD47E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A9629F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58A96D1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1F2263B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62CDA04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（四）无法提供</w:t>
            </w: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D955B79">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1.本机关不掌握相关政府信息</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F57805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2</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EC25A1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60EC89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CAF586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176E86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6FE11A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EE391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2</w:t>
            </w:r>
          </w:p>
        </w:tc>
      </w:tr>
      <w:tr w14:paraId="32F908E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2757D43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29F62F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B892DE">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2.没有现成信息需要另行制作</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737772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6C1200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453733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DD3020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B8A198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EEB4A5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9CB99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4E01BDB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B69C607">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E5768A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2CEA00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3.补正后申请内容仍不明确</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447F98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A87465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D85612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F6CF4C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08A9A6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78585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818509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4855DF4B">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16C1D85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restart"/>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36D3E2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（五）不予处理</w:t>
            </w: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BD079A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1.信访举报投诉类申请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792844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7FE3A2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688980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2D820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68BA8F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57CD0D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BF015F7">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21CDC2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532B4D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5AEA83B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BD1363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2.重复申请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7301C7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2E263C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978904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8BFECFB">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0973A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ED5147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9F3F2B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0094254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45438E4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E07DC3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D11A1B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3.要求提供公开出版物</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5CA61B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203ABA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AC4354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20CA74A">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8DBAFA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6BC1B2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431265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6BA7C60F">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5425A8F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FFA912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668863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4.无正当理由大量反复申请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4A429D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BED0A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1FCC2F7">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B28BA9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7B5B3E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D9575C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7827577">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26DAE78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trHeight w:val="779" w:hRule="atLeast"/>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252DD194">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675DAA0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16EDF94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5.要求行政机关确认或重新出具已获取信息</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51962E0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8E95C1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5DC69B6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02D84D7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6176657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7F7DAA5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outset" w:color="auto" w:sz="8" w:space="0"/>
              <w:right w:val="single" w:color="auto" w:sz="8" w:space="0"/>
            </w:tcBorders>
            <w:shd w:val="clear" w:color="auto" w:fill="auto"/>
            <w:tcMar>
              <w:top w:w="0" w:type="dxa"/>
              <w:left w:w="57" w:type="dxa"/>
              <w:bottom w:w="0" w:type="dxa"/>
              <w:right w:w="57" w:type="dxa"/>
            </w:tcMar>
            <w:vAlign w:val="center"/>
          </w:tcPr>
          <w:p w14:paraId="486A0EB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145B7EC3">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5FFD4FB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restart"/>
            <w:tcBorders>
              <w:top w:val="outset" w:color="auto" w:sz="8" w:space="0"/>
              <w:left w:val="nil"/>
              <w:bottom w:val="outset" w:color="auto" w:sz="8" w:space="0"/>
              <w:right w:val="single" w:color="auto" w:sz="8" w:space="0"/>
            </w:tcBorders>
            <w:shd w:val="clear" w:color="auto" w:fill="auto"/>
            <w:tcMar>
              <w:top w:w="0" w:type="dxa"/>
              <w:left w:w="57" w:type="dxa"/>
              <w:bottom w:w="0" w:type="dxa"/>
              <w:right w:w="57" w:type="dxa"/>
            </w:tcMar>
            <w:vAlign w:val="center"/>
          </w:tcPr>
          <w:p w14:paraId="76D0B17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（六）其他处理</w:t>
            </w: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E182DA">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1.申请人无正当理由逾期不补正、行政机关不再处理其政府信息公开申请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F51CA3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E9C917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B811AB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FA4CBD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7DEB65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FE776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427C6D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6C7247B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704E8E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shd w:val="clear" w:color="auto" w:fill="auto"/>
            <w:tcMar>
              <w:top w:w="0" w:type="dxa"/>
              <w:left w:w="57" w:type="dxa"/>
              <w:bottom w:w="0" w:type="dxa"/>
              <w:right w:w="57" w:type="dxa"/>
            </w:tcMar>
            <w:vAlign w:val="center"/>
          </w:tcPr>
          <w:p w14:paraId="163DA9E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3521D5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rPr>
                <w:rFonts w:hint="default"/>
                <w:lang w:val="en-US"/>
              </w:rPr>
            </w:pPr>
            <w:r>
              <w:rPr>
                <w:rFonts w:hint="eastAsia" w:ascii="宋体" w:hAnsi="宋体" w:eastAsia="宋体" w:cs="宋体"/>
                <w:kern w:val="0"/>
                <w:sz w:val="20"/>
                <w:szCs w:val="20"/>
                <w:lang w:val="en-US" w:eastAsia="zh-CN" w:bidi="ar"/>
              </w:rPr>
              <w:t>2.申请人逾期未按收费通知要求缴纳费用、行政机关不再处理其政府信息公开申请</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79391E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14032E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0016BE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FB9989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658D3A2">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06CDF4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656660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仿宋_GB2312" w:hAnsi="宋体" w:eastAsia="仿宋_GB2312"/>
                <w:kern w:val="0"/>
                <w:sz w:val="24"/>
              </w:rPr>
              <w:t>0</w:t>
            </w:r>
          </w:p>
        </w:tc>
      </w:tr>
      <w:tr w14:paraId="35DBC3C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B181A3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959" w:type="dxa"/>
            <w:vMerge w:val="continue"/>
            <w:tcBorders>
              <w:top w:val="outset" w:color="auto" w:sz="8" w:space="0"/>
              <w:left w:val="nil"/>
              <w:bottom w:val="outset" w:color="auto" w:sz="8" w:space="0"/>
              <w:right w:val="single" w:color="auto" w:sz="8" w:space="0"/>
            </w:tcBorders>
            <w:shd w:val="clear" w:color="auto" w:fill="auto"/>
            <w:tcMar>
              <w:top w:w="0" w:type="dxa"/>
              <w:left w:w="57" w:type="dxa"/>
              <w:bottom w:w="0" w:type="dxa"/>
              <w:right w:w="57" w:type="dxa"/>
            </w:tcMar>
            <w:vAlign w:val="center"/>
          </w:tcPr>
          <w:p w14:paraId="5CB0592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3406"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9A5E1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both"/>
              <w:textAlignment w:val="auto"/>
            </w:pPr>
            <w:r>
              <w:rPr>
                <w:rFonts w:hint="eastAsia" w:ascii="宋体" w:hAnsi="宋体" w:eastAsia="宋体" w:cs="宋体"/>
                <w:kern w:val="0"/>
                <w:sz w:val="20"/>
                <w:szCs w:val="20"/>
                <w:lang w:val="en-US" w:eastAsia="zh-CN" w:bidi="ar"/>
              </w:rPr>
              <w:t>3.其他</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F0AABF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44248958">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C73305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0A21A0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429265F">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EBB79E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A6EF2B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r>
      <w:tr w14:paraId="4FE8CBE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785" w:type="dxa"/>
            <w:vMerge w:val="continue"/>
            <w:tcBorders>
              <w:top w:val="nil"/>
              <w:left w:val="single" w:color="auto" w:sz="8" w:space="0"/>
              <w:bottom w:val="outset" w:color="auto" w:sz="8" w:space="0"/>
              <w:right w:val="single" w:color="auto" w:sz="8" w:space="0"/>
            </w:tcBorders>
            <w:shd w:val="clear" w:color="auto" w:fill="auto"/>
            <w:tcMar>
              <w:top w:w="0" w:type="dxa"/>
              <w:left w:w="57" w:type="dxa"/>
              <w:bottom w:w="0" w:type="dxa"/>
              <w:right w:w="57" w:type="dxa"/>
            </w:tcMar>
            <w:vAlign w:val="center"/>
          </w:tcPr>
          <w:p w14:paraId="7403790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4365" w:type="dxa"/>
            <w:gridSpan w:val="2"/>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04E2700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（七）总计</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2E20440">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6</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C15178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6E61EF3">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391625E">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19BBA9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AA7218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DE783D9">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ascii="宋体" w:hAnsi="宋体"/>
                <w:szCs w:val="21"/>
              </w:rPr>
              <w:t>6</w:t>
            </w:r>
          </w:p>
        </w:tc>
      </w:tr>
      <w:tr w14:paraId="153ECD4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15" w:type="dxa"/>
            <w:left w:w="15" w:type="dxa"/>
            <w:bottom w:w="15" w:type="dxa"/>
            <w:right w:w="15" w:type="dxa"/>
          </w:tblCellMar>
        </w:tblPrEx>
        <w:trPr>
          <w:jc w:val="center"/>
        </w:trPr>
        <w:tc>
          <w:tcPr>
            <w:tcW w:w="5150" w:type="dxa"/>
            <w:gridSpan w:val="3"/>
            <w:tcBorders>
              <w:top w:val="nil"/>
              <w:left w:val="single" w:color="auto" w:sz="8" w:space="0"/>
              <w:bottom w:val="single" w:color="auto" w:sz="8" w:space="0"/>
              <w:right w:val="single" w:color="auto" w:sz="8" w:space="0"/>
            </w:tcBorders>
            <w:shd w:val="clear" w:color="auto" w:fill="auto"/>
            <w:tcMar>
              <w:top w:w="0" w:type="dxa"/>
              <w:left w:w="57" w:type="dxa"/>
              <w:bottom w:w="0" w:type="dxa"/>
              <w:right w:w="57" w:type="dxa"/>
            </w:tcMar>
            <w:vAlign w:val="center"/>
          </w:tcPr>
          <w:p w14:paraId="45A5C9B4">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jc w:val="center"/>
              <w:textAlignment w:val="auto"/>
            </w:pPr>
            <w:r>
              <w:rPr>
                <w:rFonts w:hint="eastAsia" w:ascii="宋体" w:hAnsi="宋体" w:eastAsia="宋体" w:cs="宋体"/>
                <w:kern w:val="0"/>
                <w:sz w:val="20"/>
                <w:szCs w:val="20"/>
                <w:lang w:val="en-US" w:eastAsia="zh-CN" w:bidi="ar"/>
              </w:rPr>
              <w:t>四、结转下年度继续办理</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4328E6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2</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25E9524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5BC49D2D">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323C6291">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658D8F86">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70157CCC">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0</w:t>
            </w:r>
          </w:p>
        </w:tc>
        <w:tc>
          <w:tcPr>
            <w:tcW w:w="714" w:type="dxa"/>
            <w:tcBorders>
              <w:top w:val="nil"/>
              <w:left w:val="nil"/>
              <w:bottom w:val="single" w:color="auto" w:sz="8" w:space="0"/>
              <w:right w:val="single" w:color="auto" w:sz="8" w:space="0"/>
            </w:tcBorders>
            <w:shd w:val="clear" w:color="auto" w:fill="auto"/>
            <w:tcMar>
              <w:top w:w="0" w:type="dxa"/>
              <w:left w:w="57" w:type="dxa"/>
              <w:bottom w:w="0" w:type="dxa"/>
              <w:right w:w="57" w:type="dxa"/>
            </w:tcMar>
            <w:vAlign w:val="center"/>
          </w:tcPr>
          <w:p w14:paraId="163DBD55">
            <w:pPr>
              <w:keepNext w:val="0"/>
              <w:keepLines w:val="0"/>
              <w:pageBreakBefore w:val="0"/>
              <w:widowControl/>
              <w:kinsoku/>
              <w:wordWrap/>
              <w:overflowPunct/>
              <w:topLinePunct w:val="0"/>
              <w:autoSpaceDE/>
              <w:autoSpaceDN/>
              <w:bidi w:val="0"/>
              <w:adjustRightInd/>
              <w:snapToGrid/>
              <w:spacing w:line="310" w:lineRule="exact"/>
              <w:jc w:val="center"/>
              <w:textAlignment w:val="auto"/>
              <w:rPr>
                <w:rFonts w:hint="eastAsia" w:ascii="宋体"/>
                <w:sz w:val="24"/>
                <w:szCs w:val="24"/>
              </w:rPr>
            </w:pPr>
            <w:r>
              <w:rPr>
                <w:rFonts w:ascii="宋体" w:hAnsi="宋体"/>
                <w:szCs w:val="21"/>
              </w:rPr>
              <w:t>2</w:t>
            </w:r>
          </w:p>
        </w:tc>
      </w:tr>
    </w:tbl>
    <w:p w14:paraId="76A0C593">
      <w:pPr>
        <w:pStyle w:val="2"/>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79" w:lineRule="exact"/>
        <w:ind w:left="0" w:right="0" w:firstLine="420"/>
        <w:jc w:val="both"/>
        <w:textAlignment w:val="auto"/>
        <w:rPr>
          <w:sz w:val="16"/>
          <w:szCs w:val="16"/>
        </w:rPr>
      </w:pPr>
      <w:r>
        <w:rPr>
          <w:rFonts w:hint="eastAsia" w:ascii="黑体" w:hAnsi="黑体" w:eastAsia="黑体" w:cs="黑体"/>
          <w:b w:val="0"/>
          <w:bCs w:val="0"/>
          <w:sz w:val="32"/>
          <w:szCs w:val="32"/>
        </w:rPr>
        <w:t>四、政府信息公开行政复议、行政诉讼情况</w:t>
      </w:r>
    </w:p>
    <w:tbl>
      <w:tblPr>
        <w:tblStyle w:val="3"/>
        <w:tblW w:w="9748" w:type="dxa"/>
        <w:jc w:val="center"/>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649"/>
        <w:gridCol w:w="649"/>
        <w:gridCol w:w="649"/>
        <w:gridCol w:w="649"/>
        <w:gridCol w:w="649"/>
        <w:gridCol w:w="649"/>
        <w:gridCol w:w="649"/>
        <w:gridCol w:w="650"/>
        <w:gridCol w:w="650"/>
        <w:gridCol w:w="650"/>
        <w:gridCol w:w="651"/>
        <w:gridCol w:w="651"/>
        <w:gridCol w:w="651"/>
        <w:gridCol w:w="651"/>
        <w:gridCol w:w="651"/>
      </w:tblGrid>
      <w:tr w14:paraId="7E54B40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3210" w:type="dxa"/>
            <w:gridSpan w:val="5"/>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2C8D99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行政复议</w:t>
            </w:r>
          </w:p>
        </w:tc>
        <w:tc>
          <w:tcPr>
            <w:tcW w:w="6428" w:type="dxa"/>
            <w:gridSpan w:val="10"/>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35A7A6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行政诉讼</w:t>
            </w:r>
          </w:p>
        </w:tc>
      </w:tr>
      <w:tr w14:paraId="1324400E">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642"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43E89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结果维持</w:t>
            </w:r>
          </w:p>
        </w:tc>
        <w:tc>
          <w:tcPr>
            <w:tcW w:w="642" w:type="dxa"/>
            <w:vMerge w:val="restart"/>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6438E4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176F87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204CA6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2" w:type="dxa"/>
            <w:vMerge w:val="restart"/>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DBACE6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总计</w:t>
            </w:r>
          </w:p>
        </w:tc>
        <w:tc>
          <w:tcPr>
            <w:tcW w:w="3213" w:type="dxa"/>
            <w:gridSpan w:val="5"/>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52797F6">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未经复议直接起诉</w:t>
            </w:r>
          </w:p>
        </w:tc>
        <w:tc>
          <w:tcPr>
            <w:tcW w:w="3215" w:type="dxa"/>
            <w:gridSpan w:val="5"/>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2B65C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复议后起诉</w:t>
            </w:r>
          </w:p>
        </w:tc>
      </w:tr>
      <w:tr w14:paraId="09EEB83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jc w:val="center"/>
        </w:trPr>
        <w:tc>
          <w:tcPr>
            <w:tcW w:w="642"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9C2D6EB">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642" w:type="dxa"/>
            <w:vMerge w:val="continue"/>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763C660">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F0387F6">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840A67A">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642" w:type="dxa"/>
            <w:vMerge w:val="continue"/>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AD8A2B7">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sz w:val="24"/>
                <w:szCs w:val="24"/>
              </w:rPr>
            </w:pP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C5BE57B">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86799FD">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E262F52">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其他</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6BE93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06822AF">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color w:val="000000"/>
                <w:kern w:val="0"/>
                <w:sz w:val="20"/>
                <w:szCs w:val="20"/>
                <w:lang w:val="en-US" w:eastAsia="zh-CN" w:bidi="ar"/>
              </w:rPr>
              <w:t>总计</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36B1CF5">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维持</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966F590">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结果</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纠正</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1AE83C">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color w:val="000000"/>
                <w:kern w:val="0"/>
                <w:sz w:val="20"/>
                <w:szCs w:val="20"/>
                <w:lang w:val="en-US" w:eastAsia="zh-CN" w:bidi="ar"/>
              </w:rPr>
              <w:t>其他</w:t>
            </w:r>
            <w:r>
              <w:rPr>
                <w:rFonts w:hint="eastAsia" w:ascii="宋体" w:hAnsi="宋体" w:eastAsia="宋体" w:cs="宋体"/>
                <w:color w:val="000000"/>
                <w:kern w:val="0"/>
                <w:sz w:val="20"/>
                <w:szCs w:val="20"/>
                <w:lang w:val="en-US" w:eastAsia="zh-CN" w:bidi="ar"/>
              </w:rPr>
              <w:br w:type="textWrapping"/>
            </w:r>
            <w:r>
              <w:rPr>
                <w:rFonts w:hint="eastAsia" w:ascii="宋体" w:hAnsi="宋体" w:eastAsia="宋体" w:cs="宋体"/>
                <w:color w:val="000000"/>
                <w:kern w:val="0"/>
                <w:sz w:val="20"/>
                <w:szCs w:val="20"/>
                <w:lang w:val="en-US" w:eastAsia="zh-CN" w:bidi="ar"/>
              </w:rPr>
              <w:t>结果</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9828DE3">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kern w:val="0"/>
                <w:sz w:val="20"/>
                <w:szCs w:val="20"/>
                <w:lang w:val="en-US" w:eastAsia="zh-CN" w:bidi="ar"/>
              </w:rPr>
              <w:t>尚未</w:t>
            </w:r>
            <w:r>
              <w:rPr>
                <w:rFonts w:hint="eastAsia" w:ascii="宋体" w:hAnsi="宋体" w:eastAsia="宋体" w:cs="宋体"/>
                <w:kern w:val="0"/>
                <w:sz w:val="20"/>
                <w:szCs w:val="20"/>
                <w:lang w:val="en-US" w:eastAsia="zh-CN" w:bidi="ar"/>
              </w:rPr>
              <w:br w:type="textWrapping"/>
            </w:r>
            <w:r>
              <w:rPr>
                <w:rFonts w:hint="eastAsia" w:ascii="宋体" w:hAnsi="宋体" w:eastAsia="宋体" w:cs="宋体"/>
                <w:kern w:val="0"/>
                <w:sz w:val="20"/>
                <w:szCs w:val="20"/>
                <w:lang w:val="en-US" w:eastAsia="zh-CN" w:bidi="ar"/>
              </w:rPr>
              <w:t>审结</w:t>
            </w:r>
          </w:p>
        </w:tc>
        <w:tc>
          <w:tcPr>
            <w:tcW w:w="643"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CC2D217">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10" w:lineRule="exact"/>
              <w:ind w:left="0" w:right="0" w:firstLine="0"/>
              <w:jc w:val="center"/>
              <w:textAlignment w:val="auto"/>
            </w:pPr>
            <w:r>
              <w:rPr>
                <w:rFonts w:hint="eastAsia" w:ascii="宋体" w:hAnsi="宋体" w:eastAsia="宋体" w:cs="宋体"/>
                <w:color w:val="000000"/>
                <w:kern w:val="0"/>
                <w:sz w:val="20"/>
                <w:szCs w:val="20"/>
                <w:lang w:val="en-US" w:eastAsia="zh-CN" w:bidi="ar"/>
              </w:rPr>
              <w:t>总计</w:t>
            </w:r>
          </w:p>
        </w:tc>
      </w:tr>
      <w:tr w14:paraId="18707C0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672" w:hRule="atLeast"/>
          <w:jc w:val="center"/>
        </w:trPr>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B839D95">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91421E0">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97D9CC8">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7806343">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D25934F">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615E6B05">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2"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EEBE787">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B943DA4">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CAAE77A">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543943">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D41C19">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C5C61AB">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A3829D0">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1557E9E5">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c>
          <w:tcPr>
            <w:tcW w:w="643" w:type="dxa"/>
            <w:tcBorders>
              <w:top w:val="nil"/>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5BF4E331">
            <w:pPr>
              <w:keepNext w:val="0"/>
              <w:keepLines w:val="0"/>
              <w:pageBreakBefore w:val="0"/>
              <w:kinsoku/>
              <w:wordWrap/>
              <w:overflowPunct/>
              <w:topLinePunct w:val="0"/>
              <w:autoSpaceDE/>
              <w:autoSpaceDN/>
              <w:bidi w:val="0"/>
              <w:adjustRightInd/>
              <w:snapToGrid/>
              <w:spacing w:line="310" w:lineRule="exact"/>
              <w:jc w:val="center"/>
              <w:textAlignment w:val="auto"/>
              <w:rPr>
                <w:rFonts w:hint="eastAsia" w:ascii="宋体" w:eastAsiaTheme="minorEastAsia"/>
                <w:sz w:val="24"/>
                <w:szCs w:val="24"/>
                <w:lang w:val="en-US" w:eastAsia="zh-CN"/>
              </w:rPr>
            </w:pPr>
            <w:r>
              <w:rPr>
                <w:rFonts w:hint="eastAsia" w:ascii="宋体"/>
                <w:sz w:val="24"/>
                <w:szCs w:val="24"/>
                <w:lang w:val="en-US" w:eastAsia="zh-CN"/>
              </w:rPr>
              <w:t>0</w:t>
            </w:r>
          </w:p>
        </w:tc>
      </w:tr>
    </w:tbl>
    <w:p w14:paraId="2725FE7B">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lang w:val="en-US" w:eastAsia="zh-CN"/>
        </w:rPr>
        <w:t>五、</w:t>
      </w:r>
      <w:r>
        <w:rPr>
          <w:rFonts w:hint="eastAsia" w:ascii="黑体" w:hAnsi="黑体" w:eastAsia="黑体" w:cs="黑体"/>
          <w:sz w:val="32"/>
          <w:szCs w:val="32"/>
        </w:rPr>
        <w:t>存在的主要问题及改进情况</w:t>
      </w:r>
    </w:p>
    <w:p w14:paraId="07F63F0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存在的主要问题：</w:t>
      </w:r>
      <w:r>
        <w:rPr>
          <w:rFonts w:hint="eastAsia" w:ascii="仿宋_GB2312" w:hAnsi="仿宋_GB2312" w:eastAsia="仿宋_GB2312" w:cs="仿宋_GB2312"/>
          <w:sz w:val="32"/>
          <w:szCs w:val="32"/>
        </w:rPr>
        <w:t>信息发布仍存在滞后性，特别是对重大政策出台、突发事件进展等社会高度关注的信息，主动、及时发布的意识和节奏有待加强</w:t>
      </w:r>
      <w:r>
        <w:rPr>
          <w:rFonts w:hint="eastAsia" w:ascii="仿宋_GB2312" w:hAnsi="仿宋_GB2312" w:eastAsia="仿宋_GB2312" w:cs="仿宋_GB2312"/>
          <w:sz w:val="32"/>
          <w:szCs w:val="32"/>
          <w:lang w:eastAsia="zh-CN"/>
        </w:rPr>
        <w:t>。</w:t>
      </w:r>
    </w:p>
    <w:p w14:paraId="50519980">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下一步，</w:t>
      </w:r>
      <w:r>
        <w:rPr>
          <w:rFonts w:hint="eastAsia" w:ascii="仿宋_GB2312" w:hAnsi="仿宋_GB2312" w:eastAsia="仿宋_GB2312" w:cs="仿宋_GB2312"/>
          <w:sz w:val="32"/>
          <w:szCs w:val="32"/>
        </w:rPr>
        <w:t>我局将强化主动发布时效，加强对公众关注热点和基层需求的分析研判，变“被动应答”为“主动供给”，利用多种渠道定向推送涉农涉牧服务信息。</w:t>
      </w:r>
    </w:p>
    <w:p w14:paraId="36AC3F6A">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六、其他需要报告的事项</w:t>
      </w:r>
    </w:p>
    <w:p w14:paraId="55C1DB13">
      <w:pPr>
        <w:keepNext w:val="0"/>
        <w:keepLines w:val="0"/>
        <w:pageBreakBefore w:val="0"/>
        <w:widowControl w:val="0"/>
        <w:kinsoku/>
        <w:wordWrap/>
        <w:overflowPunct/>
        <w:topLinePunct w:val="0"/>
        <w:autoSpaceDE/>
        <w:autoSpaceDN/>
        <w:bidi w:val="0"/>
        <w:adjustRightInd/>
        <w:snapToGrid/>
        <w:spacing w:line="579"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按照《国务院办公厅关于印发〈政府信息公开信息处理费管理办法〉的通知》（国办函〔2020〕109号）规定的按件、按量收费标准，本年度没有产生信息处理费。</w:t>
      </w:r>
    </w:p>
    <w:sectPr>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242453"/>
    <w:rsid w:val="024C2B81"/>
    <w:rsid w:val="15242453"/>
    <w:rsid w:val="15E87163"/>
    <w:rsid w:val="1FDA3FEF"/>
    <w:rsid w:val="22AA2C52"/>
    <w:rsid w:val="25007ACF"/>
    <w:rsid w:val="36BD55B1"/>
    <w:rsid w:val="53852DC9"/>
    <w:rsid w:val="5CE458F6"/>
    <w:rsid w:val="5D325D70"/>
    <w:rsid w:val="68251C6A"/>
    <w:rsid w:val="69D26888"/>
    <w:rsid w:val="6D3C6A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988</Words>
  <Characters>1031</Characters>
  <Lines>0</Lines>
  <Paragraphs>0</Paragraphs>
  <TotalTime>56</TotalTime>
  <ScaleCrop>false</ScaleCrop>
  <LinksUpToDate>false</LinksUpToDate>
  <CharactersWithSpaces>1031</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2026-01-12T01:12:00Z</dcterms:created>
  <dc:creator>演示人</dc:creator>
  <cp:lastModifiedBy>演示人</cp:lastModifiedBy>
  <cp:lastPrinted>2026-01-13T08:14:00Z</cp:lastPrinted>
  <dcterms:modified xsi:type="dcterms:W3CDTF">2026-01-23T02:09:35Z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472EB907C2724B1381BF72FED1D90856_13</vt:lpwstr>
  </property>
  <property fmtid="{D5CDD505-2E9C-101B-9397-08002B2CF9AE}" pid="4" name="KSOTemplateDocerSaveRecord">
    <vt:lpwstr>eyJoZGlkIjoiM2ViMDBhMjJiYmYwODM2NjIyY2Y4NDgwMjUwNmVmZWIiLCJ1c2VySWQiOiIxMjE3MzAwMDI2In0=</vt:lpwstr>
  </property>
</Properties>
</file>