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5B7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drawing>
          <wp:inline distT="0" distB="0" distL="114300" distR="114300">
            <wp:extent cx="5270500" cy="492760"/>
            <wp:effectExtent l="0" t="0" r="6350" b="254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4"/>
                    <a:stretch>
                      <a:fillRect/>
                    </a:stretch>
                  </pic:blipFill>
                  <pic:spPr>
                    <a:xfrm>
                      <a:off x="0" y="0"/>
                      <a:ext cx="5270500" cy="492760"/>
                    </a:xfrm>
                    <a:prstGeom prst="rect">
                      <a:avLst/>
                    </a:prstGeom>
                    <a:noFill/>
                    <a:ln w="9525">
                      <a:noFill/>
                    </a:ln>
                  </pic:spPr>
                </pic:pic>
              </a:graphicData>
            </a:graphic>
          </wp:inline>
        </w:drawing>
      </w:r>
    </w:p>
    <w:p w14:paraId="00F4667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4"/>
          <w:szCs w:val="24"/>
        </w:rPr>
      </w:pPr>
      <w:r>
        <w:rPr>
          <w:rFonts w:hint="eastAsia" w:ascii="宋体" w:hAnsi="宋体" w:eastAsia="宋体" w:cs="宋体"/>
          <w:i w:val="0"/>
          <w:iCs w:val="0"/>
          <w:caps w:val="0"/>
          <w:color w:val="000000"/>
          <w:spacing w:val="0"/>
          <w:sz w:val="24"/>
          <w:szCs w:val="24"/>
          <w:bdr w:val="none" w:color="auto" w:sz="0" w:space="0"/>
        </w:rPr>
        <w:t>国资发产权规〔2025〕17号</w:t>
      </w:r>
    </w:p>
    <w:p w14:paraId="4C9546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drawing>
          <wp:inline distT="0" distB="0" distL="114300" distR="114300">
            <wp:extent cx="5273675" cy="17145"/>
            <wp:effectExtent l="0" t="0" r="3175" b="1905"/>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5"/>
                    <a:stretch>
                      <a:fillRect/>
                    </a:stretch>
                  </pic:blipFill>
                  <pic:spPr>
                    <a:xfrm>
                      <a:off x="0" y="0"/>
                      <a:ext cx="5273675" cy="17145"/>
                    </a:xfrm>
                    <a:prstGeom prst="rect">
                      <a:avLst/>
                    </a:prstGeom>
                    <a:noFill/>
                    <a:ln w="9525">
                      <a:noFill/>
                    </a:ln>
                  </pic:spPr>
                </pic:pic>
              </a:graphicData>
            </a:graphic>
          </wp:inline>
        </w:drawing>
      </w:r>
    </w:p>
    <w:p w14:paraId="43D156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40"/>
          <w:szCs w:val="40"/>
        </w:rPr>
      </w:pPr>
      <w:r>
        <w:rPr>
          <w:rStyle w:val="5"/>
          <w:rFonts w:hint="eastAsia" w:ascii="宋体" w:hAnsi="宋体" w:eastAsia="宋体" w:cs="宋体"/>
          <w:i w:val="0"/>
          <w:iCs w:val="0"/>
          <w:caps w:val="0"/>
          <w:color w:val="000000"/>
          <w:spacing w:val="0"/>
          <w:sz w:val="40"/>
          <w:szCs w:val="40"/>
          <w:bdr w:val="none" w:color="auto" w:sz="0" w:space="0"/>
        </w:rPr>
        <w:t>关于印发《企业国有资产交易操作规则》的通知</w:t>
      </w:r>
    </w:p>
    <w:p w14:paraId="29E454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各中央企业，各省、自治区、直辖市及计划单列市和新疆生产建设兵团国资委：</w:t>
      </w:r>
      <w:bookmarkStart w:id="0" w:name="_GoBack"/>
      <w:bookmarkEnd w:id="0"/>
    </w:p>
    <w:p w14:paraId="35A063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《企业国有资产交易操作规则》已经国务院国资委2024年第45次委务会议审议通过，现印发给你们，请遵照执行。</w:t>
      </w:r>
    </w:p>
    <w:p w14:paraId="0F8A4B6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right"/>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国务院国资委</w:t>
      </w:r>
    </w:p>
    <w:p w14:paraId="1144E9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right"/>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2025年2月18日</w:t>
      </w:r>
    </w:p>
    <w:p w14:paraId="48F321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36"/>
          <w:szCs w:val="36"/>
        </w:rPr>
      </w:pPr>
      <w:r>
        <w:rPr>
          <w:rStyle w:val="5"/>
          <w:rFonts w:hint="eastAsia" w:ascii="宋体" w:hAnsi="宋体" w:eastAsia="宋体" w:cs="宋体"/>
          <w:i w:val="0"/>
          <w:iCs w:val="0"/>
          <w:caps w:val="0"/>
          <w:color w:val="000000"/>
          <w:spacing w:val="0"/>
          <w:sz w:val="36"/>
          <w:szCs w:val="36"/>
          <w:bdr w:val="none" w:color="auto" w:sz="0" w:space="0"/>
        </w:rPr>
        <w:t>企业国有资产交易操作规则</w:t>
      </w:r>
    </w:p>
    <w:p w14:paraId="247627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36"/>
          <w:szCs w:val="36"/>
        </w:rPr>
      </w:pPr>
      <w:r>
        <w:rPr>
          <w:rStyle w:val="5"/>
          <w:rFonts w:hint="eastAsia" w:ascii="宋体" w:hAnsi="宋体" w:eastAsia="宋体" w:cs="宋体"/>
          <w:i w:val="0"/>
          <w:iCs w:val="0"/>
          <w:caps w:val="0"/>
          <w:color w:val="000000"/>
          <w:spacing w:val="0"/>
          <w:sz w:val="36"/>
          <w:szCs w:val="36"/>
          <w:bdr w:val="none" w:color="auto" w:sz="0" w:space="0"/>
        </w:rPr>
        <w:t>第一章 总则</w:t>
      </w:r>
    </w:p>
    <w:p w14:paraId="2D3A58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第一条 为进一步规范企业国有资产交易行为，根据《中华人民共和国企业国有资产法》《企业国有资产监督管理暂行条例》《企业国有资产交易监督管理办法》（以下简称《办法》）等有关规定，制定本规则。</w:t>
      </w:r>
    </w:p>
    <w:p w14:paraId="0D3129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第二条 在依法设立的产权交易机构公开进行的企业国有资产交易行为，适用本规则。</w:t>
      </w:r>
    </w:p>
    <w:p w14:paraId="6F5AAC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第三条 企业国有资产交易应当遵循等价有偿和公开、公平、公正的原则，接受国有资产监督管理机构（以下简称国资监管机构）的监督。</w:t>
      </w:r>
    </w:p>
    <w:p w14:paraId="2672D4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第四条 产权交易机构应当按照本规则组织企业国有资产交易活动，维护交易秩序，保障企业国有资产交易活动有序进行。</w:t>
      </w:r>
    </w:p>
    <w:p w14:paraId="6D033A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第二章 企业产权转让</w:t>
      </w:r>
    </w:p>
    <w:p w14:paraId="62B5DF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第一节 转让决策与批准</w:t>
      </w:r>
    </w:p>
    <w:p w14:paraId="118F92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第五条 转让方应当对产权转让的必要性和可行性进行研究，制定产权转让方案，按照企业章程和相关管理制度履行内部决策程序，并形成书面决议。</w:t>
      </w:r>
    </w:p>
    <w:p w14:paraId="33D5D8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第六条 产权转让方案应当包括：</w:t>
      </w:r>
    </w:p>
    <w:p w14:paraId="648381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（一）转让标的基本情况；</w:t>
      </w:r>
    </w:p>
    <w:p w14:paraId="10D94C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（二）企业产权转让的必要性、可行性；</w:t>
      </w:r>
    </w:p>
    <w:p w14:paraId="6EBFCC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（三）是否涉及职工安置及相关安排；</w:t>
      </w:r>
    </w:p>
    <w:p w14:paraId="5444BB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（四）标的企业涉及的债权、债务等处理安排；</w:t>
      </w:r>
    </w:p>
    <w:p w14:paraId="4A10AD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（五）定价依据、价款支付方式和期限要求等交易条件；</w:t>
      </w:r>
    </w:p>
    <w:p w14:paraId="193DFC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（六）其他相关内容。</w:t>
      </w:r>
    </w:p>
    <w:p w14:paraId="7FE783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第七条 转让方履行内部决策程序后，应当按照《办法》第七条、第八条相关规定履行批准程序。</w:t>
      </w:r>
    </w:p>
    <w:p w14:paraId="17F7FC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第八条 转让方应当委托具有相应资质的中介机构开展标的企业审计和资产评估，并完成资产评估核准或备案程序。</w:t>
      </w:r>
    </w:p>
    <w:p w14:paraId="57345A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第二节 信息披露</w:t>
      </w:r>
    </w:p>
    <w:p w14:paraId="4B8808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第九条 转让方根据企业实际情况和工作进度安排，通过产权交易机构网站对外披露产权转让信息，公开征集受让方。因产权转让导致转让标的企业的实际控制权发生转移的，应当进行信息预披露。转让方可以在履行内部决策程序后进行信息预披露。</w:t>
      </w:r>
    </w:p>
    <w:p w14:paraId="4BA479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第十条 转让方应当向产权交易机构提交信息披露公告所需相关材料。产权交易机构应当对转让方提交的材料进行完整性与规范性审核。符合信息披露要求的，产权交易机构依据转让方提交的材料对外发布公告。不符合要求的，产权交易机构应当告知转让方进行调整。</w:t>
      </w:r>
    </w:p>
    <w:p w14:paraId="326120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第十一条 转让方除按照《办法》第十五条相关规定披露信息外，正式信息披露公告中还应当就转让标的在评估基准日后发生的重大事项、交易保证金交纳要求等内容进行披露。涉及交纳交易保证金的，金额一般不超过转让底价的30％。</w:t>
      </w:r>
    </w:p>
    <w:p w14:paraId="7B948E2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第十二条 转让方应当明确信息披露公告的期限。正式披露公告时间不少于20个工作日。应当进行信息预披露的，公告时间不少于20个工作日。</w:t>
      </w:r>
    </w:p>
    <w:p w14:paraId="7CD498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第十三条 产权转让项目首次正式披露公告的转让底价，不得低于经核准或备案的转让标的评估结果。</w:t>
      </w:r>
    </w:p>
    <w:p w14:paraId="1FBA0E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第十四条 正式披露公告期间，转让方不得擅自变更公告内容。因特殊原因确需变更的，应当由转让行为批准单位出具文件。公告内容变更后，公告时间重新计算。</w:t>
      </w:r>
    </w:p>
    <w:p w14:paraId="2FA260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第十五条 正式披露公告期间，因非转让方原因或其他不可抗力因素可能对转让标的价值判断造成影响的，转让方应当及时调整补充披露信息内容。补充公告时间不少于10个工作日，累计披露时间不少于原公告要求的期限。</w:t>
      </w:r>
    </w:p>
    <w:p w14:paraId="47ECD7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第十六条 正式披露公告期满未征集到意向受让方，且不变更公告内容的，转让方可以按照公告要求延长公告时间，每次延长时间不少于5个工作日。未在公告中明确延长时间的，公告到期自行终结。仅变更转让底价的，公告时间不少于5个工作日。转让方应当结合标的企业情况、市场行情等因素以阶梯降价的方式降价。新的转让底价低于评估结果的90％时，转让底价及后续降价幅度（比例或金额）等应当经转让行为批准单位批准。</w:t>
      </w:r>
    </w:p>
    <w:p w14:paraId="7FA1C6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第十七条 产权转让项目首次正式披露公告之日起超过12个月未征集到合格意向受让方的，转让方应当重新履行审计、资产评估等工作程序后，再发布正式披露公告。</w:t>
      </w:r>
    </w:p>
    <w:p w14:paraId="4E1856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第三节 意向受让方确认</w:t>
      </w:r>
    </w:p>
    <w:p w14:paraId="1C6A876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第十八条 意向受让方应当在正式披露公告期限内，向产权交易机构提出受让申请并提交相关材料。产权交易机构应当对意向受让方逐一进行登记。</w:t>
      </w:r>
    </w:p>
    <w:p w14:paraId="679883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第十九条 意向受让方可以到产权交易机构查阅公告内容的相应材料。</w:t>
      </w:r>
    </w:p>
    <w:p w14:paraId="57F3FC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第二十条 产权交易机构应当对意向受让方提交的材料进行完整性与规范性审核，并在正式披露公告期满5个工作日内，将意向受让方的登记及确认情况书面告知转让方。</w:t>
      </w:r>
    </w:p>
    <w:p w14:paraId="579059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第二十一条 转让方应当在收到产权交易机构对意向受让方的确认意见之日起10个工作日内书面回复。对确认意见有异议的，应当向产权交易机构提出书面意见，说明理由并提交相关证明材料。逾期未回复的，视为同意。</w:t>
      </w:r>
    </w:p>
    <w:p w14:paraId="76AD5D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产权交易机构与转让方对确认意见未达成一致的，由转让行为批准单位决定。</w:t>
      </w:r>
    </w:p>
    <w:p w14:paraId="6365A16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第二十二条 产权交易机构应当以书面形式将确认结果告知意向受让方。</w:t>
      </w:r>
    </w:p>
    <w:p w14:paraId="7F3AED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第二十三条 经确认的意向受让方，按照公告要求交纳交易保证金后，成为合格意向受让方。未按照公告要求交纳交易保证金的，视为放弃。</w:t>
      </w:r>
    </w:p>
    <w:p w14:paraId="1997286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第四节 受让方产生及合同签订</w:t>
      </w:r>
    </w:p>
    <w:p w14:paraId="750483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第二十四条 正式披露公告期满，产生两个及以上合格意向受让方的，合格意向受让方即成为竞买人，由产权交易机构依据公告的竞价方式组织竞价。正式披露公告期满，只产生一个合格意向受让方的，交易双方按照转让底价与合格意向受让方报价孰高原则确定交易价格。</w:t>
      </w:r>
    </w:p>
    <w:p w14:paraId="6470FA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第二十五条 产权转让可以采取网络竞价、拍卖、招投标以及其他竞价方式。转让方应当结合标的特点、市场形势、交易成本等因素，合理确定竞价方式。</w:t>
      </w:r>
    </w:p>
    <w:p w14:paraId="5712A4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第二十六条 产权交易机构负责竞价活动的组织协调工作，并对竞价活动进行见证。</w:t>
      </w:r>
    </w:p>
    <w:p w14:paraId="27E8F3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第二十七条 产权交易机构应当制定转让标的企业原股东行使优先购买权相关操作细则，并对外公布。原股东不放弃优先购买权的，应当按照相关操作细则行使优先购买权。</w:t>
      </w:r>
    </w:p>
    <w:p w14:paraId="61DE2B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第二十八条 受让方根据竞价结果及优先购买权行使情况产生。产权交易机构应当在受让方确定后5个工作日内，组织交易双方签订产权交易合同。</w:t>
      </w:r>
    </w:p>
    <w:p w14:paraId="67DEE4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第二十九条 产权交易合同条款包括但不限于以下内容：</w:t>
      </w:r>
    </w:p>
    <w:p w14:paraId="06AD83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（一）交易双方的名称与住所；</w:t>
      </w:r>
    </w:p>
    <w:p w14:paraId="2C444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（二）转让标的基本情况；</w:t>
      </w:r>
    </w:p>
    <w:p w14:paraId="621785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（三）产权转让的方式；</w:t>
      </w:r>
    </w:p>
    <w:p w14:paraId="040942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（四）标的企业职工有无继续聘用事宜及相关安排；</w:t>
      </w:r>
    </w:p>
    <w:p w14:paraId="3C3F57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（五）标的企业的债权、债务处理；</w:t>
      </w:r>
    </w:p>
    <w:p w14:paraId="5C2EA6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（六）交易价格、付款方式及付款期限；</w:t>
      </w:r>
    </w:p>
    <w:p w14:paraId="41E4B6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（七）产权交割事项；</w:t>
      </w:r>
    </w:p>
    <w:p w14:paraId="119D41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（八）生效条件；</w:t>
      </w:r>
    </w:p>
    <w:p w14:paraId="0D54C2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（九）争议的解决方式；</w:t>
      </w:r>
    </w:p>
    <w:p w14:paraId="52A3AF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（十）违约责任；</w:t>
      </w:r>
    </w:p>
    <w:p w14:paraId="33D9AF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（十一）公司变更登记手续安排及逾期变更的责任；</w:t>
      </w:r>
    </w:p>
    <w:p w14:paraId="0F25D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（十二）变更和解除的条件。</w:t>
      </w:r>
    </w:p>
    <w:p w14:paraId="3BF606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第三十条 交易双方不得在产权交易合同中或以其他方式约定股权回购、利益补偿等内容，不得以交易期间标的企业经营性损益等理由对已达成的交易条件和交易价格进行调整。</w:t>
      </w:r>
    </w:p>
    <w:p w14:paraId="5A7F80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第三十一条 产权交易机构应当依据法律法规的相关规定，按照产权转让公告的内容以及交易结果等，对产权交易合同进行核校。</w:t>
      </w:r>
    </w:p>
    <w:p w14:paraId="549CDB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第五节 交易资金结算</w:t>
      </w:r>
    </w:p>
    <w:p w14:paraId="79B866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第三十二条 交易资金包括交易保证金和交易价款，应当以人民币为计价单位，通过产权交易机构指定结算账户以货币进行结算。</w:t>
      </w:r>
    </w:p>
    <w:p w14:paraId="0F43A0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交易双方因特殊情况不能通过产权交易机构结算交易价款的，转让方应当向产权交易机构提供转让行为批准单位的书面意见以及受让方付款凭证。</w:t>
      </w:r>
    </w:p>
    <w:p w14:paraId="18549D5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第三十三条 产权交易机构应当开设独立的结算账户，组织收付交易资金，保证结算账户中交易资金的安全，不得挪作他用。</w:t>
      </w:r>
    </w:p>
    <w:p w14:paraId="0FC281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第三十四条 受让方交纳的交易保证金可以按照产权交易合同的约定转为交易价款的一部分。</w:t>
      </w:r>
    </w:p>
    <w:p w14:paraId="15E5818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未能成为受让方的其他意向受让方，其交纳的交易保证金由产权交易机构按照公告要求一次性返还。</w:t>
      </w:r>
    </w:p>
    <w:p w14:paraId="3F5193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第三十五条 受让方原则上应当自合同生效之日起5个工作日内一次付清交易价款。</w:t>
      </w:r>
    </w:p>
    <w:p w14:paraId="237C0A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交易价款金额较大、一次付清确有困难的，可以采取分期付款方式。采取分期付款方式的，首付交易价款数额不低于总价款的30%，并在产权交易合同生效之日起5个工作日内支付；其余款项应当提供转让方认可的合法有效担保，并按照不低于同期贷款市场报价利率支付延期付款期间的利息，付款期限不得超过1年。</w:t>
      </w:r>
    </w:p>
    <w:p w14:paraId="7AD2C3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第三十六条 产权交易机构应当按照约定及时向转让方划出交易价款。</w:t>
      </w:r>
    </w:p>
    <w:p w14:paraId="7D83F4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第六节 交易凭证出具及变更登记办理</w:t>
      </w:r>
    </w:p>
    <w:p w14:paraId="294070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第三十七条 交易双方签订产权交易合同，受让方依据合同约定支付交易价款，且交易双方支付服务费用后，产权交易机构在3个工作日内出具交易凭证。</w:t>
      </w:r>
    </w:p>
    <w:p w14:paraId="5DFD2B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第三十八条 交易凭证应当载明：转让标的名称、项目编号、转让方名称、受让方名称、转让底价、转让标的评估结果、交易价格、成交方式、支付方式、产权交易机构鉴证结论等内容。</w:t>
      </w:r>
    </w:p>
    <w:p w14:paraId="1A1779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第三十九条 产权交易机构应当在出具交易凭证后，将交易结果通过网站对外公告。公告内容包括交易标的名称、转让标的评估结果、转让底价、交易价格，公告期不少于5个工作日。</w:t>
      </w:r>
    </w:p>
    <w:p w14:paraId="6930F9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第四十条 交易凭证出具后，转让方应当按照相关规定办理企业国有产权变动登记及市场主体变更登记手续，受让方、产权交易机构应当配合并提供材料。</w:t>
      </w:r>
    </w:p>
    <w:p w14:paraId="1314DB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第三章 企业增资</w:t>
      </w:r>
    </w:p>
    <w:p w14:paraId="3FC267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第一节 增资决策与批准</w:t>
      </w:r>
    </w:p>
    <w:p w14:paraId="0B8547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第四十一条 企业增资应当进行可行性研究，制定增资方案，按照企业章程和相关管理制度履行内部决策程序，并形成书面决议。</w:t>
      </w:r>
    </w:p>
    <w:p w14:paraId="59B188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第四十二条 增资企业可以结合公司发展战略、企业经营需要等合理设置投资方资格条件，但不得有明确指向性或者违反公平竞争原则。</w:t>
      </w:r>
    </w:p>
    <w:p w14:paraId="7264D0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第四十三条 增资方案应当包括：</w:t>
      </w:r>
    </w:p>
    <w:p w14:paraId="1B38FC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（一）增资企业基本情况；</w:t>
      </w:r>
    </w:p>
    <w:p w14:paraId="51D954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（二）增资企业功能定位、发展战略；</w:t>
      </w:r>
    </w:p>
    <w:p w14:paraId="4F9D40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（三）拟募集资金规模、用途；</w:t>
      </w:r>
    </w:p>
    <w:p w14:paraId="37D869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（四）增资后公司的股权结构及治理结构安排；</w:t>
      </w:r>
    </w:p>
    <w:p w14:paraId="495F62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（五）投资方应具备的条件，选择标准及遴选方式；</w:t>
      </w:r>
    </w:p>
    <w:p w14:paraId="56F60C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（六）其他相关内容。</w:t>
      </w:r>
    </w:p>
    <w:p w14:paraId="6A0E50C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第四十四条 企业增资的募集资金应当为投资方实缴出资金额。</w:t>
      </w:r>
    </w:p>
    <w:p w14:paraId="623AC5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第四十五条 增资企业履行内部决策程序后，应当按照《办法》第三十四条、第三十五条相关规定履行批准程序。</w:t>
      </w:r>
    </w:p>
    <w:p w14:paraId="37BAAB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第四十六条 增资企业应当委托具有相应资质的中介机构开展审计和资产评估工作，并在投资方遴选前完成资产评估核准或备案程序。</w:t>
      </w:r>
    </w:p>
    <w:p w14:paraId="7369C6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第二节 信息披露</w:t>
      </w:r>
    </w:p>
    <w:p w14:paraId="019220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第四十七条 增资企业根据企业实际情况和工作进度安排，通过产权交易机构网站对外披露增资信息，公开征集投资方。信息披露可采取预披露和正式披露相结合的方式，或直接进行正式披露。</w:t>
      </w:r>
    </w:p>
    <w:p w14:paraId="512F1B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第四十八条 增资企业应当向产权交易机构提交信息披露公告所需相关材料。产权交易机构应当对增资企业提交的材料进行完整性与规范性审核。符合信息披露要求的，产权交易机构依据增资企业提交的材料对外发布公告。不符合要求的，产权交易机构应当告知增资企业进行调整。</w:t>
      </w:r>
    </w:p>
    <w:p w14:paraId="04CE032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第四十九条 增资企业应当按照《办法》第三十九条相关规定披露信息，并可以在正式披露公告中提出交纳交易保证金的要求，明确交易保证金的金额、交纳时间及处置方式。</w:t>
      </w:r>
    </w:p>
    <w:p w14:paraId="4FD227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第五十条 除正式披露公告及公告所涉内容的相应材料外，增资企业还可以向产权交易机构提交与增资相关的其他材料备查，并在公告中明确意向投资方获取上述材料的方式。</w:t>
      </w:r>
    </w:p>
    <w:p w14:paraId="50C16A6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第五十一条 增资企业应当明确信息披露公告的期限。直接进行正式披露的，公告时间不少于40个工作日。采取信息预披露和正式披露相结合方式的，合计披露时间不少于40个工作日，其中正式披露公告时间不少于20个工作日。</w:t>
      </w:r>
    </w:p>
    <w:p w14:paraId="423829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第五十二条 正式披露公告期间，增资企业不得擅自变更公告内容。因特殊原因确需变更的，应当由增资行为批准单位出具文件。公告内容变更后，公告时间重新计算。</w:t>
      </w:r>
    </w:p>
    <w:p w14:paraId="1203348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第五十三条 正式披露公告期间，增资企业股权结构、财务状况、经营管理情况等发生变化，可能对增资企业产生重大影响时，增资企业应当及时调整补充披露信息内容。补充公告时间不少于10个工作日，累计披露时间不少于原公告要求的期限。</w:t>
      </w:r>
    </w:p>
    <w:p w14:paraId="2D00FE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第五十四条 正式披露公告期满未征集到意向投资方，且不变更公告内容的，增资企业可以按照公告要求延长公告时间，每次延长时间不少于5个工作日。未在公告中明确延长时间的，公告到期自行终结。</w:t>
      </w:r>
    </w:p>
    <w:p w14:paraId="413BB1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第三节 意向投资方确认</w:t>
      </w:r>
    </w:p>
    <w:p w14:paraId="689D56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第五十五条 意向投资方应当在正式披露公告期限内，向产权交易机构提出投资申请并提交相关材料，产权交易机构应当对意向投资方逐一进行登记。</w:t>
      </w:r>
    </w:p>
    <w:p w14:paraId="50EEB0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第五十六条 意向投资方可以到产权交易机构查阅公告所涉及内容和相应材料。</w:t>
      </w:r>
    </w:p>
    <w:p w14:paraId="2E084D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第五十七条 产权交易机构应当对意向投资方提交的材料进行完整性与规范性审核，并在正式披露公告期满5个工作日内，将意向投资方的登记及确认情况书面告知增资企业。</w:t>
      </w:r>
    </w:p>
    <w:p w14:paraId="5E6B41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第五十八条 增资企业应当在收到产权交易机构对意向投资方的确认意见之日起10个工作日内书面回复。对确认意见有异议的，应当向产权交易机构提出书面意见，说明理由并提交相关证明材料。逾期未回复的，视为同意。</w:t>
      </w:r>
    </w:p>
    <w:p w14:paraId="70F70D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产权交易机构与增资企业对确认意见未达成一致的，由增资行为批准单位决定。</w:t>
      </w:r>
    </w:p>
    <w:p w14:paraId="5CC064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第五十九条 产权交易机构应当以书面形式将确认结果告知各意向投资方。</w:t>
      </w:r>
    </w:p>
    <w:p w14:paraId="4A2015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第六十条 经确认的意向投资方，如公告中要求交纳交易保证金的，在交纳交易保证金后，成为合格意向投资方。未按照公告要求交纳交易保证金的，视为放弃。</w:t>
      </w:r>
    </w:p>
    <w:p w14:paraId="094DDE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第四节 投资方遴选</w:t>
      </w:r>
    </w:p>
    <w:p w14:paraId="79995C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第六十一条 正式披露公告期满，产生符合公告要求的合格意向投资方的，增资企业应当依据公告的条件和方式启动遴选活动。</w:t>
      </w:r>
    </w:p>
    <w:p w14:paraId="4FFDF9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第六十二条 企业增资的遴选方式包括竞价、竞争性谈判、综合评议等。增资企业可以单独、组合或者多轮次使用上述遴选方式。</w:t>
      </w:r>
    </w:p>
    <w:p w14:paraId="7A6409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第六十三条 增资企业应当依法合规开展遴选活动，保障各合格意向投资方平等参与权利。选择战略投资方主要关注企业发展战略、经营目标、主营业务等方面的匹配和协同情况。选择财务投资方主要关注资金实力和财务状况等。</w:t>
      </w:r>
    </w:p>
    <w:p w14:paraId="1F66F1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第六十四条 增资企业应当制定遴选实施方案，明确择优原则、择优指标等内容，由产权交易机构审核后发送给各合格意向投资方。</w:t>
      </w:r>
    </w:p>
    <w:p w14:paraId="35EBF1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第六十五条 产权交易机构负责遴选活动的组织、协调及见证工作，按照方案组织遴选活动，统一接收合格意向投资方的响应文件和报价文件，协助增资企业开展投资方遴选的相关工作，形成遴选结果书面文件。</w:t>
      </w:r>
    </w:p>
    <w:p w14:paraId="0BD0C8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第六十六条 增资企业股东会或董事会应当以经核准或备案的资产评估结果为基础，结合遴选结果确定投资方。增资企业应当在投资方确定后5个工作日内，将结果书面告知产权交易机构。</w:t>
      </w:r>
    </w:p>
    <w:p w14:paraId="5B32D1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第五节 增资协议签订</w:t>
      </w:r>
    </w:p>
    <w:p w14:paraId="1CA3F2B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第六十七条 产权交易机构在收到投资方确定的书面结果后5个工作日内，组织交易各方签订增资协议。</w:t>
      </w:r>
    </w:p>
    <w:p w14:paraId="0E00AE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第六十八条 增资协议合同条款包括但不限于以下内容：</w:t>
      </w:r>
    </w:p>
    <w:p w14:paraId="08FE84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（一）交易各方的名称与住所；</w:t>
      </w:r>
    </w:p>
    <w:p w14:paraId="33958C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（二）增资企业基本情况；</w:t>
      </w:r>
    </w:p>
    <w:p w14:paraId="263920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（三）投资方实缴出资金额；</w:t>
      </w:r>
    </w:p>
    <w:p w14:paraId="1F26AC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（四）出资方式及支付要求；</w:t>
      </w:r>
    </w:p>
    <w:p w14:paraId="52F0B3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（五）增资前、后各股东注册资本金金额及其对应的持股比例（股份数）；</w:t>
      </w:r>
    </w:p>
    <w:p w14:paraId="558F30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（六）公司治理结构安排；</w:t>
      </w:r>
    </w:p>
    <w:p w14:paraId="421D81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（七）投资方为增资企业发展投入的资源；</w:t>
      </w:r>
    </w:p>
    <w:p w14:paraId="2B5F51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（八）遴选活动达成的其他相关条款；</w:t>
      </w:r>
    </w:p>
    <w:p w14:paraId="64A4DC7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（九）公司变更登记手续安排；</w:t>
      </w:r>
    </w:p>
    <w:p w14:paraId="54DE0F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（十）生效条件；</w:t>
      </w:r>
    </w:p>
    <w:p w14:paraId="6B27AD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（十一）争议的解决方式；</w:t>
      </w:r>
    </w:p>
    <w:p w14:paraId="609E9E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（十二）违约责任；</w:t>
      </w:r>
    </w:p>
    <w:p w14:paraId="08AE92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（十三）变更和解除的条件。</w:t>
      </w:r>
    </w:p>
    <w:p w14:paraId="3196F5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第六十九条 交易各方不得在增资协议中或以其他方式约定股权回购、股权代持、名股实债等内容，不得以交易期间企业经营性损益等理由对已达成的交易条件和交易价格进行调整。除另有规定外，国家出资企业及其子企业参与增资活动的，不得为其他股东提供借款、担保等资金支持。</w:t>
      </w:r>
    </w:p>
    <w:p w14:paraId="22A64F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第七十条 产权交易机构应当依据法律法规的相关规定，按照增资公告的内容以及遴选结果等，对增资协议进行核校。</w:t>
      </w:r>
    </w:p>
    <w:p w14:paraId="1188C8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第六节 交易资金结算、凭证出具及变更登记办理</w:t>
      </w:r>
    </w:p>
    <w:p w14:paraId="06E0A8B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第七十一条 企业增资交易价款可以通过产权交易机构指定的账户进行结算，具体工作流程参照本规则关于企业产权转让交易资金结算相关规定执行。</w:t>
      </w:r>
    </w:p>
    <w:p w14:paraId="14E784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第七十二条 投资方应当在增资协议生效之日起10个工作日内按照约定一次性实缴出资。</w:t>
      </w:r>
    </w:p>
    <w:p w14:paraId="4DFAAC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第七十三条 交易各方签订增资协议，投资方依据协议约定实缴出资，且交易各方支付服务费用后，产权交易机构在3个工作日内出具交易凭证。</w:t>
      </w:r>
    </w:p>
    <w:p w14:paraId="0856AD2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第七十四条 交易凭证应当载明：项目名称、项目编号、增资企业名称、增资前后注册资本、增资前后股东数量、投资方名称、实缴出资金额、持股比例或股份数额、产权交易机构鉴证结论等内容。</w:t>
      </w:r>
    </w:p>
    <w:p w14:paraId="5796E2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第七十五条 产权交易机构应当在出具交易凭证后，将增资结果通过网站对外公告。公告内容包括项目名称、投资方名称、实缴出资金额、持股比例或股份数额等，公告期不少于5个工作日。</w:t>
      </w:r>
    </w:p>
    <w:p w14:paraId="7F1DDC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第七十六条 增资完成后，增资企业应当按照相关规定办理企业国有产权变动登记及市场主体变更登记手续，投资方、产权交易机构应当配合并提供材料。</w:t>
      </w:r>
    </w:p>
    <w:p w14:paraId="204488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第四章 企业资产转让</w:t>
      </w:r>
    </w:p>
    <w:p w14:paraId="7E1C3EB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第七十七条 国家出资企业负责其各级子企业的资产转让管理。国家出资企业应当根据所处行业特点、子企业情况、资产类别及分布等因素，制定本企业资产转让的管理制度，明确资产转让管理的职责部门、管理权限、决策程序、工作流程，对其中应当在产权交易机构公开转让的各类资产的种类、金额标准等作出具体规定。</w:t>
      </w:r>
    </w:p>
    <w:p w14:paraId="310122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第七十八条 资产转让应当按照国家出资企业相关管理制度和企业章程履行决策程序。</w:t>
      </w:r>
    </w:p>
    <w:p w14:paraId="37B75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第七十九条 资产转让按照规定应当进行资产评估的，由转让方委托具有相应资质的中介机构开展资产评估工作，并完成资产评估备案程序。按照规定可以不进行资产评估的，转让方应当明确定价依据。</w:t>
      </w:r>
    </w:p>
    <w:p w14:paraId="07B601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第八十条 产权交易机构发布资产转让信息披露公告，应当包括但不限于以下内容：</w:t>
      </w:r>
    </w:p>
    <w:p w14:paraId="256156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（一）转让标的基本情况；</w:t>
      </w:r>
    </w:p>
    <w:p w14:paraId="7F9B9B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（二）转让底价、价款支付方式和期限要求、交易保证金设定等交易条件；</w:t>
      </w:r>
    </w:p>
    <w:p w14:paraId="3F791AD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（三）竞价方式；</w:t>
      </w:r>
    </w:p>
    <w:p w14:paraId="1B856D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（四）资产展示安排；</w:t>
      </w:r>
    </w:p>
    <w:p w14:paraId="59DCD2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（五）其他需要披露的事项。</w:t>
      </w:r>
    </w:p>
    <w:p w14:paraId="3F6FA7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除法律法规或相关规定另有要求的外，资产转让不得对受让方设置资格条件。</w:t>
      </w:r>
    </w:p>
    <w:p w14:paraId="4F717F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第八十一条 转让方应当明确信息披露公告的期限。</w:t>
      </w:r>
    </w:p>
    <w:p w14:paraId="58272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资产转让底价低于100万元的，公告时间不少于5个工作日；转让底价高于100万元（含）且低于1000万元的，公告时间不少于10个工作日；转让底价高于1000万元（含）的，公告时间不少于20个工作日。</w:t>
      </w:r>
    </w:p>
    <w:p w14:paraId="34F24D9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第八十二条 信息披露期满未征集到意向受让方，调整转让底价后重新披露信息的项目，首次信息披露转让底价低于1000万元的，公告时间不少于3个工作日；首次信息披露转让底价高于1000万元（含）的，公告时间不少于5个工作日。</w:t>
      </w:r>
    </w:p>
    <w:p w14:paraId="0AF7B6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第八十三条 资产转让意向受让方确认、受让方产生、交易凭证出具及变更登记办理等具体工作流程参照本规则关于企业产权转让的相关规定执行。</w:t>
      </w:r>
    </w:p>
    <w:p w14:paraId="171226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第八十四条 交易价款原则上一次性支付到产权交易机构指定结算账户。一次付清确有困难的，经国家出资企业同意，可以参照企业产权转让的相关规定，采取分期付款方式，并采用有效措施确保价款按期回收。</w:t>
      </w:r>
    </w:p>
    <w:p w14:paraId="78D350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第八十五条 交易双方应当按照资产交易合同或其他成交确认文件的约定，及时完成标的资产的交付工作。转让标的权属转移需进行变更登记的，应当按照国家有关规定办理变更登记手续。</w:t>
      </w:r>
    </w:p>
    <w:p w14:paraId="71098C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第五章 其他规定</w:t>
      </w:r>
    </w:p>
    <w:p w14:paraId="75F625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第八十六条 企业国有资产交易过程中，交易相关各方应当对所提交材料的真实性、完整性、准确性、有效性负责。</w:t>
      </w:r>
    </w:p>
    <w:p w14:paraId="09ADB1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第八十七条 企业国有资产交易项目相关工作人员及有关联关系的关联方拟参与交易的，应当符合企业领导人员任职回避等有关规定，且不得参与方案制定、审批和组织实施等工作。</w:t>
      </w:r>
    </w:p>
    <w:p w14:paraId="24B63B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第八十八条 企业产权转让、企业增资导致国家出资企业及其子企业失去标的企业实际控制权的，交易完成后标的企业不得继续使用国家出资企业及其子企业的名称字号、经营资质和特许经营权等无形资产，不得继续以国家出资企业子企业名义开展经营活动。上述要求应当在信息披露公告中作为交易条件予以明确，并在交易合同中对市场主体变更登记、名称字号变更等安排作出相应约定。</w:t>
      </w:r>
    </w:p>
    <w:p w14:paraId="5A7915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第八十九条 信息披露期间出现影响交易活动正常进行的情形，或者有关当事人提出中止信息披露书面申请和相关材料后，产权交易机构可以作出中止信息披露的决定。中止期限一般不超过30日。经转让方、增资企业申请恢复后的公告时间不少于10个工作日，累计披露时间不少于原公告要求的期限。</w:t>
      </w:r>
    </w:p>
    <w:p w14:paraId="54E3E5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第九十条 企业国有资产交易涉及主体资格审查、反垄断审查、公平竞争审查、特许经营权、国有划拨土地使用权、探矿权和采矿权等情形，需经政府相关部门批准的，交易各方应当将交易合同及相关材料报政府相关部门批准。</w:t>
      </w:r>
    </w:p>
    <w:p w14:paraId="3DCEC5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第九十一条 产权交易机构应当对企业国有资产交易活动中所形成的各种记录材料形成业务档案，并统一留存、保管。</w:t>
      </w:r>
    </w:p>
    <w:p w14:paraId="68C5B4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第九十二条 产权交易机构应当制定交易服务收费标准，向社会公开。</w:t>
      </w:r>
    </w:p>
    <w:p w14:paraId="3751584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第九十三条 除公告披露的信息外，交易各方、产权交易机构、中介机构以及各相关方应当对在企业国有资产交易过程中获悉的相关情况承担保密义务。</w:t>
      </w:r>
    </w:p>
    <w:p w14:paraId="4B44FB3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第九十四条 企业国有资产交易过程中发生争议的，当事方可以向产权交易机构申请调解。调解未达成一致的，可以向仲裁机构申请仲裁或者向人民法院提起诉讼。</w:t>
      </w:r>
    </w:p>
    <w:p w14:paraId="0A5738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第九十五条 国资监管机构发现转让方或增资企业未执行或违反相关规定、侵害国有权益的，应当责成其停止交易活动。造成国有资产损失的，承担相应违法违规责任；构成犯罪的，依法追究其刑事责任。</w:t>
      </w:r>
    </w:p>
    <w:p w14:paraId="260CF3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jc w:val="center"/>
        <w:rPr>
          <w:rFonts w:hint="eastAsia" w:ascii="宋体" w:hAnsi="宋体" w:eastAsia="宋体" w:cs="宋体"/>
          <w:i w:val="0"/>
          <w:iCs w:val="0"/>
          <w:sz w:val="28"/>
          <w:szCs w:val="28"/>
        </w:rPr>
      </w:pPr>
      <w:r>
        <w:rPr>
          <w:rStyle w:val="5"/>
          <w:rFonts w:hint="eastAsia" w:ascii="宋体" w:hAnsi="宋体" w:eastAsia="宋体" w:cs="宋体"/>
          <w:i w:val="0"/>
          <w:iCs w:val="0"/>
          <w:caps w:val="0"/>
          <w:color w:val="000000"/>
          <w:spacing w:val="0"/>
          <w:sz w:val="28"/>
          <w:szCs w:val="28"/>
          <w:bdr w:val="none" w:color="auto" w:sz="0" w:space="0"/>
        </w:rPr>
        <w:t>第六章 附则</w:t>
      </w:r>
    </w:p>
    <w:p w14:paraId="5B6845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第九十六条 本规则所提及的公告期限，以产权交易机构网站发布当日为起始日，累计公告时间不少于相关规定要求。</w:t>
      </w:r>
    </w:p>
    <w:p w14:paraId="369E40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第九十七条 企业国有资产交易采取非公开协议方式进行的，应当按照国资监管相关规定执行。</w:t>
      </w:r>
    </w:p>
    <w:p w14:paraId="475F9C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第九十八条 企业国有资产交易涉及上市公司的，应当同时遵守上市公司国有股权管理以及证券监督管理机构相关规定。</w:t>
      </w:r>
    </w:p>
    <w:p w14:paraId="1D0E6B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14" w:afterAutospacing="0" w:line="240" w:lineRule="atLeast"/>
        <w:ind w:left="0" w:right="0" w:firstLine="420"/>
        <w:jc w:val="both"/>
        <w:rPr>
          <w:rFonts w:hint="eastAsia" w:ascii="宋体" w:hAnsi="宋体" w:eastAsia="宋体" w:cs="宋体"/>
          <w:i w:val="0"/>
          <w:iCs w:val="0"/>
          <w:sz w:val="28"/>
          <w:szCs w:val="28"/>
        </w:rPr>
      </w:pPr>
      <w:r>
        <w:rPr>
          <w:rFonts w:hint="eastAsia" w:ascii="宋体" w:hAnsi="宋体" w:eastAsia="宋体" w:cs="宋体"/>
          <w:i w:val="0"/>
          <w:iCs w:val="0"/>
          <w:caps w:val="0"/>
          <w:color w:val="000000"/>
          <w:spacing w:val="0"/>
          <w:sz w:val="28"/>
          <w:szCs w:val="28"/>
          <w:bdr w:val="none" w:color="auto" w:sz="0" w:space="0"/>
        </w:rPr>
        <w:t>第九十九条 本规则自印发之日起施行。2009年6月15日印发的《企业国有产权交易操作规则》同时废止。</w:t>
      </w:r>
    </w:p>
    <w:p w14:paraId="37AA140F">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107554"/>
    <w:rsid w:val="6C107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2025-12-18T03:27:00Z</dcterms:created>
  <dc:creator>WPS_1620267379</dc:creator>
  <cp:lastModifiedBy>WPS_1620267379</cp:lastModifiedBy>
  <dcterms:modified xsi:type="dcterms:W3CDTF">2025-12-18T03:29:10Z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061D6C437B2A45E28038155DCA848DF2_11</vt:lpwstr>
  </property>
  <property fmtid="{D5CDD505-2E9C-101B-9397-08002B2CF9AE}" pid="4" name="KSOTemplateDocerSaveRecord">
    <vt:lpwstr>eyJoZGlkIjoiZjBkNWVhYTRmOWRkMDI0YjgxNzYyM2JjOWQwMWQwNjYiLCJ1c2VySWQiOiIxMjA4MzE1MjAyIn0=</vt:lpwstr>
  </property>
</Properties>
</file>