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5F61D">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b/>
          <w:bCs/>
          <w:sz w:val="40"/>
          <w:szCs w:val="40"/>
        </w:rPr>
      </w:pPr>
      <w:r>
        <w:rPr>
          <w:rFonts w:hint="eastAsia"/>
          <w:b/>
          <w:bCs/>
          <w:sz w:val="40"/>
          <w:szCs w:val="40"/>
        </w:rPr>
        <w:t>内蒙古自治区国资委关于印发监管企业资产</w:t>
      </w:r>
    </w:p>
    <w:p w14:paraId="7A98207D">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b/>
          <w:bCs/>
          <w:sz w:val="40"/>
          <w:szCs w:val="40"/>
        </w:rPr>
      </w:pPr>
      <w:r>
        <w:rPr>
          <w:rFonts w:hint="eastAsia"/>
          <w:b/>
          <w:bCs/>
          <w:sz w:val="40"/>
          <w:szCs w:val="40"/>
        </w:rPr>
        <w:t>减值准备财务核销及账销案存资产管理</w:t>
      </w:r>
    </w:p>
    <w:p w14:paraId="6C6DB24F">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b/>
          <w:bCs/>
          <w:sz w:val="40"/>
          <w:szCs w:val="40"/>
        </w:rPr>
      </w:pPr>
      <w:r>
        <w:rPr>
          <w:rFonts w:hint="eastAsia"/>
          <w:b/>
          <w:bCs/>
          <w:sz w:val="40"/>
          <w:szCs w:val="40"/>
        </w:rPr>
        <w:t>工作规则（试行）的通知</w:t>
      </w:r>
    </w:p>
    <w:p w14:paraId="527BA7F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0" w:firstLineChars="0"/>
        <w:textAlignment w:val="auto"/>
        <w:rPr>
          <w:rFonts w:hint="eastAsia"/>
          <w:sz w:val="28"/>
          <w:szCs w:val="28"/>
        </w:rPr>
      </w:pPr>
    </w:p>
    <w:p w14:paraId="1F8F53E4">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0" w:firstLineChars="0"/>
        <w:textAlignment w:val="auto"/>
        <w:rPr>
          <w:rFonts w:hint="eastAsia"/>
          <w:sz w:val="28"/>
          <w:szCs w:val="28"/>
        </w:rPr>
      </w:pPr>
      <w:r>
        <w:rPr>
          <w:rFonts w:hint="eastAsia"/>
          <w:sz w:val="28"/>
          <w:szCs w:val="28"/>
        </w:rPr>
        <w:t>各监管企业：</w:t>
      </w:r>
    </w:p>
    <w:p w14:paraId="0B1EF36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为加快推动监管企业陈年呆死坏账清理处置，规范企业资产减值准备财务核销和企业账销案存资产管理，减少“两金”占用，夯实国有资产质量，提高资产使用效率，提升企业财务管理水平，防范企业在重组整合、解决历史遗留问题过程中存在制度执行不规范系列问题，国资委制定《内蒙古国资委监管企业资产减值准备财务核销及账销案存资产管理工作规则（试行）》。经委务会审议通过，现印发给你们，请结合工作实际遵照执行，具体要求通知如下。</w:t>
      </w:r>
    </w:p>
    <w:p w14:paraId="72BB9DCE">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一、加快推动资产减值准备财务核销</w:t>
      </w:r>
    </w:p>
    <w:p w14:paraId="4470E92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针对部分企业可能存在的、预计可能发生损失的资产未积极获取合法有效证据、长期挂账不处置，核销程序不规范，减值依据不充分，信息披露不完整，未按要求履行内部决策程序，未对资产可收回金额进行科学评估或公允价值、未来现金流量的预测缺乏合理依据，核销后管理缺失，对已核销资产未建立备查账簿登记，未持续追踪追索权利，导致国有资产流失等问题，各监管企业应当按照本工作规则具体要求，对已计提减值准备的各项资产，进行认真甄别分类，建立不良资产专项管理制度，组织力量认真进行清理和追索，收回的资金或残值应当及时入账，对形成事实损失的资产，按规定要求和工作程序进行财务核销。</w:t>
      </w:r>
    </w:p>
    <w:p w14:paraId="3624DC4D">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二、强化账销案存资产管理</w:t>
      </w:r>
    </w:p>
    <w:p w14:paraId="6B7A1D0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针对部分企业可能存在的、经确认核准为损失、但尚未形成最终事实损失的资产长期挂账不核销，管理制度不健全，台账管理不规范，追索工作执行不力，资产处置程序不合规，资产核销后监控缺失等问题，各监管企业应当按照本工作规则具体要求，对资产清查中清理出的各项资产损失进行认真剖析，查找原因，明确责任，提出整改措施，建立和完善各项管理和内部控制制度，防止前清后乱。按照《国有企业清产核资办法》规定，组织力量对账销案存资产进行进一步清理和追索，通过法律诉讼等多种途径，尽可能收回资金或残值，防止国有资产流失。</w:t>
      </w:r>
    </w:p>
    <w:p w14:paraId="3270938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三、压实资产管理工作责任</w:t>
      </w:r>
    </w:p>
    <w:p w14:paraId="42D9572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一）监管企业主要负责人应对资产减值准备财务核销及账销案存资产的管理负领导责任，统筹企业内部各职能部门共同合力推动相关工作。业务部门承担清理与追索责任；财务、审计、法律等部门负审核责任；纪检监察部门负监督责任。企业内部相关部门应负责提供审核与监督工作所需的相关材料；企业集团总部对所属子企业资产减值准备财务核销工作负组织和监督责任；</w:t>
      </w:r>
    </w:p>
    <w:p w14:paraId="15DB26A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二）监管企业应对向国资委和会计师事务所提供的资产减值准备财务核销和账销案存资产销案相关资料的真实性、合法性和完整性承担责任。会计师事务所对企业资产减值准备财务核销情况披露信息的真实性、公允性承担相应责任；</w:t>
      </w:r>
    </w:p>
    <w:p w14:paraId="0949F62C">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三）监管企业在资产减值准备财务核销或账销案存资产销案过程中，未按照规定建立资产减值准备财务核销、账销案存资产相关管理制度，或建立的管理制度未得到有效执行的；未履行相关内部审批程序和未取得有效、合法证据，弄虚作假，擅自处置、私分侵吞的；因内部管理原因致使又产生新的同类资产损失的；未按照规定对因工作失职、渎职或者违反规定，造成损失的人员进行责任追究和处理的；国资委将责令限期改正，并给予通报批评。对违反国家有关法律法规，徇私舞弊，情节严重，造成国有资产流失或重大工作失误的，依规移送有关部门追究企业负责人及相关责任人的责任；有犯罪嫌疑的，依法移交司法机关处理；</w:t>
      </w:r>
    </w:p>
    <w:p w14:paraId="685C74B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sz w:val="28"/>
          <w:szCs w:val="28"/>
        </w:rPr>
      </w:pPr>
      <w:r>
        <w:rPr>
          <w:rFonts w:hint="eastAsia"/>
          <w:sz w:val="28"/>
          <w:szCs w:val="28"/>
        </w:rPr>
        <w:t>（四）企业应将资产减值准备财务核销情况报告、账销案存资产清理情况表和年度账销案存资产管理情况专项报告，随年度财务决算向国资委报备。国资委将委托会计师事务所在年度财务决算审计中对监管企业资产减值准备财务核销情况和账销案存资产管理情况进行审计。</w:t>
      </w:r>
    </w:p>
    <w:p w14:paraId="45506197">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jc w:val="right"/>
        <w:textAlignment w:val="auto"/>
        <w:rPr>
          <w:rFonts w:hint="eastAsia"/>
          <w:sz w:val="28"/>
          <w:szCs w:val="28"/>
        </w:rPr>
      </w:pPr>
      <w:r>
        <w:rPr>
          <w:rFonts w:hint="eastAsia"/>
          <w:sz w:val="28"/>
          <w:szCs w:val="28"/>
        </w:rPr>
        <w:t>内蒙古</w:t>
      </w:r>
      <w:bookmarkStart w:id="0" w:name="_GoBack"/>
      <w:bookmarkEnd w:id="0"/>
      <w:r>
        <w:rPr>
          <w:rFonts w:hint="eastAsia"/>
          <w:sz w:val="28"/>
          <w:szCs w:val="28"/>
        </w:rPr>
        <w:t>自治区国资委</w:t>
      </w:r>
    </w:p>
    <w:p w14:paraId="7D6DF11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jc w:val="right"/>
        <w:textAlignment w:val="auto"/>
        <w:rPr>
          <w:rFonts w:hint="eastAsia"/>
          <w:sz w:val="28"/>
          <w:szCs w:val="28"/>
        </w:rPr>
      </w:pPr>
      <w:r>
        <w:rPr>
          <w:rFonts w:hint="eastAsia"/>
          <w:sz w:val="28"/>
          <w:szCs w:val="28"/>
        </w:rPr>
        <w:t>2025年7月14日</w:t>
      </w:r>
    </w:p>
    <w:p w14:paraId="4770D9E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687B4D"/>
    <w:rsid w:val="1E687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2025-12-05T03:17:00Z</dcterms:created>
  <dc:creator>WPS_1620267379</dc:creator>
  <cp:lastModifiedBy>WPS_1620267379</cp:lastModifiedBy>
  <dcterms:modified xsi:type="dcterms:W3CDTF">2025-12-05T03:19:54Z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3332EA3E067B4BD3895941882348DE6D_11</vt:lpwstr>
  </property>
  <property fmtid="{D5CDD505-2E9C-101B-9397-08002B2CF9AE}" pid="4" name="KSOTemplateDocerSaveRecord">
    <vt:lpwstr>eyJoZGlkIjoiZjBkNWVhYTRmOWRkMDI0YjgxNzYyM2JjOWQwMWQwNjYiLCJ1c2VySWQiOiIxMjA4MzE1MjAyIn0=</vt:lpwstr>
  </property>
</Properties>
</file>