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contextualSpacing/>
        <w:jc w:val="both"/>
        <w:rPr>
          <w:rFonts w:ascii="仿宋_GB2312" w:hAnsi="仿宋_GB2312" w:eastAsia="仿宋_GB2312" w:cs="仿宋_GB2312"/>
          <w:color w:val="000000"/>
          <w:w w:val="1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10"/>
          <w:sz w:val="32"/>
          <w:szCs w:val="32"/>
          <w:lang w:eastAsia="zh-CN"/>
        </w:rPr>
        <w:t>附件1：</w:t>
      </w:r>
    </w:p>
    <w:p>
      <w:pPr>
        <w:widowControl w:val="0"/>
        <w:spacing w:line="580" w:lineRule="exact"/>
        <w:contextualSpacing/>
        <w:jc w:val="center"/>
        <w:rPr>
          <w:rFonts w:ascii="仿宋_GB2312" w:hAnsi="仿宋_GB2312" w:eastAsia="仿宋_GB2312" w:cs="仿宋_GB2312"/>
          <w:color w:val="000000"/>
          <w:w w:val="11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w w:val="110"/>
          <w:sz w:val="32"/>
          <w:szCs w:val="32"/>
          <w:lang w:eastAsia="zh-CN"/>
        </w:rPr>
        <w:t>简易低风险工程建设项目清单</w:t>
      </w:r>
    </w:p>
    <w:bookmarkEnd w:id="0"/>
    <w:tbl>
      <w:tblPr>
        <w:tblStyle w:val="4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9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08" w:type="dxa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建筑物性质</w:t>
            </w:r>
          </w:p>
        </w:tc>
        <w:tc>
          <w:tcPr>
            <w:tcW w:w="2209" w:type="dxa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用途限定条件</w:t>
            </w:r>
          </w:p>
        </w:tc>
        <w:tc>
          <w:tcPr>
            <w:tcW w:w="2209" w:type="dxa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位置</w:t>
            </w:r>
          </w:p>
        </w:tc>
        <w:tc>
          <w:tcPr>
            <w:tcW w:w="2209" w:type="dxa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2208" w:type="dxa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仓库</w:t>
            </w:r>
          </w:p>
        </w:tc>
        <w:tc>
          <w:tcPr>
            <w:tcW w:w="2209" w:type="dxa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不存放易燃、易爆、有毒、有害物品或危险品；不影响周边主体相邻权等合法权益。</w:t>
            </w:r>
          </w:p>
        </w:tc>
        <w:tc>
          <w:tcPr>
            <w:tcW w:w="2209" w:type="dxa"/>
            <w:vMerge w:val="restart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位于规划建设用地范围内，市政管网配套健全，管线接入不需要破坏城市主干道或快速路；无拆迁、且未位于文物保护范围、建控地带、地下文物埋藏区、《建设项目环境影响评价分类管理名录》确定的环境敏感区；且未位于机要单位和名木古树30米范围内。</w:t>
            </w:r>
          </w:p>
        </w:tc>
        <w:tc>
          <w:tcPr>
            <w:tcW w:w="2209" w:type="dxa"/>
            <w:vMerge w:val="restart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总建筑面积小于2000平方米、总高度小于12米、单层高度小于6米且不超过二层，无地下室（为生产、消防需要建设的地下泵房、消防水池除外）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2208" w:type="dxa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厂房</w:t>
            </w:r>
          </w:p>
        </w:tc>
        <w:tc>
          <w:tcPr>
            <w:tcW w:w="2209" w:type="dxa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不生产易燃、易爆、有毒、有害物品或危险品、属非劳动密集型企业；不影响周边主体相邻权等合法权益。</w:t>
            </w:r>
          </w:p>
        </w:tc>
        <w:tc>
          <w:tcPr>
            <w:tcW w:w="2209" w:type="dxa"/>
            <w:vMerge w:val="continue"/>
          </w:tcPr>
          <w:p>
            <w:pPr>
              <w:widowControl w:val="0"/>
              <w:spacing w:line="580" w:lineRule="exact"/>
              <w:contextualSpacing/>
              <w:jc w:val="both"/>
              <w:rPr>
                <w:rFonts w:ascii="仿宋_GB2312" w:hAnsi="仿宋_GB2312" w:eastAsia="仿宋_GB2312" w:cs="仿宋_GB2312"/>
                <w:color w:val="000000"/>
                <w:w w:val="110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widowControl w:val="0"/>
              <w:spacing w:line="580" w:lineRule="exact"/>
              <w:contextualSpacing/>
              <w:jc w:val="both"/>
              <w:rPr>
                <w:rFonts w:ascii="仿宋_GB2312" w:hAnsi="仿宋_GB2312" w:eastAsia="仿宋_GB2312" w:cs="仿宋_GB2312"/>
                <w:color w:val="000000"/>
                <w:w w:val="110"/>
                <w:lang w:eastAsia="zh-CN"/>
              </w:rPr>
            </w:pPr>
          </w:p>
        </w:tc>
      </w:tr>
    </w:tbl>
    <w:p>
      <w:pPr>
        <w:spacing w:before="100" w:beforeAutospacing="1" w:after="100" w:afterAutospacing="1" w:line="400" w:lineRule="exact"/>
        <w:rPr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65E3"/>
    <w:rsid w:val="EF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2022-03-10T17:27:00Z</dcterms:created>
  <dc:creator>user</dc:creator>
  <cp:lastModifiedBy>user</cp:lastModifiedBy>
  <dcterms:modified xsi:type="dcterms:W3CDTF">2022-03-10T17:28:43Z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