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《鄂尔多斯细毛羊</w:t>
      </w:r>
      <w:r>
        <w:rPr>
          <w:rFonts w:hint="eastAsia" w:asciiTheme="majorEastAsia" w:hAnsiTheme="majorEastAsia" w:eastAsiaTheme="majorEastAsia" w:cstheme="majorEastAsia"/>
          <w:b/>
          <w:bCs/>
          <w:sz w:val="44"/>
          <w:szCs w:val="44"/>
          <w:lang w:val="en-US" w:eastAsia="zh-CN"/>
        </w:rPr>
        <w:t>片形吸</w:t>
      </w:r>
      <w:r>
        <w:rPr>
          <w:rFonts w:hint="eastAsia" w:asciiTheme="majorEastAsia" w:hAnsiTheme="majorEastAsia" w:eastAsiaTheme="majorEastAsia" w:cstheme="majorEastAsia"/>
          <w:b/>
          <w:bCs/>
          <w:sz w:val="44"/>
          <w:szCs w:val="44"/>
        </w:rPr>
        <w:t>虫病精准防控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技术规范》地方标准编制说明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一、工作简介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bookmarkStart w:id="0" w:name="OLE_LINK5"/>
      <w:r>
        <w:rPr>
          <w:rFonts w:hint="eastAsia" w:ascii="仿宋_GB2312" w:hAnsi="仿宋_GB2312" w:eastAsia="仿宋_GB2312" w:cs="仿宋_GB2312"/>
          <w:b/>
          <w:bCs/>
          <w:sz w:val="32"/>
          <w:szCs w:val="32"/>
        </w:rPr>
        <w:t>（一）项目来源</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2024年3月，鄂尔多斯市市场局印发了《鄂尔多斯市市场监督管理局关于征集2024年鄂尔多斯市地方标准制修订项目的通知》，乌审旗动物疫病预防控制中心按照要求提出申请，10月12日鄂尔多斯市市场监督管理局下发了《鄂尔多斯市市场监督管理局关于下达2024年第四批鄂尔多斯市地方标准制修订项目计划的通知》（鄂市监函[2024]639号）批准《鄂尔多斯细毛羊消化道线虫病精准防控关键技术规范》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（二）提出单位和归口单位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乌审旗农牧局提出并归口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（三）起草单位、协作单位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起草单位：乌审旗动物疫病预防控制中心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协作单位：内蒙古农业大学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（四）主要起草人</w:t>
      </w:r>
    </w:p>
    <w:tbl>
      <w:tblPr>
        <w:tblStyle w:val="8"/>
        <w:tblpPr w:leftFromText="180" w:rightFromText="180" w:vertAnchor="text" w:horzAnchor="page" w:tblpX="768" w:tblpY="850"/>
        <w:tblOverlap w:val="never"/>
        <w:tblW w:w="1041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3"/>
        <w:gridCol w:w="700"/>
        <w:gridCol w:w="2680"/>
        <w:gridCol w:w="2123"/>
        <w:gridCol w:w="31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6" w:hRule="atLeast"/>
        </w:trPr>
        <w:tc>
          <w:tcPr>
            <w:tcW w:w="1743" w:type="dxa"/>
            <w:vAlign w:val="center"/>
          </w:tcPr>
          <w:p>
            <w:pPr>
              <w:pStyle w:val="7"/>
              <w:spacing w:before="43" w:line="206" w:lineRule="auto"/>
              <w:jc w:val="center"/>
              <w:rPr>
                <w:rFonts w:hint="eastAsia" w:ascii="仿宋_GB2312" w:hAnsi="仿宋_GB2312" w:eastAsia="仿宋_GB2312" w:cs="仿宋_GB2312"/>
                <w:b/>
                <w:bCs/>
              </w:rPr>
            </w:pPr>
            <w:r>
              <w:rPr>
                <w:rFonts w:hint="eastAsia" w:ascii="仿宋_GB2312" w:hAnsi="仿宋_GB2312" w:eastAsia="仿宋_GB2312" w:cs="仿宋_GB2312"/>
                <w:b/>
                <w:bCs/>
                <w:spacing w:val="-5"/>
              </w:rPr>
              <w:t>姓</w:t>
            </w:r>
            <w:r>
              <w:rPr>
                <w:rFonts w:hint="eastAsia" w:ascii="仿宋_GB2312" w:hAnsi="仿宋_GB2312" w:eastAsia="仿宋_GB2312" w:cs="仿宋_GB2312"/>
                <w:b/>
                <w:bCs/>
                <w:spacing w:val="5"/>
              </w:rPr>
              <w:t xml:space="preserve"> </w:t>
            </w:r>
            <w:r>
              <w:rPr>
                <w:rFonts w:hint="eastAsia" w:ascii="仿宋_GB2312" w:hAnsi="仿宋_GB2312" w:eastAsia="仿宋_GB2312" w:cs="仿宋_GB2312"/>
                <w:b/>
                <w:bCs/>
                <w:spacing w:val="-5"/>
              </w:rPr>
              <w:t>名</w:t>
            </w:r>
          </w:p>
        </w:tc>
        <w:tc>
          <w:tcPr>
            <w:tcW w:w="700" w:type="dxa"/>
            <w:vAlign w:val="center"/>
          </w:tcPr>
          <w:p>
            <w:pPr>
              <w:pStyle w:val="7"/>
              <w:spacing w:before="43" w:line="206" w:lineRule="auto"/>
              <w:jc w:val="center"/>
              <w:rPr>
                <w:rFonts w:hint="eastAsia" w:ascii="仿宋_GB2312" w:hAnsi="仿宋_GB2312" w:eastAsia="仿宋_GB2312" w:cs="仿宋_GB2312"/>
                <w:b/>
                <w:bCs/>
              </w:rPr>
            </w:pPr>
            <w:r>
              <w:rPr>
                <w:rFonts w:hint="eastAsia" w:ascii="仿宋_GB2312" w:hAnsi="仿宋_GB2312" w:eastAsia="仿宋_GB2312" w:cs="仿宋_GB2312"/>
                <w:b/>
                <w:bCs/>
                <w:spacing w:val="-8"/>
              </w:rPr>
              <w:t>性别</w:t>
            </w:r>
          </w:p>
        </w:tc>
        <w:tc>
          <w:tcPr>
            <w:tcW w:w="2680" w:type="dxa"/>
            <w:vAlign w:val="center"/>
          </w:tcPr>
          <w:p>
            <w:pPr>
              <w:pStyle w:val="7"/>
              <w:spacing w:before="43" w:line="206" w:lineRule="auto"/>
              <w:ind w:left="526" w:leftChars="0"/>
              <w:jc w:val="center"/>
              <w:rPr>
                <w:rFonts w:hint="eastAsia" w:ascii="仿宋_GB2312" w:hAnsi="仿宋_GB2312" w:eastAsia="仿宋_GB2312" w:cs="仿宋_GB2312"/>
                <w:b/>
                <w:bCs/>
                <w:spacing w:val="-3"/>
              </w:rPr>
            </w:pPr>
            <w:r>
              <w:rPr>
                <w:rFonts w:hint="eastAsia" w:ascii="仿宋_GB2312" w:hAnsi="仿宋_GB2312" w:eastAsia="仿宋_GB2312" w:cs="仿宋_GB2312"/>
                <w:b/>
                <w:bCs/>
                <w:spacing w:val="-4"/>
              </w:rPr>
              <w:t>职务/职称</w:t>
            </w:r>
          </w:p>
        </w:tc>
        <w:tc>
          <w:tcPr>
            <w:tcW w:w="2123" w:type="dxa"/>
            <w:vAlign w:val="center"/>
          </w:tcPr>
          <w:p>
            <w:pPr>
              <w:pStyle w:val="7"/>
              <w:spacing w:before="43" w:line="206" w:lineRule="auto"/>
              <w:jc w:val="center"/>
              <w:rPr>
                <w:rFonts w:hint="eastAsia" w:ascii="仿宋_GB2312" w:hAnsi="仿宋_GB2312" w:eastAsia="仿宋_GB2312" w:cs="仿宋_GB2312"/>
                <w:b/>
                <w:bCs/>
                <w:spacing w:val="-1"/>
                <w:lang w:val="en-US" w:eastAsia="zh-CN"/>
              </w:rPr>
            </w:pPr>
            <w:r>
              <w:rPr>
                <w:rFonts w:hint="eastAsia" w:ascii="仿宋_GB2312" w:hAnsi="仿宋_GB2312" w:eastAsia="仿宋_GB2312" w:cs="仿宋_GB2312"/>
                <w:b/>
                <w:bCs/>
                <w:spacing w:val="-4"/>
              </w:rPr>
              <w:t>工作单位</w:t>
            </w:r>
          </w:p>
        </w:tc>
        <w:tc>
          <w:tcPr>
            <w:tcW w:w="3173" w:type="dxa"/>
            <w:vAlign w:val="center"/>
          </w:tcPr>
          <w:p>
            <w:pPr>
              <w:pStyle w:val="7"/>
              <w:spacing w:before="43" w:line="206" w:lineRule="auto"/>
              <w:ind w:left="735" w:leftChars="0"/>
              <w:jc w:val="center"/>
              <w:rPr>
                <w:rFonts w:hint="eastAsia" w:ascii="仿宋_GB2312" w:hAnsi="仿宋_GB2312" w:eastAsia="仿宋_GB2312" w:cs="仿宋_GB2312"/>
                <w:b/>
                <w:bCs/>
                <w:spacing w:val="-2"/>
              </w:rPr>
            </w:pPr>
            <w:r>
              <w:rPr>
                <w:rFonts w:hint="eastAsia" w:ascii="仿宋_GB2312" w:hAnsi="仿宋_GB2312" w:eastAsia="仿宋_GB2312" w:cs="仿宋_GB2312"/>
                <w:b/>
                <w:bCs/>
                <w:spacing w:val="-4"/>
              </w:rPr>
              <w:t>任务分工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0" w:hRule="atLeast"/>
        </w:trPr>
        <w:tc>
          <w:tcPr>
            <w:tcW w:w="1743"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布音布和</w:t>
            </w:r>
          </w:p>
        </w:tc>
        <w:tc>
          <w:tcPr>
            <w:tcW w:w="700"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男</w:t>
            </w:r>
          </w:p>
        </w:tc>
        <w:tc>
          <w:tcPr>
            <w:tcW w:w="2680"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ind w:right="145" w:rightChars="0"/>
              <w:jc w:val="center"/>
              <w:textAlignment w:val="auto"/>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4"/>
                <w:sz w:val="24"/>
                <w:szCs w:val="24"/>
                <w:lang w:val="en-US" w:eastAsia="zh-CN"/>
              </w:rPr>
              <w:t>中心</w:t>
            </w:r>
            <w:r>
              <w:rPr>
                <w:rFonts w:hint="eastAsia" w:ascii="仿宋_GB2312" w:hAnsi="仿宋_GB2312" w:eastAsia="仿宋_GB2312" w:cs="仿宋_GB2312"/>
                <w:spacing w:val="-4"/>
                <w:sz w:val="24"/>
                <w:szCs w:val="24"/>
              </w:rPr>
              <w:t>主任/高级兽医</w:t>
            </w:r>
            <w:r>
              <w:rPr>
                <w:rFonts w:hint="eastAsia" w:ascii="仿宋_GB2312" w:hAnsi="仿宋_GB2312" w:eastAsia="仿宋_GB2312" w:cs="仿宋_GB2312"/>
                <w:sz w:val="24"/>
                <w:szCs w:val="24"/>
              </w:rPr>
              <w:t>师</w:t>
            </w:r>
          </w:p>
        </w:tc>
        <w:tc>
          <w:tcPr>
            <w:tcW w:w="2123"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ind w:left="794" w:leftChars="0" w:right="165" w:rightChars="0" w:hanging="621" w:firstLineChars="0"/>
              <w:jc w:val="center"/>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lang w:val="en-US" w:eastAsia="zh-CN"/>
              </w:rPr>
              <w:t>乌审旗</w:t>
            </w:r>
            <w:r>
              <w:rPr>
                <w:rFonts w:hint="eastAsia" w:ascii="仿宋_GB2312" w:hAnsi="仿宋_GB2312" w:eastAsia="仿宋_GB2312" w:cs="仿宋_GB2312"/>
                <w:spacing w:val="-1"/>
                <w:sz w:val="24"/>
                <w:szCs w:val="24"/>
              </w:rPr>
              <w:t>动物疫病</w:t>
            </w:r>
          </w:p>
          <w:p>
            <w:pPr>
              <w:pStyle w:val="7"/>
              <w:keepNext w:val="0"/>
              <w:keepLines w:val="0"/>
              <w:pageBreakBefore w:val="0"/>
              <w:widowControl w:val="0"/>
              <w:kinsoku/>
              <w:wordWrap/>
              <w:overflowPunct/>
              <w:topLinePunct w:val="0"/>
              <w:autoSpaceDE/>
              <w:autoSpaceDN/>
              <w:bidi w:val="0"/>
              <w:adjustRightInd/>
              <w:snapToGrid/>
              <w:spacing w:line="320" w:lineRule="exact"/>
              <w:ind w:left="794" w:leftChars="0" w:right="165" w:rightChars="0" w:hanging="621" w:firstLineChars="0"/>
              <w:jc w:val="center"/>
              <w:textAlignment w:val="auto"/>
              <w:rPr>
                <w:rFonts w:hint="eastAsia" w:ascii="仿宋_GB2312" w:hAnsi="仿宋_GB2312" w:eastAsia="仿宋_GB2312" w:cs="仿宋_GB2312"/>
                <w:spacing w:val="-1"/>
                <w:sz w:val="24"/>
                <w:szCs w:val="24"/>
                <w:lang w:val="en-US" w:eastAsia="zh-CN"/>
              </w:rPr>
            </w:pPr>
            <w:r>
              <w:rPr>
                <w:rFonts w:hint="eastAsia" w:ascii="仿宋_GB2312" w:hAnsi="仿宋_GB2312" w:eastAsia="仿宋_GB2312" w:cs="仿宋_GB2312"/>
                <w:spacing w:val="-1"/>
                <w:sz w:val="24"/>
                <w:szCs w:val="24"/>
              </w:rPr>
              <w:t>预</w:t>
            </w:r>
            <w:r>
              <w:rPr>
                <w:rFonts w:hint="eastAsia" w:ascii="仿宋_GB2312" w:hAnsi="仿宋_GB2312" w:eastAsia="仿宋_GB2312" w:cs="仿宋_GB2312"/>
                <w:spacing w:val="-7"/>
                <w:sz w:val="24"/>
                <w:szCs w:val="24"/>
              </w:rPr>
              <w:t>防控制中心</w:t>
            </w:r>
          </w:p>
        </w:tc>
        <w:tc>
          <w:tcPr>
            <w:tcW w:w="3173"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ind w:right="125" w:rightChars="0"/>
              <w:jc w:val="center"/>
              <w:textAlignment w:val="auto"/>
              <w:rPr>
                <w:rFonts w:hint="default"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rPr>
              <w:t>组长，统筹协调</w:t>
            </w:r>
            <w:r>
              <w:rPr>
                <w:rFonts w:hint="eastAsia" w:ascii="仿宋_GB2312" w:hAnsi="仿宋_GB2312" w:eastAsia="仿宋_GB2312" w:cs="仿宋_GB2312"/>
                <w:spacing w:val="-3"/>
                <w:sz w:val="24"/>
                <w:szCs w:val="24"/>
              </w:rPr>
              <w:t>各项工作</w:t>
            </w:r>
            <w:r>
              <w:rPr>
                <w:rFonts w:hint="eastAsia" w:ascii="仿宋_GB2312" w:hAnsi="仿宋_GB2312" w:eastAsia="仿宋_GB2312" w:cs="仿宋_GB2312"/>
                <w:spacing w:val="-3"/>
                <w:sz w:val="24"/>
                <w:szCs w:val="24"/>
                <w:lang w:eastAsia="zh-CN"/>
              </w:rPr>
              <w:t>，</w:t>
            </w:r>
            <w:r>
              <w:rPr>
                <w:rFonts w:hint="eastAsia" w:ascii="仿宋_GB2312" w:hAnsi="仿宋_GB2312" w:eastAsia="仿宋_GB2312" w:cs="仿宋_GB2312"/>
                <w:spacing w:val="-3"/>
                <w:sz w:val="24"/>
                <w:szCs w:val="24"/>
                <w:lang w:val="en-US" w:eastAsia="zh-CN"/>
              </w:rPr>
              <w:t>参与临床试验、防治及方案确定、标准编制工作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trPr>
        <w:tc>
          <w:tcPr>
            <w:tcW w:w="1743"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哈斯苏荣</w:t>
            </w:r>
          </w:p>
        </w:tc>
        <w:tc>
          <w:tcPr>
            <w:tcW w:w="700"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男</w:t>
            </w:r>
          </w:p>
        </w:tc>
        <w:tc>
          <w:tcPr>
            <w:tcW w:w="2680"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pacing w:val="-3"/>
                <w:kern w:val="2"/>
                <w:sz w:val="24"/>
                <w:szCs w:val="24"/>
                <w:lang w:val="en-US" w:eastAsia="zh-CN" w:bidi="ar-SA"/>
              </w:rPr>
            </w:pPr>
            <w:r>
              <w:rPr>
                <w:rFonts w:hint="eastAsia" w:ascii="仿宋_GB2312" w:hAnsi="仿宋_GB2312" w:eastAsia="仿宋_GB2312" w:cs="仿宋_GB2312"/>
                <w:spacing w:val="-4"/>
                <w:sz w:val="24"/>
                <w:szCs w:val="24"/>
                <w:lang w:val="en-US" w:eastAsia="zh-CN"/>
              </w:rPr>
              <w:t>正教授/正高</w:t>
            </w:r>
          </w:p>
        </w:tc>
        <w:tc>
          <w:tcPr>
            <w:tcW w:w="2123"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ind w:left="794" w:leftChars="0" w:right="165" w:rightChars="0" w:hanging="621" w:firstLineChars="0"/>
              <w:jc w:val="center"/>
              <w:textAlignment w:val="auto"/>
              <w:rPr>
                <w:rFonts w:hint="default" w:ascii="仿宋_GB2312" w:hAnsi="仿宋_GB2312" w:eastAsia="仿宋_GB2312" w:cs="仿宋_GB2312"/>
                <w:spacing w:val="-1"/>
                <w:kern w:val="2"/>
                <w:sz w:val="24"/>
                <w:szCs w:val="24"/>
                <w:lang w:val="en-US" w:eastAsia="zh-CN" w:bidi="ar-SA"/>
              </w:rPr>
            </w:pPr>
            <w:r>
              <w:rPr>
                <w:rFonts w:hint="eastAsia" w:ascii="仿宋_GB2312" w:hAnsi="仿宋_GB2312" w:eastAsia="仿宋_GB2312" w:cs="仿宋_GB2312"/>
                <w:spacing w:val="-1"/>
                <w:kern w:val="2"/>
                <w:sz w:val="24"/>
                <w:szCs w:val="24"/>
                <w:lang w:val="en-US" w:eastAsia="zh-CN" w:bidi="ar-SA"/>
              </w:rPr>
              <w:t>内蒙古农业大学</w:t>
            </w:r>
          </w:p>
        </w:tc>
        <w:tc>
          <w:tcPr>
            <w:tcW w:w="3173"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ind w:right="125" w:rightChars="0"/>
              <w:jc w:val="center"/>
              <w:textAlignment w:val="auto"/>
              <w:rPr>
                <w:rFonts w:hint="eastAsia" w:ascii="仿宋_GB2312" w:hAnsi="仿宋_GB2312" w:eastAsia="仿宋_GB2312" w:cs="仿宋_GB2312"/>
                <w:spacing w:val="-2"/>
                <w:kern w:val="2"/>
                <w:sz w:val="24"/>
                <w:szCs w:val="24"/>
                <w:lang w:val="en-US" w:eastAsia="en-US" w:bidi="ar-SA"/>
              </w:rPr>
            </w:pPr>
            <w:r>
              <w:rPr>
                <w:rFonts w:hint="eastAsia" w:ascii="仿宋_GB2312" w:hAnsi="仿宋_GB2312" w:eastAsia="仿宋_GB2312" w:cs="仿宋_GB2312"/>
                <w:spacing w:val="-4"/>
                <w:sz w:val="24"/>
                <w:szCs w:val="24"/>
              </w:rPr>
              <w:t>副组长，</w:t>
            </w:r>
            <w:r>
              <w:rPr>
                <w:rFonts w:hint="eastAsia" w:ascii="仿宋_GB2312" w:hAnsi="仿宋_GB2312" w:eastAsia="仿宋_GB2312" w:cs="仿宋_GB2312"/>
                <w:spacing w:val="-4"/>
                <w:sz w:val="24"/>
                <w:szCs w:val="24"/>
                <w:lang w:val="en-US" w:eastAsia="zh-CN"/>
              </w:rPr>
              <w:t>技术总监，</w:t>
            </w:r>
            <w:r>
              <w:rPr>
                <w:rFonts w:hint="eastAsia" w:ascii="仿宋_GB2312" w:hAnsi="仿宋_GB2312" w:eastAsia="仿宋_GB2312" w:cs="仿宋_GB2312"/>
                <w:spacing w:val="-4"/>
                <w:sz w:val="24"/>
                <w:szCs w:val="24"/>
              </w:rPr>
              <w:t>落实</w:t>
            </w:r>
            <w:r>
              <w:rPr>
                <w:rFonts w:hint="eastAsia" w:ascii="仿宋_GB2312" w:hAnsi="仿宋_GB2312" w:eastAsia="仿宋_GB2312" w:cs="仿宋_GB2312"/>
                <w:spacing w:val="-4"/>
                <w:sz w:val="24"/>
                <w:szCs w:val="24"/>
                <w:lang w:val="en-US" w:eastAsia="zh-CN"/>
              </w:rPr>
              <w:t>样品采集、临床试验、检测诊断、防治及标准编制各项</w:t>
            </w:r>
            <w:r>
              <w:rPr>
                <w:rFonts w:hint="eastAsia" w:ascii="仿宋_GB2312" w:hAnsi="仿宋_GB2312" w:eastAsia="仿宋_GB2312" w:cs="仿宋_GB2312"/>
                <w:spacing w:val="-4"/>
                <w:sz w:val="24"/>
                <w:szCs w:val="24"/>
              </w:rPr>
              <w:t>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0" w:hRule="atLeast"/>
        </w:trPr>
        <w:tc>
          <w:tcPr>
            <w:tcW w:w="1743"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海鹰</w:t>
            </w:r>
          </w:p>
        </w:tc>
        <w:tc>
          <w:tcPr>
            <w:tcW w:w="700"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男</w:t>
            </w:r>
          </w:p>
        </w:tc>
        <w:tc>
          <w:tcPr>
            <w:tcW w:w="2680"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ind w:right="145" w:rightChars="0"/>
              <w:jc w:val="center"/>
              <w:textAlignment w:val="auto"/>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3"/>
                <w:sz w:val="24"/>
                <w:szCs w:val="24"/>
              </w:rPr>
              <w:t>高级</w:t>
            </w:r>
            <w:r>
              <w:rPr>
                <w:rFonts w:hint="eastAsia" w:ascii="仿宋_GB2312" w:hAnsi="仿宋_GB2312" w:eastAsia="仿宋_GB2312" w:cs="仿宋_GB2312"/>
                <w:spacing w:val="-5"/>
                <w:sz w:val="24"/>
                <w:szCs w:val="24"/>
              </w:rPr>
              <w:t>兽医师</w:t>
            </w:r>
          </w:p>
        </w:tc>
        <w:tc>
          <w:tcPr>
            <w:tcW w:w="2123"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ind w:right="165" w:rightChars="0"/>
              <w:jc w:val="center"/>
              <w:textAlignment w:val="auto"/>
              <w:rPr>
                <w:rFonts w:hint="eastAsia" w:ascii="仿宋_GB2312" w:hAnsi="仿宋_GB2312" w:eastAsia="仿宋_GB2312" w:cs="仿宋_GB2312"/>
                <w:spacing w:val="-1"/>
                <w:sz w:val="24"/>
                <w:szCs w:val="24"/>
                <w:lang w:val="en-US" w:eastAsia="zh-CN"/>
              </w:rPr>
            </w:pPr>
            <w:r>
              <w:rPr>
                <w:rFonts w:hint="eastAsia" w:ascii="仿宋_GB2312" w:hAnsi="仿宋_GB2312" w:eastAsia="仿宋_GB2312" w:cs="仿宋_GB2312"/>
                <w:spacing w:val="-1"/>
                <w:sz w:val="24"/>
                <w:szCs w:val="24"/>
                <w:lang w:val="en-US" w:eastAsia="zh-CN"/>
              </w:rPr>
              <w:t>乌审旗</w:t>
            </w:r>
            <w:r>
              <w:rPr>
                <w:rFonts w:hint="eastAsia" w:ascii="仿宋_GB2312" w:hAnsi="仿宋_GB2312" w:eastAsia="仿宋_GB2312" w:cs="仿宋_GB2312"/>
                <w:spacing w:val="-1"/>
                <w:sz w:val="24"/>
                <w:szCs w:val="24"/>
              </w:rPr>
              <w:t>动物疫病预</w:t>
            </w:r>
            <w:r>
              <w:rPr>
                <w:rFonts w:hint="eastAsia" w:ascii="仿宋_GB2312" w:hAnsi="仿宋_GB2312" w:eastAsia="仿宋_GB2312" w:cs="仿宋_GB2312"/>
                <w:spacing w:val="-7"/>
                <w:sz w:val="24"/>
                <w:szCs w:val="24"/>
              </w:rPr>
              <w:t>防控制中心</w:t>
            </w:r>
            <w:r>
              <w:rPr>
                <w:rFonts w:hint="eastAsia" w:ascii="仿宋_GB2312" w:hAnsi="仿宋_GB2312" w:eastAsia="仿宋_GB2312" w:cs="仿宋_GB2312"/>
                <w:spacing w:val="-7"/>
                <w:sz w:val="24"/>
                <w:szCs w:val="24"/>
                <w:lang w:eastAsia="zh-CN"/>
              </w:rPr>
              <w:t>（</w:t>
            </w:r>
            <w:r>
              <w:rPr>
                <w:rFonts w:hint="eastAsia" w:ascii="仿宋_GB2312" w:hAnsi="仿宋_GB2312" w:eastAsia="仿宋_GB2312" w:cs="仿宋_GB2312"/>
                <w:spacing w:val="-7"/>
                <w:sz w:val="24"/>
                <w:szCs w:val="24"/>
                <w:lang w:val="en-US" w:eastAsia="zh-CN"/>
              </w:rPr>
              <w:t>返聘</w:t>
            </w:r>
            <w:r>
              <w:rPr>
                <w:rFonts w:hint="eastAsia" w:ascii="仿宋_GB2312" w:hAnsi="仿宋_GB2312" w:eastAsia="仿宋_GB2312" w:cs="仿宋_GB2312"/>
                <w:spacing w:val="-7"/>
                <w:sz w:val="24"/>
                <w:szCs w:val="24"/>
                <w:lang w:eastAsia="zh-CN"/>
              </w:rPr>
              <w:t>）</w:t>
            </w:r>
          </w:p>
        </w:tc>
        <w:tc>
          <w:tcPr>
            <w:tcW w:w="3173"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ind w:right="125" w:rightChars="0"/>
              <w:jc w:val="center"/>
              <w:textAlignment w:val="auto"/>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4"/>
                <w:sz w:val="24"/>
                <w:szCs w:val="24"/>
              </w:rPr>
              <w:t>副组长，落实</w:t>
            </w:r>
            <w:r>
              <w:rPr>
                <w:rFonts w:hint="eastAsia" w:ascii="仿宋_GB2312" w:hAnsi="仿宋_GB2312" w:eastAsia="仿宋_GB2312" w:cs="仿宋_GB2312"/>
                <w:spacing w:val="-4"/>
                <w:sz w:val="24"/>
                <w:szCs w:val="24"/>
                <w:lang w:val="en-US" w:eastAsia="zh-CN"/>
              </w:rPr>
              <w:t>样品采集、临床试验、检测诊断、防治及标准编制各项</w:t>
            </w:r>
            <w:r>
              <w:rPr>
                <w:rFonts w:hint="eastAsia" w:ascii="仿宋_GB2312" w:hAnsi="仿宋_GB2312" w:eastAsia="仿宋_GB2312" w:cs="仿宋_GB2312"/>
                <w:spacing w:val="-4"/>
                <w:sz w:val="24"/>
                <w:szCs w:val="24"/>
              </w:rPr>
              <w:t>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0" w:hRule="atLeast"/>
        </w:trPr>
        <w:tc>
          <w:tcPr>
            <w:tcW w:w="1743"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贡庆扎布</w:t>
            </w:r>
          </w:p>
        </w:tc>
        <w:tc>
          <w:tcPr>
            <w:tcW w:w="700"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男</w:t>
            </w:r>
          </w:p>
        </w:tc>
        <w:tc>
          <w:tcPr>
            <w:tcW w:w="2680"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pacing w:val="-3"/>
                <w:kern w:val="2"/>
                <w:sz w:val="24"/>
                <w:szCs w:val="24"/>
                <w:lang w:val="en-US" w:eastAsia="zh-CN" w:bidi="ar-SA"/>
              </w:rPr>
            </w:pPr>
            <w:r>
              <w:rPr>
                <w:rFonts w:hint="eastAsia" w:ascii="仿宋_GB2312" w:hAnsi="仿宋_GB2312" w:eastAsia="仿宋_GB2312" w:cs="仿宋_GB2312"/>
                <w:spacing w:val="-3"/>
                <w:sz w:val="24"/>
                <w:szCs w:val="24"/>
                <w:lang w:val="en-US" w:eastAsia="zh-CN"/>
              </w:rPr>
              <w:t>中心副</w:t>
            </w:r>
            <w:r>
              <w:rPr>
                <w:rFonts w:hint="eastAsia" w:ascii="仿宋_GB2312" w:hAnsi="仿宋_GB2312" w:eastAsia="仿宋_GB2312" w:cs="仿宋_GB2312"/>
                <w:spacing w:val="-3"/>
                <w:sz w:val="24"/>
                <w:szCs w:val="24"/>
              </w:rPr>
              <w:t>主任/高级</w:t>
            </w:r>
            <w:r>
              <w:rPr>
                <w:rFonts w:hint="eastAsia" w:ascii="仿宋_GB2312" w:hAnsi="仿宋_GB2312" w:eastAsia="仿宋_GB2312" w:cs="仿宋_GB2312"/>
                <w:spacing w:val="-5"/>
                <w:sz w:val="24"/>
                <w:szCs w:val="24"/>
              </w:rPr>
              <w:t>兽医师</w:t>
            </w:r>
          </w:p>
        </w:tc>
        <w:tc>
          <w:tcPr>
            <w:tcW w:w="2123"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ind w:left="794" w:leftChars="0" w:right="165" w:rightChars="0" w:hanging="621" w:firstLineChars="0"/>
              <w:jc w:val="center"/>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lang w:val="en-US" w:eastAsia="zh-CN"/>
              </w:rPr>
              <w:t>乌审旗</w:t>
            </w:r>
            <w:r>
              <w:rPr>
                <w:rFonts w:hint="eastAsia" w:ascii="仿宋_GB2312" w:hAnsi="仿宋_GB2312" w:eastAsia="仿宋_GB2312" w:cs="仿宋_GB2312"/>
                <w:spacing w:val="-1"/>
                <w:sz w:val="24"/>
                <w:szCs w:val="24"/>
              </w:rPr>
              <w:t>动物疫病</w:t>
            </w:r>
          </w:p>
          <w:p>
            <w:pPr>
              <w:pStyle w:val="7"/>
              <w:keepNext w:val="0"/>
              <w:keepLines w:val="0"/>
              <w:pageBreakBefore w:val="0"/>
              <w:widowControl w:val="0"/>
              <w:kinsoku/>
              <w:wordWrap/>
              <w:overflowPunct/>
              <w:topLinePunct w:val="0"/>
              <w:autoSpaceDE/>
              <w:autoSpaceDN/>
              <w:bidi w:val="0"/>
              <w:adjustRightInd/>
              <w:snapToGrid/>
              <w:spacing w:line="320" w:lineRule="exact"/>
              <w:ind w:left="794" w:leftChars="0" w:right="165" w:rightChars="0" w:hanging="621" w:firstLineChars="0"/>
              <w:jc w:val="center"/>
              <w:textAlignment w:val="auto"/>
              <w:rPr>
                <w:rFonts w:hint="eastAsia" w:ascii="仿宋_GB2312" w:hAnsi="仿宋_GB2312" w:eastAsia="仿宋_GB2312" w:cs="仿宋_GB2312"/>
                <w:spacing w:val="-1"/>
                <w:kern w:val="2"/>
                <w:sz w:val="24"/>
                <w:szCs w:val="24"/>
                <w:lang w:val="en-US" w:eastAsia="zh-CN" w:bidi="ar-SA"/>
              </w:rPr>
            </w:pPr>
            <w:r>
              <w:rPr>
                <w:rFonts w:hint="eastAsia" w:ascii="仿宋_GB2312" w:hAnsi="仿宋_GB2312" w:eastAsia="仿宋_GB2312" w:cs="仿宋_GB2312"/>
                <w:spacing w:val="-1"/>
                <w:sz w:val="24"/>
                <w:szCs w:val="24"/>
              </w:rPr>
              <w:t>预</w:t>
            </w:r>
            <w:r>
              <w:rPr>
                <w:rFonts w:hint="eastAsia" w:ascii="仿宋_GB2312" w:hAnsi="仿宋_GB2312" w:eastAsia="仿宋_GB2312" w:cs="仿宋_GB2312"/>
                <w:spacing w:val="-7"/>
                <w:sz w:val="24"/>
                <w:szCs w:val="24"/>
              </w:rPr>
              <w:t>防控制中心</w:t>
            </w:r>
          </w:p>
        </w:tc>
        <w:tc>
          <w:tcPr>
            <w:tcW w:w="3173"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ind w:right="125"/>
              <w:jc w:val="center"/>
              <w:textAlignment w:val="auto"/>
              <w:rPr>
                <w:rFonts w:hint="eastAsia" w:ascii="仿宋_GB2312" w:hAnsi="仿宋_GB2312" w:eastAsia="仿宋_GB2312" w:cs="仿宋_GB2312"/>
                <w:spacing w:val="-2"/>
                <w:kern w:val="2"/>
                <w:sz w:val="24"/>
                <w:szCs w:val="24"/>
                <w:lang w:val="en-US" w:eastAsia="en-US" w:bidi="ar-SA"/>
              </w:rPr>
            </w:pPr>
            <w:r>
              <w:rPr>
                <w:rFonts w:hint="eastAsia" w:ascii="仿宋_GB2312" w:hAnsi="仿宋_GB2312" w:eastAsia="仿宋_GB2312" w:cs="仿宋_GB2312"/>
                <w:spacing w:val="-2"/>
                <w:sz w:val="24"/>
                <w:szCs w:val="24"/>
              </w:rPr>
              <w:t>参与方案确定</w:t>
            </w:r>
            <w:r>
              <w:rPr>
                <w:rFonts w:hint="eastAsia" w:ascii="仿宋_GB2312" w:hAnsi="仿宋_GB2312" w:eastAsia="仿宋_GB2312" w:cs="仿宋_GB2312"/>
                <w:spacing w:val="-2"/>
                <w:sz w:val="24"/>
                <w:szCs w:val="24"/>
                <w:lang w:eastAsia="zh-CN"/>
              </w:rPr>
              <w:t>、</w:t>
            </w:r>
            <w:r>
              <w:rPr>
                <w:rFonts w:hint="eastAsia" w:ascii="仿宋_GB2312" w:hAnsi="仿宋_GB2312" w:eastAsia="仿宋_GB2312" w:cs="仿宋_GB2312"/>
                <w:spacing w:val="-2"/>
                <w:sz w:val="24"/>
                <w:szCs w:val="24"/>
              </w:rPr>
              <w:t>标准</w:t>
            </w:r>
            <w:r>
              <w:rPr>
                <w:rFonts w:hint="eastAsia" w:ascii="仿宋_GB2312" w:hAnsi="仿宋_GB2312" w:eastAsia="仿宋_GB2312" w:cs="仿宋_GB2312"/>
                <w:spacing w:val="-2"/>
                <w:sz w:val="24"/>
                <w:szCs w:val="24"/>
                <w:lang w:val="en-US" w:eastAsia="zh-CN"/>
              </w:rPr>
              <w:t>编制及样品采集、防治</w:t>
            </w:r>
            <w:r>
              <w:rPr>
                <w:rFonts w:hint="eastAsia" w:ascii="仿宋_GB2312" w:hAnsi="仿宋_GB2312" w:eastAsia="仿宋_GB2312" w:cs="仿宋_GB2312"/>
                <w:spacing w:val="-2"/>
                <w:sz w:val="24"/>
                <w:szCs w:val="24"/>
              </w:rPr>
              <w:t>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0" w:hRule="atLeast"/>
        </w:trPr>
        <w:tc>
          <w:tcPr>
            <w:tcW w:w="1743"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哈斯毕力格</w:t>
            </w:r>
          </w:p>
        </w:tc>
        <w:tc>
          <w:tcPr>
            <w:tcW w:w="700"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男</w:t>
            </w:r>
          </w:p>
        </w:tc>
        <w:tc>
          <w:tcPr>
            <w:tcW w:w="2680"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lang w:val="en-US" w:eastAsia="zh-CN"/>
              </w:rPr>
              <w:t>中心副</w:t>
            </w:r>
            <w:r>
              <w:rPr>
                <w:rFonts w:hint="eastAsia" w:ascii="仿宋_GB2312" w:hAnsi="仿宋_GB2312" w:eastAsia="仿宋_GB2312" w:cs="仿宋_GB2312"/>
                <w:spacing w:val="-3"/>
                <w:sz w:val="24"/>
                <w:szCs w:val="24"/>
              </w:rPr>
              <w:t>主任/高级</w:t>
            </w:r>
            <w:r>
              <w:rPr>
                <w:rFonts w:hint="eastAsia" w:ascii="仿宋_GB2312" w:hAnsi="仿宋_GB2312" w:eastAsia="仿宋_GB2312" w:cs="仿宋_GB2312"/>
                <w:spacing w:val="-5"/>
                <w:sz w:val="24"/>
                <w:szCs w:val="24"/>
              </w:rPr>
              <w:t>兽医师</w:t>
            </w:r>
          </w:p>
        </w:tc>
        <w:tc>
          <w:tcPr>
            <w:tcW w:w="2123"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ind w:left="794" w:leftChars="0" w:right="165" w:rightChars="0" w:hanging="621" w:firstLineChars="0"/>
              <w:jc w:val="center"/>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lang w:val="en-US" w:eastAsia="zh-CN"/>
              </w:rPr>
              <w:t>乌审旗</w:t>
            </w:r>
            <w:r>
              <w:rPr>
                <w:rFonts w:hint="eastAsia" w:ascii="仿宋_GB2312" w:hAnsi="仿宋_GB2312" w:eastAsia="仿宋_GB2312" w:cs="仿宋_GB2312"/>
                <w:spacing w:val="-1"/>
                <w:sz w:val="24"/>
                <w:szCs w:val="24"/>
              </w:rPr>
              <w:t>动物疫病</w:t>
            </w:r>
          </w:p>
          <w:p>
            <w:pPr>
              <w:pStyle w:val="7"/>
              <w:keepNext w:val="0"/>
              <w:keepLines w:val="0"/>
              <w:pageBreakBefore w:val="0"/>
              <w:widowControl w:val="0"/>
              <w:kinsoku/>
              <w:wordWrap/>
              <w:overflowPunct/>
              <w:topLinePunct w:val="0"/>
              <w:autoSpaceDE/>
              <w:autoSpaceDN/>
              <w:bidi w:val="0"/>
              <w:adjustRightInd/>
              <w:snapToGrid/>
              <w:spacing w:line="320" w:lineRule="exact"/>
              <w:ind w:left="794" w:leftChars="0" w:right="165" w:rightChars="0" w:hanging="621" w:firstLineChars="0"/>
              <w:jc w:val="center"/>
              <w:textAlignment w:val="auto"/>
              <w:rPr>
                <w:rFonts w:hint="eastAsia" w:ascii="仿宋_GB2312" w:hAnsi="仿宋_GB2312" w:eastAsia="仿宋_GB2312" w:cs="仿宋_GB2312"/>
                <w:spacing w:val="-1"/>
                <w:kern w:val="2"/>
                <w:sz w:val="24"/>
                <w:szCs w:val="24"/>
                <w:lang w:val="en-US" w:eastAsia="zh-CN" w:bidi="ar-SA"/>
              </w:rPr>
            </w:pPr>
            <w:r>
              <w:rPr>
                <w:rFonts w:hint="eastAsia" w:ascii="仿宋_GB2312" w:hAnsi="仿宋_GB2312" w:eastAsia="仿宋_GB2312" w:cs="仿宋_GB2312"/>
                <w:spacing w:val="-1"/>
                <w:sz w:val="24"/>
                <w:szCs w:val="24"/>
              </w:rPr>
              <w:t>预</w:t>
            </w:r>
            <w:r>
              <w:rPr>
                <w:rFonts w:hint="eastAsia" w:ascii="仿宋_GB2312" w:hAnsi="仿宋_GB2312" w:eastAsia="仿宋_GB2312" w:cs="仿宋_GB2312"/>
                <w:spacing w:val="-7"/>
                <w:sz w:val="24"/>
                <w:szCs w:val="24"/>
              </w:rPr>
              <w:t>防控制中心</w:t>
            </w:r>
          </w:p>
        </w:tc>
        <w:tc>
          <w:tcPr>
            <w:tcW w:w="3173"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ind w:right="125"/>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参与方案确定</w:t>
            </w:r>
            <w:r>
              <w:rPr>
                <w:rFonts w:hint="eastAsia" w:ascii="仿宋_GB2312" w:hAnsi="仿宋_GB2312" w:eastAsia="仿宋_GB2312" w:cs="仿宋_GB2312"/>
                <w:spacing w:val="-2"/>
                <w:sz w:val="24"/>
                <w:szCs w:val="24"/>
                <w:lang w:eastAsia="zh-CN"/>
              </w:rPr>
              <w:t>、</w:t>
            </w:r>
            <w:r>
              <w:rPr>
                <w:rFonts w:hint="eastAsia" w:ascii="仿宋_GB2312" w:hAnsi="仿宋_GB2312" w:eastAsia="仿宋_GB2312" w:cs="仿宋_GB2312"/>
                <w:spacing w:val="-2"/>
                <w:sz w:val="24"/>
                <w:szCs w:val="24"/>
              </w:rPr>
              <w:t>标准</w:t>
            </w:r>
            <w:r>
              <w:rPr>
                <w:rFonts w:hint="eastAsia" w:ascii="仿宋_GB2312" w:hAnsi="仿宋_GB2312" w:eastAsia="仿宋_GB2312" w:cs="仿宋_GB2312"/>
                <w:spacing w:val="-2"/>
                <w:sz w:val="24"/>
                <w:szCs w:val="24"/>
                <w:lang w:val="en-US" w:eastAsia="zh-CN"/>
              </w:rPr>
              <w:t>编制及样品采集、防治</w:t>
            </w:r>
            <w:r>
              <w:rPr>
                <w:rFonts w:hint="eastAsia" w:ascii="仿宋_GB2312" w:hAnsi="仿宋_GB2312" w:eastAsia="仿宋_GB2312" w:cs="仿宋_GB2312"/>
                <w:spacing w:val="-2"/>
                <w:sz w:val="24"/>
                <w:szCs w:val="24"/>
              </w:rPr>
              <w:t>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743"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燕海林</w:t>
            </w:r>
          </w:p>
        </w:tc>
        <w:tc>
          <w:tcPr>
            <w:tcW w:w="700"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男</w:t>
            </w:r>
          </w:p>
        </w:tc>
        <w:tc>
          <w:tcPr>
            <w:tcW w:w="2680"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ind w:left="689" w:right="145" w:hanging="523"/>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lang w:val="en-US" w:eastAsia="zh-CN"/>
              </w:rPr>
              <w:t>中心副</w:t>
            </w:r>
            <w:r>
              <w:rPr>
                <w:rFonts w:hint="eastAsia" w:ascii="仿宋_GB2312" w:hAnsi="仿宋_GB2312" w:eastAsia="仿宋_GB2312" w:cs="仿宋_GB2312"/>
                <w:spacing w:val="-3"/>
                <w:sz w:val="24"/>
                <w:szCs w:val="24"/>
              </w:rPr>
              <w:t>主任/</w:t>
            </w:r>
            <w:r>
              <w:rPr>
                <w:rFonts w:hint="eastAsia" w:ascii="仿宋_GB2312" w:hAnsi="仿宋_GB2312" w:eastAsia="仿宋_GB2312" w:cs="仿宋_GB2312"/>
                <w:spacing w:val="-5"/>
                <w:sz w:val="24"/>
                <w:szCs w:val="24"/>
              </w:rPr>
              <w:t>兽医师</w:t>
            </w:r>
          </w:p>
        </w:tc>
        <w:tc>
          <w:tcPr>
            <w:tcW w:w="2123"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ind w:left="794" w:leftChars="0" w:right="165" w:rightChars="0" w:hanging="621" w:firstLineChars="0"/>
              <w:jc w:val="center"/>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lang w:val="en-US" w:eastAsia="zh-CN"/>
              </w:rPr>
              <w:t>乌审旗</w:t>
            </w:r>
            <w:r>
              <w:rPr>
                <w:rFonts w:hint="eastAsia" w:ascii="仿宋_GB2312" w:hAnsi="仿宋_GB2312" w:eastAsia="仿宋_GB2312" w:cs="仿宋_GB2312"/>
                <w:spacing w:val="-1"/>
                <w:sz w:val="24"/>
                <w:szCs w:val="24"/>
              </w:rPr>
              <w:t>动物疫病</w:t>
            </w:r>
          </w:p>
          <w:p>
            <w:pPr>
              <w:pStyle w:val="7"/>
              <w:keepNext w:val="0"/>
              <w:keepLines w:val="0"/>
              <w:pageBreakBefore w:val="0"/>
              <w:widowControl w:val="0"/>
              <w:kinsoku/>
              <w:wordWrap/>
              <w:overflowPunct/>
              <w:topLinePunct w:val="0"/>
              <w:autoSpaceDE/>
              <w:autoSpaceDN/>
              <w:bidi w:val="0"/>
              <w:adjustRightInd/>
              <w:snapToGrid/>
              <w:spacing w:line="320" w:lineRule="exact"/>
              <w:ind w:left="794" w:leftChars="0" w:right="165" w:rightChars="0" w:hanging="621" w:firstLineChars="0"/>
              <w:jc w:val="center"/>
              <w:textAlignment w:val="auto"/>
              <w:rPr>
                <w:rFonts w:hint="eastAsia" w:ascii="仿宋_GB2312" w:hAnsi="仿宋_GB2312" w:eastAsia="仿宋_GB2312" w:cs="仿宋_GB2312"/>
                <w:spacing w:val="-1"/>
                <w:kern w:val="2"/>
                <w:sz w:val="24"/>
                <w:szCs w:val="24"/>
                <w:lang w:val="en-US" w:eastAsia="zh-CN" w:bidi="ar-SA"/>
              </w:rPr>
            </w:pPr>
            <w:r>
              <w:rPr>
                <w:rFonts w:hint="eastAsia" w:ascii="仿宋_GB2312" w:hAnsi="仿宋_GB2312" w:eastAsia="仿宋_GB2312" w:cs="仿宋_GB2312"/>
                <w:spacing w:val="-1"/>
                <w:sz w:val="24"/>
                <w:szCs w:val="24"/>
              </w:rPr>
              <w:t>预</w:t>
            </w:r>
            <w:r>
              <w:rPr>
                <w:rFonts w:hint="eastAsia" w:ascii="仿宋_GB2312" w:hAnsi="仿宋_GB2312" w:eastAsia="仿宋_GB2312" w:cs="仿宋_GB2312"/>
                <w:spacing w:val="-7"/>
                <w:sz w:val="24"/>
                <w:szCs w:val="24"/>
              </w:rPr>
              <w:t>防控制中心</w:t>
            </w:r>
          </w:p>
        </w:tc>
        <w:tc>
          <w:tcPr>
            <w:tcW w:w="3173"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ind w:right="125"/>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参与方案确定</w:t>
            </w:r>
            <w:r>
              <w:rPr>
                <w:rFonts w:hint="eastAsia" w:ascii="仿宋_GB2312" w:hAnsi="仿宋_GB2312" w:eastAsia="仿宋_GB2312" w:cs="仿宋_GB2312"/>
                <w:spacing w:val="-2"/>
                <w:sz w:val="24"/>
                <w:szCs w:val="24"/>
                <w:lang w:eastAsia="zh-CN"/>
              </w:rPr>
              <w:t>、</w:t>
            </w:r>
            <w:r>
              <w:rPr>
                <w:rFonts w:hint="eastAsia" w:ascii="仿宋_GB2312" w:hAnsi="仿宋_GB2312" w:eastAsia="仿宋_GB2312" w:cs="仿宋_GB2312"/>
                <w:spacing w:val="-2"/>
                <w:sz w:val="24"/>
                <w:szCs w:val="24"/>
              </w:rPr>
              <w:t>标准</w:t>
            </w:r>
            <w:r>
              <w:rPr>
                <w:rFonts w:hint="eastAsia" w:ascii="仿宋_GB2312" w:hAnsi="仿宋_GB2312" w:eastAsia="仿宋_GB2312" w:cs="仿宋_GB2312"/>
                <w:spacing w:val="-2"/>
                <w:sz w:val="24"/>
                <w:szCs w:val="24"/>
                <w:lang w:val="en-US" w:eastAsia="zh-CN"/>
              </w:rPr>
              <w:t>编制及样品采集、防治</w:t>
            </w:r>
            <w:r>
              <w:rPr>
                <w:rFonts w:hint="eastAsia" w:ascii="仿宋_GB2312" w:hAnsi="仿宋_GB2312" w:eastAsia="仿宋_GB2312" w:cs="仿宋_GB2312"/>
                <w:spacing w:val="-2"/>
                <w:sz w:val="24"/>
                <w:szCs w:val="24"/>
              </w:rPr>
              <w:t>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1743"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侯斌</w:t>
            </w:r>
          </w:p>
        </w:tc>
        <w:tc>
          <w:tcPr>
            <w:tcW w:w="700"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男</w:t>
            </w:r>
          </w:p>
        </w:tc>
        <w:tc>
          <w:tcPr>
            <w:tcW w:w="2680"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ind w:left="689" w:leftChars="0" w:right="145" w:rightChars="0" w:hanging="523"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3"/>
                <w:sz w:val="24"/>
                <w:szCs w:val="24"/>
                <w:lang w:val="en-US" w:eastAsia="zh-CN"/>
              </w:rPr>
              <w:t>讲师/中级</w:t>
            </w:r>
          </w:p>
        </w:tc>
        <w:tc>
          <w:tcPr>
            <w:tcW w:w="2123"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ind w:left="689" w:leftChars="0" w:right="145" w:rightChars="0" w:hanging="523" w:firstLineChars="0"/>
              <w:jc w:val="center"/>
              <w:textAlignment w:val="auto"/>
              <w:rPr>
                <w:rFonts w:hint="eastAsia" w:ascii="仿宋_GB2312" w:hAnsi="仿宋_GB2312" w:eastAsia="仿宋_GB2312" w:cs="仿宋_GB2312"/>
                <w:spacing w:val="-1"/>
                <w:kern w:val="2"/>
                <w:sz w:val="24"/>
                <w:szCs w:val="24"/>
                <w:lang w:val="en-US" w:eastAsia="zh-CN" w:bidi="ar-SA"/>
              </w:rPr>
            </w:pPr>
            <w:r>
              <w:rPr>
                <w:rFonts w:hint="eastAsia" w:ascii="仿宋_GB2312" w:hAnsi="仿宋_GB2312" w:eastAsia="仿宋_GB2312" w:cs="仿宋_GB2312"/>
                <w:spacing w:val="-3"/>
                <w:sz w:val="24"/>
                <w:szCs w:val="24"/>
                <w:lang w:val="en-US" w:eastAsia="zh-CN"/>
              </w:rPr>
              <w:t>鄂尔多斯市生态环境学院</w:t>
            </w:r>
          </w:p>
        </w:tc>
        <w:tc>
          <w:tcPr>
            <w:tcW w:w="3173"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ind w:right="125" w:rightChars="0"/>
              <w:jc w:val="center"/>
              <w:textAlignment w:val="auto"/>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spacing w:val="-2"/>
                <w:sz w:val="24"/>
                <w:szCs w:val="24"/>
                <w:lang w:val="en-US" w:eastAsia="zh-CN"/>
              </w:rPr>
              <w:t>负责技术把控和指导，参与国内外材料搜集、整理及标准编制工作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1743"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永荣</w:t>
            </w:r>
          </w:p>
        </w:tc>
        <w:tc>
          <w:tcPr>
            <w:tcW w:w="700"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女</w:t>
            </w:r>
          </w:p>
        </w:tc>
        <w:tc>
          <w:tcPr>
            <w:tcW w:w="2680"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高级兽医师</w:t>
            </w:r>
          </w:p>
        </w:tc>
        <w:tc>
          <w:tcPr>
            <w:tcW w:w="2123"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ind w:right="165" w:rightChars="0"/>
              <w:jc w:val="center"/>
              <w:textAlignment w:val="auto"/>
              <w:rPr>
                <w:rFonts w:hint="default" w:ascii="仿宋_GB2312" w:hAnsi="仿宋_GB2312" w:eastAsia="仿宋_GB2312" w:cs="仿宋_GB2312"/>
                <w:spacing w:val="-1"/>
                <w:sz w:val="24"/>
                <w:szCs w:val="24"/>
                <w:lang w:val="en-US" w:eastAsia="zh-CN"/>
              </w:rPr>
            </w:pPr>
            <w:r>
              <w:rPr>
                <w:rFonts w:hint="eastAsia" w:ascii="仿宋_GB2312" w:hAnsi="仿宋_GB2312" w:eastAsia="仿宋_GB2312" w:cs="仿宋_GB2312"/>
                <w:spacing w:val="-1"/>
                <w:sz w:val="24"/>
                <w:szCs w:val="24"/>
                <w:lang w:val="en-US" w:eastAsia="zh-CN"/>
              </w:rPr>
              <w:t>鄂尔多斯市动物疫病预防控制中心</w:t>
            </w:r>
          </w:p>
        </w:tc>
        <w:tc>
          <w:tcPr>
            <w:tcW w:w="3173"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ind w:right="125"/>
              <w:jc w:val="center"/>
              <w:textAlignment w:val="auto"/>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lang w:val="en-US" w:eastAsia="zh-CN"/>
              </w:rPr>
              <w:t>参与材料搜集、整理及采样、标准编制工作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1743"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孙玲</w:t>
            </w:r>
          </w:p>
        </w:tc>
        <w:tc>
          <w:tcPr>
            <w:tcW w:w="700"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女</w:t>
            </w:r>
          </w:p>
        </w:tc>
        <w:tc>
          <w:tcPr>
            <w:tcW w:w="2680"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办公室主任/</w:t>
            </w:r>
            <w:r>
              <w:rPr>
                <w:rFonts w:hint="eastAsia" w:ascii="仿宋_GB2312" w:hAnsi="仿宋_GB2312" w:eastAsia="仿宋_GB2312" w:cs="仿宋_GB2312"/>
                <w:spacing w:val="-3"/>
                <w:sz w:val="24"/>
                <w:szCs w:val="24"/>
              </w:rPr>
              <w:t>高级</w:t>
            </w:r>
            <w:r>
              <w:rPr>
                <w:rFonts w:hint="eastAsia" w:ascii="仿宋_GB2312" w:hAnsi="仿宋_GB2312" w:eastAsia="仿宋_GB2312" w:cs="仿宋_GB2312"/>
                <w:spacing w:val="-5"/>
                <w:sz w:val="24"/>
                <w:szCs w:val="24"/>
              </w:rPr>
              <w:t>兽医师</w:t>
            </w:r>
          </w:p>
        </w:tc>
        <w:tc>
          <w:tcPr>
            <w:tcW w:w="2123"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ind w:left="794" w:leftChars="0" w:right="165" w:rightChars="0" w:hanging="621" w:firstLineChars="0"/>
              <w:jc w:val="center"/>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lang w:val="en-US" w:eastAsia="zh-CN"/>
              </w:rPr>
              <w:t>乌审旗</w:t>
            </w:r>
            <w:r>
              <w:rPr>
                <w:rFonts w:hint="eastAsia" w:ascii="仿宋_GB2312" w:hAnsi="仿宋_GB2312" w:eastAsia="仿宋_GB2312" w:cs="仿宋_GB2312"/>
                <w:spacing w:val="-1"/>
                <w:sz w:val="24"/>
                <w:szCs w:val="24"/>
              </w:rPr>
              <w:t>动物疫病</w:t>
            </w:r>
          </w:p>
          <w:p>
            <w:pPr>
              <w:pStyle w:val="7"/>
              <w:keepNext w:val="0"/>
              <w:keepLines w:val="0"/>
              <w:pageBreakBefore w:val="0"/>
              <w:widowControl w:val="0"/>
              <w:kinsoku/>
              <w:wordWrap/>
              <w:overflowPunct/>
              <w:topLinePunct w:val="0"/>
              <w:autoSpaceDE/>
              <w:autoSpaceDN/>
              <w:bidi w:val="0"/>
              <w:adjustRightInd/>
              <w:snapToGrid/>
              <w:spacing w:line="320" w:lineRule="exact"/>
              <w:ind w:left="794" w:leftChars="0" w:right="165" w:rightChars="0" w:hanging="621" w:firstLineChars="0"/>
              <w:jc w:val="center"/>
              <w:textAlignment w:val="auto"/>
              <w:rPr>
                <w:rFonts w:hint="eastAsia" w:ascii="仿宋_GB2312" w:hAnsi="仿宋_GB2312" w:eastAsia="仿宋_GB2312" w:cs="仿宋_GB2312"/>
                <w:spacing w:val="-1"/>
                <w:kern w:val="2"/>
                <w:sz w:val="24"/>
                <w:szCs w:val="24"/>
                <w:lang w:val="en-US" w:eastAsia="zh-CN" w:bidi="ar-SA"/>
              </w:rPr>
            </w:pPr>
            <w:r>
              <w:rPr>
                <w:rFonts w:hint="eastAsia" w:ascii="仿宋_GB2312" w:hAnsi="仿宋_GB2312" w:eastAsia="仿宋_GB2312" w:cs="仿宋_GB2312"/>
                <w:spacing w:val="-1"/>
                <w:sz w:val="24"/>
                <w:szCs w:val="24"/>
              </w:rPr>
              <w:t>预</w:t>
            </w:r>
            <w:r>
              <w:rPr>
                <w:rFonts w:hint="eastAsia" w:ascii="仿宋_GB2312" w:hAnsi="仿宋_GB2312" w:eastAsia="仿宋_GB2312" w:cs="仿宋_GB2312"/>
                <w:spacing w:val="-7"/>
                <w:sz w:val="24"/>
                <w:szCs w:val="24"/>
              </w:rPr>
              <w:t>防控制中心</w:t>
            </w:r>
          </w:p>
        </w:tc>
        <w:tc>
          <w:tcPr>
            <w:tcW w:w="3173"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ind w:right="125"/>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参与方案确定及标准</w:t>
            </w:r>
            <w:r>
              <w:rPr>
                <w:rFonts w:hint="eastAsia" w:ascii="仿宋_GB2312" w:hAnsi="仿宋_GB2312" w:eastAsia="仿宋_GB2312" w:cs="仿宋_GB2312"/>
                <w:spacing w:val="-2"/>
                <w:sz w:val="24"/>
                <w:szCs w:val="24"/>
                <w:lang w:val="en-US" w:eastAsia="zh-CN"/>
              </w:rPr>
              <w:t>编制、文稿校对、定稿</w:t>
            </w:r>
            <w:r>
              <w:rPr>
                <w:rFonts w:hint="eastAsia" w:ascii="仿宋_GB2312" w:hAnsi="仿宋_GB2312" w:eastAsia="仿宋_GB2312" w:cs="仿宋_GB2312"/>
                <w:spacing w:val="-2"/>
                <w:sz w:val="24"/>
                <w:szCs w:val="24"/>
              </w:rPr>
              <w:t>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743"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乌云其其格</w:t>
            </w:r>
          </w:p>
        </w:tc>
        <w:tc>
          <w:tcPr>
            <w:tcW w:w="700"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女</w:t>
            </w:r>
          </w:p>
        </w:tc>
        <w:tc>
          <w:tcPr>
            <w:tcW w:w="2680"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化验室主任/兽医师</w:t>
            </w:r>
          </w:p>
        </w:tc>
        <w:tc>
          <w:tcPr>
            <w:tcW w:w="2123"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ind w:left="794" w:leftChars="0" w:right="165" w:rightChars="0" w:hanging="621" w:firstLineChars="0"/>
              <w:jc w:val="center"/>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lang w:val="en-US" w:eastAsia="zh-CN"/>
              </w:rPr>
              <w:t>乌审旗</w:t>
            </w:r>
            <w:r>
              <w:rPr>
                <w:rFonts w:hint="eastAsia" w:ascii="仿宋_GB2312" w:hAnsi="仿宋_GB2312" w:eastAsia="仿宋_GB2312" w:cs="仿宋_GB2312"/>
                <w:spacing w:val="-1"/>
                <w:sz w:val="24"/>
                <w:szCs w:val="24"/>
              </w:rPr>
              <w:t>动物疫病</w:t>
            </w:r>
          </w:p>
          <w:p>
            <w:pPr>
              <w:pStyle w:val="7"/>
              <w:keepNext w:val="0"/>
              <w:keepLines w:val="0"/>
              <w:pageBreakBefore w:val="0"/>
              <w:widowControl w:val="0"/>
              <w:kinsoku/>
              <w:wordWrap/>
              <w:overflowPunct/>
              <w:topLinePunct w:val="0"/>
              <w:autoSpaceDE/>
              <w:autoSpaceDN/>
              <w:bidi w:val="0"/>
              <w:adjustRightInd/>
              <w:snapToGrid/>
              <w:spacing w:line="320" w:lineRule="exact"/>
              <w:ind w:left="794" w:leftChars="0" w:right="165" w:rightChars="0" w:hanging="621" w:firstLineChars="0"/>
              <w:jc w:val="center"/>
              <w:textAlignment w:val="auto"/>
              <w:rPr>
                <w:rFonts w:hint="eastAsia" w:ascii="仿宋_GB2312" w:hAnsi="仿宋_GB2312" w:eastAsia="仿宋_GB2312" w:cs="仿宋_GB2312"/>
                <w:spacing w:val="-1"/>
                <w:kern w:val="2"/>
                <w:sz w:val="24"/>
                <w:szCs w:val="24"/>
                <w:lang w:val="en-US" w:eastAsia="zh-CN" w:bidi="ar-SA"/>
              </w:rPr>
            </w:pPr>
            <w:r>
              <w:rPr>
                <w:rFonts w:hint="eastAsia" w:ascii="仿宋_GB2312" w:hAnsi="仿宋_GB2312" w:eastAsia="仿宋_GB2312" w:cs="仿宋_GB2312"/>
                <w:spacing w:val="-1"/>
                <w:sz w:val="24"/>
                <w:szCs w:val="24"/>
              </w:rPr>
              <w:t>预</w:t>
            </w:r>
            <w:r>
              <w:rPr>
                <w:rFonts w:hint="eastAsia" w:ascii="仿宋_GB2312" w:hAnsi="仿宋_GB2312" w:eastAsia="仿宋_GB2312" w:cs="仿宋_GB2312"/>
                <w:spacing w:val="-7"/>
                <w:sz w:val="24"/>
                <w:szCs w:val="24"/>
              </w:rPr>
              <w:t>防控制中心</w:t>
            </w:r>
          </w:p>
        </w:tc>
        <w:tc>
          <w:tcPr>
            <w:tcW w:w="3173"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ind w:right="125"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2"/>
                <w:sz w:val="24"/>
                <w:szCs w:val="24"/>
                <w:lang w:val="en-US" w:eastAsia="zh-CN"/>
              </w:rPr>
              <w:t>负责实验室检验检测，</w:t>
            </w:r>
            <w:r>
              <w:rPr>
                <w:rFonts w:hint="eastAsia" w:ascii="仿宋_GB2312" w:hAnsi="仿宋_GB2312" w:eastAsia="仿宋_GB2312" w:cs="仿宋_GB2312"/>
                <w:spacing w:val="-2"/>
                <w:sz w:val="24"/>
                <w:szCs w:val="24"/>
              </w:rPr>
              <w:t>参与方案确定</w:t>
            </w:r>
            <w:r>
              <w:rPr>
                <w:rFonts w:hint="eastAsia" w:ascii="仿宋_GB2312" w:hAnsi="仿宋_GB2312" w:eastAsia="仿宋_GB2312" w:cs="仿宋_GB2312"/>
                <w:spacing w:val="-2"/>
                <w:sz w:val="24"/>
                <w:szCs w:val="24"/>
                <w:lang w:eastAsia="zh-CN"/>
              </w:rPr>
              <w:t>、</w:t>
            </w:r>
            <w:r>
              <w:rPr>
                <w:rFonts w:hint="eastAsia" w:ascii="仿宋_GB2312" w:hAnsi="仿宋_GB2312" w:eastAsia="仿宋_GB2312" w:cs="仿宋_GB2312"/>
                <w:spacing w:val="-2"/>
                <w:sz w:val="24"/>
                <w:szCs w:val="24"/>
              </w:rPr>
              <w:t>标准</w:t>
            </w:r>
            <w:r>
              <w:rPr>
                <w:rFonts w:hint="eastAsia" w:ascii="仿宋_GB2312" w:hAnsi="仿宋_GB2312" w:eastAsia="仿宋_GB2312" w:cs="仿宋_GB2312"/>
                <w:spacing w:val="-2"/>
                <w:sz w:val="24"/>
                <w:szCs w:val="24"/>
                <w:lang w:val="en-US" w:eastAsia="zh-CN"/>
              </w:rPr>
              <w:t>编制</w:t>
            </w:r>
            <w:r>
              <w:rPr>
                <w:rFonts w:hint="eastAsia" w:ascii="仿宋_GB2312" w:hAnsi="仿宋_GB2312" w:eastAsia="仿宋_GB2312" w:cs="仿宋_GB2312"/>
                <w:spacing w:val="-2"/>
                <w:sz w:val="24"/>
                <w:szCs w:val="24"/>
              </w:rPr>
              <w:t>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743"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嘎尔迪</w:t>
            </w:r>
          </w:p>
        </w:tc>
        <w:tc>
          <w:tcPr>
            <w:tcW w:w="700"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男</w:t>
            </w:r>
          </w:p>
        </w:tc>
        <w:tc>
          <w:tcPr>
            <w:tcW w:w="2680"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pacing w:val="-3"/>
                <w:sz w:val="24"/>
                <w:szCs w:val="24"/>
                <w:lang w:val="en-US" w:eastAsia="zh-CN"/>
              </w:rPr>
            </w:pPr>
            <w:r>
              <w:rPr>
                <w:rFonts w:hint="eastAsia" w:ascii="仿宋_GB2312" w:hAnsi="仿宋_GB2312" w:eastAsia="仿宋_GB2312" w:cs="仿宋_GB2312"/>
                <w:spacing w:val="-3"/>
                <w:sz w:val="24"/>
                <w:szCs w:val="24"/>
                <w:lang w:val="en-US" w:eastAsia="zh-CN"/>
              </w:rPr>
              <w:t>高级兽医师</w:t>
            </w:r>
          </w:p>
        </w:tc>
        <w:tc>
          <w:tcPr>
            <w:tcW w:w="2123"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ind w:left="794" w:leftChars="0" w:right="165" w:rightChars="0" w:hanging="621" w:firstLineChars="0"/>
              <w:jc w:val="center"/>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lang w:val="en-US" w:eastAsia="zh-CN"/>
              </w:rPr>
              <w:t>乌审旗</w:t>
            </w:r>
            <w:r>
              <w:rPr>
                <w:rFonts w:hint="eastAsia" w:ascii="仿宋_GB2312" w:hAnsi="仿宋_GB2312" w:eastAsia="仿宋_GB2312" w:cs="仿宋_GB2312"/>
                <w:spacing w:val="-1"/>
                <w:sz w:val="24"/>
                <w:szCs w:val="24"/>
              </w:rPr>
              <w:t>动物疫病</w:t>
            </w:r>
          </w:p>
          <w:p>
            <w:pPr>
              <w:pStyle w:val="7"/>
              <w:keepNext w:val="0"/>
              <w:keepLines w:val="0"/>
              <w:pageBreakBefore w:val="0"/>
              <w:widowControl w:val="0"/>
              <w:kinsoku/>
              <w:wordWrap/>
              <w:overflowPunct/>
              <w:topLinePunct w:val="0"/>
              <w:autoSpaceDE/>
              <w:autoSpaceDN/>
              <w:bidi w:val="0"/>
              <w:adjustRightInd/>
              <w:snapToGrid/>
              <w:spacing w:line="320" w:lineRule="exact"/>
              <w:ind w:left="794" w:leftChars="0" w:right="165" w:rightChars="0" w:hanging="621" w:firstLineChars="0"/>
              <w:jc w:val="center"/>
              <w:textAlignment w:val="auto"/>
              <w:rPr>
                <w:rFonts w:hint="eastAsia" w:ascii="仿宋_GB2312" w:hAnsi="仿宋_GB2312" w:eastAsia="仿宋_GB2312" w:cs="仿宋_GB2312"/>
                <w:spacing w:val="-1"/>
                <w:kern w:val="2"/>
                <w:sz w:val="24"/>
                <w:szCs w:val="24"/>
                <w:lang w:val="en-US" w:eastAsia="zh-CN" w:bidi="ar-SA"/>
              </w:rPr>
            </w:pPr>
            <w:r>
              <w:rPr>
                <w:rFonts w:hint="eastAsia" w:ascii="仿宋_GB2312" w:hAnsi="仿宋_GB2312" w:eastAsia="仿宋_GB2312" w:cs="仿宋_GB2312"/>
                <w:spacing w:val="-1"/>
                <w:sz w:val="24"/>
                <w:szCs w:val="24"/>
              </w:rPr>
              <w:t>预</w:t>
            </w:r>
            <w:r>
              <w:rPr>
                <w:rFonts w:hint="eastAsia" w:ascii="仿宋_GB2312" w:hAnsi="仿宋_GB2312" w:eastAsia="仿宋_GB2312" w:cs="仿宋_GB2312"/>
                <w:spacing w:val="-7"/>
                <w:sz w:val="24"/>
                <w:szCs w:val="24"/>
              </w:rPr>
              <w:t>防控制中心</w:t>
            </w:r>
          </w:p>
        </w:tc>
        <w:tc>
          <w:tcPr>
            <w:tcW w:w="3173"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ind w:right="125"/>
              <w:jc w:val="center"/>
              <w:textAlignment w:val="auto"/>
              <w:rPr>
                <w:rFonts w:hint="eastAsia" w:ascii="仿宋_GB2312" w:hAnsi="仿宋_GB2312" w:eastAsia="仿宋_GB2312" w:cs="仿宋_GB2312"/>
                <w:spacing w:val="-2"/>
                <w:sz w:val="24"/>
                <w:szCs w:val="24"/>
              </w:rPr>
            </w:pPr>
            <w:bookmarkStart w:id="1" w:name="OLE_LINK16"/>
            <w:r>
              <w:rPr>
                <w:rFonts w:hint="eastAsia" w:ascii="仿宋_GB2312" w:hAnsi="仿宋_GB2312" w:eastAsia="仿宋_GB2312" w:cs="仿宋_GB2312"/>
                <w:spacing w:val="-2"/>
                <w:sz w:val="24"/>
                <w:szCs w:val="24"/>
                <w:lang w:val="en-US" w:eastAsia="zh-CN"/>
              </w:rPr>
              <w:t>参与临床试验、样品采集、防治工作</w:t>
            </w:r>
            <w:bookmarkEnd w:id="1"/>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743"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玛丽雅其其格</w:t>
            </w:r>
          </w:p>
        </w:tc>
        <w:tc>
          <w:tcPr>
            <w:tcW w:w="700"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女</w:t>
            </w:r>
          </w:p>
        </w:tc>
        <w:tc>
          <w:tcPr>
            <w:tcW w:w="2680"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pacing w:val="-3"/>
                <w:sz w:val="24"/>
                <w:szCs w:val="24"/>
                <w:lang w:val="en-US" w:eastAsia="zh-CN"/>
              </w:rPr>
            </w:pPr>
            <w:r>
              <w:rPr>
                <w:rFonts w:hint="eastAsia" w:ascii="仿宋_GB2312" w:hAnsi="仿宋_GB2312" w:eastAsia="仿宋_GB2312" w:cs="仿宋_GB2312"/>
                <w:spacing w:val="-3"/>
                <w:sz w:val="24"/>
                <w:szCs w:val="24"/>
                <w:lang w:val="en-US" w:eastAsia="zh-CN"/>
              </w:rPr>
              <w:t>兽医师</w:t>
            </w:r>
          </w:p>
        </w:tc>
        <w:tc>
          <w:tcPr>
            <w:tcW w:w="2123"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ind w:left="794" w:leftChars="0" w:right="165" w:rightChars="0" w:hanging="621" w:firstLineChars="0"/>
              <w:jc w:val="center"/>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lang w:val="en-US" w:eastAsia="zh-CN"/>
              </w:rPr>
              <w:t>乌审旗</w:t>
            </w:r>
            <w:r>
              <w:rPr>
                <w:rFonts w:hint="eastAsia" w:ascii="仿宋_GB2312" w:hAnsi="仿宋_GB2312" w:eastAsia="仿宋_GB2312" w:cs="仿宋_GB2312"/>
                <w:spacing w:val="-1"/>
                <w:sz w:val="24"/>
                <w:szCs w:val="24"/>
              </w:rPr>
              <w:t>动物疫病</w:t>
            </w:r>
          </w:p>
          <w:p>
            <w:pPr>
              <w:pStyle w:val="7"/>
              <w:keepNext w:val="0"/>
              <w:keepLines w:val="0"/>
              <w:pageBreakBefore w:val="0"/>
              <w:widowControl w:val="0"/>
              <w:kinsoku/>
              <w:wordWrap/>
              <w:overflowPunct/>
              <w:topLinePunct w:val="0"/>
              <w:autoSpaceDE/>
              <w:autoSpaceDN/>
              <w:bidi w:val="0"/>
              <w:adjustRightInd/>
              <w:snapToGrid/>
              <w:spacing w:line="320" w:lineRule="exact"/>
              <w:ind w:left="794" w:leftChars="0" w:right="165" w:rightChars="0" w:hanging="621" w:firstLineChars="0"/>
              <w:jc w:val="center"/>
              <w:textAlignment w:val="auto"/>
              <w:rPr>
                <w:rFonts w:hint="eastAsia" w:ascii="仿宋_GB2312" w:hAnsi="仿宋_GB2312" w:eastAsia="仿宋_GB2312" w:cs="仿宋_GB2312"/>
                <w:spacing w:val="-1"/>
                <w:kern w:val="2"/>
                <w:sz w:val="24"/>
                <w:szCs w:val="24"/>
                <w:lang w:val="en-US" w:eastAsia="zh-CN" w:bidi="ar-SA"/>
              </w:rPr>
            </w:pPr>
            <w:r>
              <w:rPr>
                <w:rFonts w:hint="eastAsia" w:ascii="仿宋_GB2312" w:hAnsi="仿宋_GB2312" w:eastAsia="仿宋_GB2312" w:cs="仿宋_GB2312"/>
                <w:spacing w:val="-1"/>
                <w:sz w:val="24"/>
                <w:szCs w:val="24"/>
              </w:rPr>
              <w:t>预</w:t>
            </w:r>
            <w:r>
              <w:rPr>
                <w:rFonts w:hint="eastAsia" w:ascii="仿宋_GB2312" w:hAnsi="仿宋_GB2312" w:eastAsia="仿宋_GB2312" w:cs="仿宋_GB2312"/>
                <w:spacing w:val="-7"/>
                <w:sz w:val="24"/>
                <w:szCs w:val="24"/>
              </w:rPr>
              <w:t>防控制中心</w:t>
            </w:r>
          </w:p>
        </w:tc>
        <w:tc>
          <w:tcPr>
            <w:tcW w:w="3173"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ind w:right="125"/>
              <w:jc w:val="center"/>
              <w:textAlignment w:val="auto"/>
              <w:rPr>
                <w:rFonts w:hint="default" w:ascii="仿宋_GB2312" w:hAnsi="仿宋_GB2312" w:eastAsia="仿宋_GB2312" w:cs="仿宋_GB2312"/>
                <w:spacing w:val="-2"/>
                <w:sz w:val="24"/>
                <w:szCs w:val="24"/>
                <w:lang w:val="en-US" w:eastAsia="zh-CN"/>
              </w:rPr>
            </w:pPr>
            <w:bookmarkStart w:id="2" w:name="OLE_LINK11"/>
            <w:r>
              <w:rPr>
                <w:rFonts w:hint="eastAsia" w:ascii="仿宋_GB2312" w:hAnsi="仿宋_GB2312" w:eastAsia="仿宋_GB2312" w:cs="仿宋_GB2312"/>
                <w:spacing w:val="-3"/>
                <w:sz w:val="24"/>
                <w:szCs w:val="24"/>
                <w:lang w:val="en-US" w:eastAsia="zh-CN"/>
              </w:rPr>
              <w:t>参与样品采集、</w:t>
            </w:r>
            <w:r>
              <w:rPr>
                <w:rFonts w:hint="eastAsia" w:ascii="仿宋_GB2312" w:hAnsi="仿宋_GB2312" w:eastAsia="仿宋_GB2312" w:cs="仿宋_GB2312"/>
                <w:spacing w:val="-2"/>
                <w:sz w:val="24"/>
                <w:szCs w:val="24"/>
                <w:lang w:val="en-US" w:eastAsia="zh-CN"/>
              </w:rPr>
              <w:t>检测、诊断</w:t>
            </w:r>
            <w:r>
              <w:rPr>
                <w:rFonts w:hint="eastAsia" w:ascii="仿宋_GB2312" w:hAnsi="仿宋_GB2312" w:eastAsia="仿宋_GB2312" w:cs="仿宋_GB2312"/>
                <w:spacing w:val="-2"/>
                <w:sz w:val="24"/>
                <w:szCs w:val="24"/>
              </w:rPr>
              <w:t>及数据</w:t>
            </w:r>
            <w:r>
              <w:rPr>
                <w:rFonts w:hint="eastAsia" w:ascii="仿宋_GB2312" w:hAnsi="仿宋_GB2312" w:eastAsia="仿宋_GB2312" w:cs="仿宋_GB2312"/>
                <w:spacing w:val="-6"/>
                <w:sz w:val="24"/>
                <w:szCs w:val="24"/>
              </w:rPr>
              <w:t>统计分析</w:t>
            </w:r>
            <w:r>
              <w:rPr>
                <w:rFonts w:hint="eastAsia" w:ascii="仿宋_GB2312" w:hAnsi="仿宋_GB2312" w:eastAsia="仿宋_GB2312" w:cs="仿宋_GB2312"/>
                <w:spacing w:val="-6"/>
                <w:sz w:val="24"/>
                <w:szCs w:val="24"/>
                <w:lang w:eastAsia="zh-CN"/>
              </w:rPr>
              <w:t>、</w:t>
            </w:r>
            <w:r>
              <w:rPr>
                <w:rFonts w:hint="eastAsia" w:ascii="仿宋_GB2312" w:hAnsi="仿宋_GB2312" w:eastAsia="仿宋_GB2312" w:cs="仿宋_GB2312"/>
                <w:spacing w:val="-6"/>
                <w:sz w:val="24"/>
                <w:szCs w:val="24"/>
                <w:lang w:val="en-US" w:eastAsia="zh-CN"/>
              </w:rPr>
              <w:t>标准编制工作</w:t>
            </w:r>
            <w:bookmarkEnd w:id="2"/>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743"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藏达热</w:t>
            </w:r>
          </w:p>
        </w:tc>
        <w:tc>
          <w:tcPr>
            <w:tcW w:w="700"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女</w:t>
            </w:r>
          </w:p>
        </w:tc>
        <w:tc>
          <w:tcPr>
            <w:tcW w:w="2680"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助理兽医师</w:t>
            </w:r>
          </w:p>
        </w:tc>
        <w:tc>
          <w:tcPr>
            <w:tcW w:w="2123"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ind w:left="794" w:leftChars="0" w:right="165" w:rightChars="0" w:hanging="621" w:firstLineChars="0"/>
              <w:jc w:val="center"/>
              <w:textAlignment w:val="auto"/>
              <w:rPr>
                <w:rFonts w:hint="eastAsia" w:ascii="仿宋_GB2312" w:hAnsi="仿宋_GB2312" w:eastAsia="仿宋_GB2312" w:cs="仿宋_GB2312"/>
                <w:spacing w:val="-1"/>
                <w:sz w:val="24"/>
                <w:szCs w:val="24"/>
              </w:rPr>
            </w:pPr>
            <w:bookmarkStart w:id="3" w:name="OLE_LINK14"/>
            <w:r>
              <w:rPr>
                <w:rFonts w:hint="eastAsia" w:ascii="仿宋_GB2312" w:hAnsi="仿宋_GB2312" w:eastAsia="仿宋_GB2312" w:cs="仿宋_GB2312"/>
                <w:spacing w:val="-1"/>
                <w:sz w:val="24"/>
                <w:szCs w:val="24"/>
                <w:lang w:val="en-US" w:eastAsia="zh-CN"/>
              </w:rPr>
              <w:t>乌审旗</w:t>
            </w:r>
            <w:r>
              <w:rPr>
                <w:rFonts w:hint="eastAsia" w:ascii="仿宋_GB2312" w:hAnsi="仿宋_GB2312" w:eastAsia="仿宋_GB2312" w:cs="仿宋_GB2312"/>
                <w:spacing w:val="-1"/>
                <w:sz w:val="24"/>
                <w:szCs w:val="24"/>
              </w:rPr>
              <w:t>动物疫病</w:t>
            </w:r>
          </w:p>
          <w:p>
            <w:pPr>
              <w:pStyle w:val="7"/>
              <w:keepNext w:val="0"/>
              <w:keepLines w:val="0"/>
              <w:pageBreakBefore w:val="0"/>
              <w:widowControl w:val="0"/>
              <w:kinsoku/>
              <w:wordWrap/>
              <w:overflowPunct/>
              <w:topLinePunct w:val="0"/>
              <w:autoSpaceDE/>
              <w:autoSpaceDN/>
              <w:bidi w:val="0"/>
              <w:adjustRightInd/>
              <w:snapToGrid/>
              <w:spacing w:line="320" w:lineRule="exact"/>
              <w:ind w:left="794" w:leftChars="0" w:right="165" w:rightChars="0" w:hanging="621" w:firstLineChars="0"/>
              <w:jc w:val="center"/>
              <w:textAlignment w:val="auto"/>
              <w:rPr>
                <w:rFonts w:hint="eastAsia" w:ascii="仿宋_GB2312" w:hAnsi="仿宋_GB2312" w:eastAsia="仿宋_GB2312" w:cs="仿宋_GB2312"/>
                <w:spacing w:val="-1"/>
                <w:kern w:val="2"/>
                <w:sz w:val="24"/>
                <w:szCs w:val="24"/>
                <w:lang w:val="en-US" w:eastAsia="zh-CN" w:bidi="ar-SA"/>
              </w:rPr>
            </w:pPr>
            <w:r>
              <w:rPr>
                <w:rFonts w:hint="eastAsia" w:ascii="仿宋_GB2312" w:hAnsi="仿宋_GB2312" w:eastAsia="仿宋_GB2312" w:cs="仿宋_GB2312"/>
                <w:spacing w:val="-1"/>
                <w:sz w:val="24"/>
                <w:szCs w:val="24"/>
              </w:rPr>
              <w:t>预</w:t>
            </w:r>
            <w:r>
              <w:rPr>
                <w:rFonts w:hint="eastAsia" w:ascii="仿宋_GB2312" w:hAnsi="仿宋_GB2312" w:eastAsia="仿宋_GB2312" w:cs="仿宋_GB2312"/>
                <w:spacing w:val="-7"/>
                <w:sz w:val="24"/>
                <w:szCs w:val="24"/>
              </w:rPr>
              <w:t>防控制中心</w:t>
            </w:r>
            <w:bookmarkEnd w:id="3"/>
          </w:p>
        </w:tc>
        <w:tc>
          <w:tcPr>
            <w:tcW w:w="3173"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ind w:right="125" w:rightChars="0"/>
              <w:jc w:val="center"/>
              <w:textAlignment w:val="auto"/>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3"/>
                <w:sz w:val="24"/>
                <w:szCs w:val="24"/>
              </w:rPr>
              <w:t>负责资料</w:t>
            </w:r>
            <w:r>
              <w:rPr>
                <w:rFonts w:hint="eastAsia" w:ascii="仿宋_GB2312" w:hAnsi="仿宋_GB2312" w:eastAsia="仿宋_GB2312" w:cs="仿宋_GB2312"/>
                <w:spacing w:val="-5"/>
                <w:sz w:val="24"/>
                <w:szCs w:val="24"/>
              </w:rPr>
              <w:t>搜集、整理</w:t>
            </w:r>
            <w:r>
              <w:rPr>
                <w:rFonts w:hint="eastAsia" w:ascii="仿宋_GB2312" w:hAnsi="仿宋_GB2312" w:eastAsia="仿宋_GB2312" w:cs="仿宋_GB2312"/>
                <w:spacing w:val="-5"/>
                <w:sz w:val="24"/>
                <w:szCs w:val="24"/>
                <w:lang w:eastAsia="zh-CN"/>
              </w:rPr>
              <w:t>，</w:t>
            </w:r>
            <w:r>
              <w:rPr>
                <w:rFonts w:hint="eastAsia" w:ascii="仿宋_GB2312" w:hAnsi="仿宋_GB2312" w:eastAsia="仿宋_GB2312" w:cs="仿宋_GB2312"/>
                <w:spacing w:val="-2"/>
                <w:sz w:val="24"/>
                <w:szCs w:val="24"/>
              </w:rPr>
              <w:t>参与</w:t>
            </w:r>
            <w:r>
              <w:rPr>
                <w:rFonts w:hint="eastAsia" w:ascii="仿宋_GB2312" w:hAnsi="仿宋_GB2312" w:eastAsia="仿宋_GB2312" w:cs="仿宋_GB2312"/>
                <w:spacing w:val="-5"/>
                <w:sz w:val="24"/>
                <w:szCs w:val="24"/>
                <w:lang w:val="en-US" w:eastAsia="zh-CN"/>
              </w:rPr>
              <w:t>样品采集、检测及</w:t>
            </w:r>
            <w:r>
              <w:rPr>
                <w:rFonts w:hint="eastAsia" w:ascii="仿宋_GB2312" w:hAnsi="仿宋_GB2312" w:eastAsia="仿宋_GB2312" w:cs="仿宋_GB2312"/>
                <w:spacing w:val="-2"/>
                <w:sz w:val="24"/>
                <w:szCs w:val="24"/>
                <w:lang w:val="en-US" w:eastAsia="zh-CN"/>
              </w:rPr>
              <w:t>标准编制</w:t>
            </w:r>
            <w:r>
              <w:rPr>
                <w:rFonts w:hint="eastAsia" w:ascii="仿宋_GB2312" w:hAnsi="仿宋_GB2312" w:eastAsia="仿宋_GB2312" w:cs="仿宋_GB2312"/>
                <w:spacing w:val="-6"/>
                <w:sz w:val="24"/>
                <w:szCs w:val="24"/>
              </w:rPr>
              <w:t>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743"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娜仁其木格</w:t>
            </w:r>
          </w:p>
        </w:tc>
        <w:tc>
          <w:tcPr>
            <w:tcW w:w="700"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女</w:t>
            </w:r>
          </w:p>
        </w:tc>
        <w:tc>
          <w:tcPr>
            <w:tcW w:w="2680"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pacing w:val="-5"/>
                <w:kern w:val="2"/>
                <w:sz w:val="24"/>
                <w:szCs w:val="24"/>
                <w:lang w:val="en-US" w:eastAsia="zh-CN" w:bidi="ar-SA"/>
              </w:rPr>
            </w:pPr>
            <w:r>
              <w:rPr>
                <w:rFonts w:hint="eastAsia" w:ascii="仿宋_GB2312" w:hAnsi="仿宋_GB2312" w:eastAsia="仿宋_GB2312" w:cs="仿宋_GB2312"/>
                <w:spacing w:val="-5"/>
                <w:kern w:val="2"/>
                <w:sz w:val="24"/>
                <w:szCs w:val="24"/>
                <w:lang w:val="en-US" w:eastAsia="zh-CN" w:bidi="ar-SA"/>
              </w:rPr>
              <w:t>初级</w:t>
            </w:r>
          </w:p>
        </w:tc>
        <w:tc>
          <w:tcPr>
            <w:tcW w:w="2123"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ind w:left="794" w:leftChars="0" w:right="165" w:rightChars="0" w:hanging="621" w:firstLineChars="0"/>
              <w:jc w:val="center"/>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lang w:val="en-US" w:eastAsia="zh-CN"/>
              </w:rPr>
              <w:t>乌审旗</w:t>
            </w:r>
            <w:r>
              <w:rPr>
                <w:rFonts w:hint="eastAsia" w:ascii="仿宋_GB2312" w:hAnsi="仿宋_GB2312" w:eastAsia="仿宋_GB2312" w:cs="仿宋_GB2312"/>
                <w:spacing w:val="-1"/>
                <w:sz w:val="24"/>
                <w:szCs w:val="24"/>
              </w:rPr>
              <w:t>动物疫病</w:t>
            </w:r>
          </w:p>
          <w:p>
            <w:pPr>
              <w:pStyle w:val="7"/>
              <w:keepNext w:val="0"/>
              <w:keepLines w:val="0"/>
              <w:pageBreakBefore w:val="0"/>
              <w:widowControl w:val="0"/>
              <w:kinsoku/>
              <w:wordWrap/>
              <w:overflowPunct/>
              <w:topLinePunct w:val="0"/>
              <w:autoSpaceDE/>
              <w:autoSpaceDN/>
              <w:bidi w:val="0"/>
              <w:adjustRightInd/>
              <w:snapToGrid/>
              <w:spacing w:line="320" w:lineRule="exact"/>
              <w:ind w:left="794" w:leftChars="0" w:right="165" w:rightChars="0" w:hanging="621" w:firstLineChars="0"/>
              <w:jc w:val="center"/>
              <w:textAlignment w:val="auto"/>
              <w:rPr>
                <w:rFonts w:hint="eastAsia" w:ascii="仿宋_GB2312" w:hAnsi="仿宋_GB2312" w:eastAsia="仿宋_GB2312" w:cs="仿宋_GB2312"/>
                <w:spacing w:val="-1"/>
                <w:kern w:val="2"/>
                <w:sz w:val="24"/>
                <w:szCs w:val="24"/>
                <w:lang w:val="en-US" w:eastAsia="zh-CN" w:bidi="ar-SA"/>
              </w:rPr>
            </w:pPr>
            <w:r>
              <w:rPr>
                <w:rFonts w:hint="eastAsia" w:ascii="仿宋_GB2312" w:hAnsi="仿宋_GB2312" w:eastAsia="仿宋_GB2312" w:cs="仿宋_GB2312"/>
                <w:spacing w:val="-1"/>
                <w:sz w:val="24"/>
                <w:szCs w:val="24"/>
              </w:rPr>
              <w:t>预</w:t>
            </w:r>
            <w:r>
              <w:rPr>
                <w:rFonts w:hint="eastAsia" w:ascii="仿宋_GB2312" w:hAnsi="仿宋_GB2312" w:eastAsia="仿宋_GB2312" w:cs="仿宋_GB2312"/>
                <w:spacing w:val="-7"/>
                <w:sz w:val="24"/>
                <w:szCs w:val="24"/>
              </w:rPr>
              <w:t>防控制中心</w:t>
            </w:r>
          </w:p>
        </w:tc>
        <w:tc>
          <w:tcPr>
            <w:tcW w:w="3173"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ind w:right="125" w:rightChars="0"/>
              <w:jc w:val="center"/>
              <w:textAlignment w:val="auto"/>
              <w:rPr>
                <w:rFonts w:hint="eastAsia" w:ascii="仿宋_GB2312" w:hAnsi="仿宋_GB2312" w:eastAsia="仿宋_GB2312" w:cs="仿宋_GB2312"/>
                <w:spacing w:val="-3"/>
                <w:sz w:val="24"/>
                <w:szCs w:val="24"/>
                <w:lang w:val="en-US" w:eastAsia="zh-CN"/>
              </w:rPr>
            </w:pPr>
            <w:r>
              <w:rPr>
                <w:rFonts w:hint="eastAsia" w:ascii="仿宋_GB2312" w:hAnsi="仿宋_GB2312" w:eastAsia="仿宋_GB2312" w:cs="仿宋_GB2312"/>
                <w:spacing w:val="-2"/>
                <w:sz w:val="24"/>
                <w:szCs w:val="24"/>
                <w:lang w:val="en-US" w:eastAsia="zh-CN"/>
              </w:rPr>
              <w:t>参与临床试验、样品采集、防治工作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743"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王文龙</w:t>
            </w:r>
          </w:p>
        </w:tc>
        <w:tc>
          <w:tcPr>
            <w:tcW w:w="700"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男</w:t>
            </w:r>
          </w:p>
        </w:tc>
        <w:tc>
          <w:tcPr>
            <w:tcW w:w="2680"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pacing w:val="-5"/>
                <w:kern w:val="2"/>
                <w:sz w:val="24"/>
                <w:szCs w:val="24"/>
                <w:lang w:val="en-US" w:eastAsia="zh-CN" w:bidi="ar-SA"/>
              </w:rPr>
            </w:pPr>
            <w:r>
              <w:rPr>
                <w:rFonts w:hint="eastAsia" w:ascii="仿宋_GB2312" w:hAnsi="仿宋_GB2312" w:eastAsia="仿宋_GB2312" w:cs="仿宋_GB2312"/>
                <w:spacing w:val="-5"/>
                <w:kern w:val="2"/>
                <w:sz w:val="24"/>
                <w:szCs w:val="24"/>
                <w:lang w:val="en-US" w:eastAsia="zh-CN" w:bidi="ar-SA"/>
              </w:rPr>
              <w:t>正高</w:t>
            </w:r>
          </w:p>
        </w:tc>
        <w:tc>
          <w:tcPr>
            <w:tcW w:w="2123"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ind w:left="794" w:leftChars="0" w:right="165" w:rightChars="0" w:hanging="621" w:firstLineChars="0"/>
              <w:jc w:val="center"/>
              <w:textAlignment w:val="auto"/>
              <w:rPr>
                <w:rFonts w:hint="default" w:ascii="仿宋_GB2312" w:hAnsi="仿宋_GB2312" w:eastAsia="仿宋_GB2312" w:cs="仿宋_GB2312"/>
                <w:spacing w:val="-1"/>
                <w:kern w:val="2"/>
                <w:sz w:val="24"/>
                <w:szCs w:val="24"/>
                <w:lang w:val="en-US" w:eastAsia="zh-CN" w:bidi="ar-SA"/>
              </w:rPr>
            </w:pPr>
            <w:bookmarkStart w:id="4" w:name="OLE_LINK12"/>
            <w:r>
              <w:rPr>
                <w:rFonts w:hint="eastAsia" w:ascii="仿宋_GB2312" w:hAnsi="仿宋_GB2312" w:eastAsia="仿宋_GB2312" w:cs="仿宋_GB2312"/>
                <w:spacing w:val="-1"/>
                <w:kern w:val="2"/>
                <w:sz w:val="24"/>
                <w:szCs w:val="24"/>
                <w:lang w:val="en-US" w:eastAsia="zh-CN" w:bidi="ar-SA"/>
              </w:rPr>
              <w:t>内蒙古农业大学</w:t>
            </w:r>
            <w:bookmarkEnd w:id="4"/>
          </w:p>
        </w:tc>
        <w:tc>
          <w:tcPr>
            <w:tcW w:w="3173"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ind w:right="125" w:rightChars="0"/>
              <w:jc w:val="center"/>
              <w:textAlignment w:val="auto"/>
              <w:rPr>
                <w:rFonts w:hint="eastAsia" w:ascii="仿宋_GB2312" w:hAnsi="仿宋_GB2312" w:eastAsia="仿宋_GB2312" w:cs="仿宋_GB2312"/>
                <w:spacing w:val="-2"/>
                <w:kern w:val="2"/>
                <w:sz w:val="24"/>
                <w:szCs w:val="24"/>
                <w:lang w:val="en-US" w:eastAsia="en-US" w:bidi="ar-SA"/>
              </w:rPr>
            </w:pPr>
            <w:r>
              <w:rPr>
                <w:rFonts w:hint="eastAsia" w:ascii="仿宋_GB2312" w:hAnsi="仿宋_GB2312" w:eastAsia="仿宋_GB2312" w:cs="仿宋_GB2312"/>
                <w:spacing w:val="-3"/>
                <w:sz w:val="24"/>
                <w:szCs w:val="24"/>
                <w:lang w:val="en-US" w:eastAsia="zh-CN"/>
              </w:rPr>
              <w:t>参与样品采集、</w:t>
            </w:r>
            <w:r>
              <w:rPr>
                <w:rFonts w:hint="eastAsia" w:ascii="仿宋_GB2312" w:hAnsi="仿宋_GB2312" w:eastAsia="仿宋_GB2312" w:cs="仿宋_GB2312"/>
                <w:spacing w:val="-2"/>
                <w:sz w:val="24"/>
                <w:szCs w:val="24"/>
                <w:lang w:val="en-US" w:eastAsia="zh-CN"/>
              </w:rPr>
              <w:t>检测、诊断</w:t>
            </w:r>
            <w:r>
              <w:rPr>
                <w:rFonts w:hint="eastAsia" w:ascii="仿宋_GB2312" w:hAnsi="仿宋_GB2312" w:eastAsia="仿宋_GB2312" w:cs="仿宋_GB2312"/>
                <w:spacing w:val="-2"/>
                <w:sz w:val="24"/>
                <w:szCs w:val="24"/>
              </w:rPr>
              <w:t>及数据</w:t>
            </w:r>
            <w:r>
              <w:rPr>
                <w:rFonts w:hint="eastAsia" w:ascii="仿宋_GB2312" w:hAnsi="仿宋_GB2312" w:eastAsia="仿宋_GB2312" w:cs="仿宋_GB2312"/>
                <w:spacing w:val="-6"/>
                <w:sz w:val="24"/>
                <w:szCs w:val="24"/>
              </w:rPr>
              <w:t>统计分析</w:t>
            </w:r>
            <w:r>
              <w:rPr>
                <w:rFonts w:hint="eastAsia" w:ascii="仿宋_GB2312" w:hAnsi="仿宋_GB2312" w:eastAsia="仿宋_GB2312" w:cs="仿宋_GB2312"/>
                <w:spacing w:val="-6"/>
                <w:sz w:val="24"/>
                <w:szCs w:val="24"/>
                <w:lang w:eastAsia="zh-CN"/>
              </w:rPr>
              <w:t>、</w:t>
            </w:r>
            <w:r>
              <w:rPr>
                <w:rFonts w:hint="eastAsia" w:ascii="仿宋_GB2312" w:hAnsi="仿宋_GB2312" w:eastAsia="仿宋_GB2312" w:cs="仿宋_GB2312"/>
                <w:spacing w:val="-6"/>
                <w:sz w:val="24"/>
                <w:szCs w:val="24"/>
                <w:lang w:val="en-US" w:eastAsia="zh-CN"/>
              </w:rPr>
              <w:t>标准编制工作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743"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lang w:val="en-US" w:eastAsia="zh-CN"/>
              </w:rPr>
            </w:pPr>
            <w:bookmarkStart w:id="5" w:name="OLE_LINK17"/>
            <w:r>
              <w:rPr>
                <w:rFonts w:hint="eastAsia" w:ascii="仿宋_GB2312" w:hAnsi="仿宋_GB2312" w:eastAsia="仿宋_GB2312" w:cs="仿宋_GB2312"/>
                <w:sz w:val="24"/>
                <w:szCs w:val="24"/>
                <w:lang w:val="en-US" w:eastAsia="zh-CN"/>
              </w:rPr>
              <w:t>苏日古嘎</w:t>
            </w:r>
            <w:bookmarkEnd w:id="5"/>
          </w:p>
        </w:tc>
        <w:tc>
          <w:tcPr>
            <w:tcW w:w="700"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bookmarkStart w:id="6" w:name="OLE_LINK13"/>
            <w:r>
              <w:rPr>
                <w:rFonts w:hint="eastAsia" w:ascii="仿宋_GB2312" w:hAnsi="仿宋_GB2312" w:eastAsia="仿宋_GB2312" w:cs="仿宋_GB2312"/>
                <w:sz w:val="24"/>
                <w:szCs w:val="24"/>
                <w:lang w:val="en-US" w:eastAsia="zh-CN"/>
              </w:rPr>
              <w:t>女</w:t>
            </w:r>
            <w:bookmarkEnd w:id="6"/>
          </w:p>
        </w:tc>
        <w:tc>
          <w:tcPr>
            <w:tcW w:w="2680"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pacing w:val="-3"/>
                <w:sz w:val="24"/>
                <w:szCs w:val="24"/>
                <w:lang w:val="en-US" w:eastAsia="zh-CN"/>
              </w:rPr>
            </w:pPr>
            <w:r>
              <w:rPr>
                <w:rFonts w:hint="eastAsia" w:ascii="仿宋_GB2312" w:hAnsi="仿宋_GB2312" w:eastAsia="仿宋_GB2312" w:cs="仿宋_GB2312"/>
                <w:spacing w:val="-3"/>
                <w:sz w:val="24"/>
                <w:szCs w:val="24"/>
                <w:lang w:val="en-US" w:eastAsia="zh-CN"/>
              </w:rPr>
              <w:t>中级</w:t>
            </w:r>
          </w:p>
        </w:tc>
        <w:tc>
          <w:tcPr>
            <w:tcW w:w="2123"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ind w:left="794" w:leftChars="0" w:right="165" w:rightChars="0" w:hanging="621" w:firstLineChars="0"/>
              <w:jc w:val="center"/>
              <w:textAlignment w:val="auto"/>
              <w:rPr>
                <w:rFonts w:hint="eastAsia" w:ascii="仿宋_GB2312" w:hAnsi="仿宋_GB2312" w:eastAsia="仿宋_GB2312" w:cs="仿宋_GB2312"/>
                <w:spacing w:val="-1"/>
                <w:kern w:val="2"/>
                <w:sz w:val="24"/>
                <w:szCs w:val="24"/>
                <w:lang w:val="en-US" w:eastAsia="zh-CN" w:bidi="ar-SA"/>
              </w:rPr>
            </w:pPr>
            <w:r>
              <w:rPr>
                <w:rFonts w:hint="eastAsia" w:ascii="仿宋_GB2312" w:hAnsi="仿宋_GB2312" w:eastAsia="仿宋_GB2312" w:cs="仿宋_GB2312"/>
                <w:spacing w:val="-1"/>
                <w:kern w:val="2"/>
                <w:sz w:val="24"/>
                <w:szCs w:val="24"/>
                <w:lang w:val="en-US" w:eastAsia="zh-CN" w:bidi="ar-SA"/>
              </w:rPr>
              <w:t>内蒙古农业大学</w:t>
            </w:r>
          </w:p>
        </w:tc>
        <w:tc>
          <w:tcPr>
            <w:tcW w:w="3173"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ind w:right="125"/>
              <w:jc w:val="center"/>
              <w:textAlignment w:val="auto"/>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3"/>
                <w:sz w:val="24"/>
                <w:szCs w:val="24"/>
                <w:lang w:val="en-US" w:eastAsia="zh-CN"/>
              </w:rPr>
              <w:t>参与样品采集、</w:t>
            </w:r>
            <w:r>
              <w:rPr>
                <w:rFonts w:hint="eastAsia" w:ascii="仿宋_GB2312" w:hAnsi="仿宋_GB2312" w:eastAsia="仿宋_GB2312" w:cs="仿宋_GB2312"/>
                <w:spacing w:val="-2"/>
                <w:sz w:val="24"/>
                <w:szCs w:val="24"/>
                <w:lang w:val="en-US" w:eastAsia="zh-CN"/>
              </w:rPr>
              <w:t>检测</w:t>
            </w:r>
            <w:r>
              <w:rPr>
                <w:rFonts w:hint="eastAsia" w:ascii="仿宋_GB2312" w:hAnsi="仿宋_GB2312" w:eastAsia="仿宋_GB2312" w:cs="仿宋_GB2312"/>
                <w:spacing w:val="-2"/>
                <w:sz w:val="24"/>
                <w:szCs w:val="24"/>
              </w:rPr>
              <w:t>及</w:t>
            </w:r>
          </w:p>
          <w:p>
            <w:pPr>
              <w:pStyle w:val="7"/>
              <w:keepNext w:val="0"/>
              <w:keepLines w:val="0"/>
              <w:pageBreakBefore w:val="0"/>
              <w:widowControl w:val="0"/>
              <w:kinsoku/>
              <w:wordWrap/>
              <w:overflowPunct/>
              <w:topLinePunct w:val="0"/>
              <w:autoSpaceDE/>
              <w:autoSpaceDN/>
              <w:bidi w:val="0"/>
              <w:adjustRightInd/>
              <w:snapToGrid/>
              <w:spacing w:line="320" w:lineRule="exact"/>
              <w:ind w:right="125"/>
              <w:jc w:val="center"/>
              <w:textAlignment w:val="auto"/>
              <w:rPr>
                <w:rFonts w:hint="default" w:ascii="仿宋_GB2312" w:hAnsi="仿宋_GB2312" w:eastAsia="仿宋_GB2312" w:cs="仿宋_GB2312"/>
                <w:spacing w:val="-3"/>
                <w:sz w:val="24"/>
                <w:szCs w:val="24"/>
                <w:lang w:val="en-US" w:eastAsia="zh-CN"/>
              </w:rPr>
            </w:pPr>
            <w:r>
              <w:rPr>
                <w:rFonts w:hint="eastAsia" w:ascii="仿宋_GB2312" w:hAnsi="仿宋_GB2312" w:eastAsia="仿宋_GB2312" w:cs="仿宋_GB2312"/>
                <w:spacing w:val="-2"/>
                <w:sz w:val="24"/>
                <w:szCs w:val="24"/>
                <w:lang w:val="en-US" w:eastAsia="zh-CN"/>
              </w:rPr>
              <w:t>标准起草、编制工作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743"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占登</w:t>
            </w:r>
          </w:p>
        </w:tc>
        <w:tc>
          <w:tcPr>
            <w:tcW w:w="700"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女</w:t>
            </w:r>
          </w:p>
        </w:tc>
        <w:tc>
          <w:tcPr>
            <w:tcW w:w="2680"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pacing w:val="-3"/>
                <w:sz w:val="24"/>
                <w:szCs w:val="24"/>
                <w:lang w:val="en-US" w:eastAsia="zh-CN"/>
              </w:rPr>
            </w:pPr>
            <w:r>
              <w:rPr>
                <w:rFonts w:hint="eastAsia" w:ascii="仿宋_GB2312" w:hAnsi="仿宋_GB2312" w:eastAsia="仿宋_GB2312" w:cs="仿宋_GB2312"/>
                <w:spacing w:val="-3"/>
                <w:sz w:val="24"/>
                <w:szCs w:val="24"/>
                <w:lang w:val="en-US" w:eastAsia="zh-CN"/>
              </w:rPr>
              <w:t>无</w:t>
            </w:r>
          </w:p>
        </w:tc>
        <w:tc>
          <w:tcPr>
            <w:tcW w:w="2123"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ind w:left="794" w:leftChars="0" w:right="165" w:rightChars="0" w:hanging="621" w:firstLineChars="0"/>
              <w:jc w:val="center"/>
              <w:textAlignment w:val="auto"/>
              <w:rPr>
                <w:rFonts w:hint="eastAsia" w:ascii="仿宋_GB2312" w:hAnsi="仿宋_GB2312" w:eastAsia="仿宋_GB2312" w:cs="仿宋_GB2312"/>
                <w:spacing w:val="-1"/>
                <w:kern w:val="2"/>
                <w:sz w:val="24"/>
                <w:szCs w:val="24"/>
                <w:lang w:val="en-US" w:eastAsia="zh-CN" w:bidi="ar-SA"/>
              </w:rPr>
            </w:pPr>
            <w:r>
              <w:rPr>
                <w:rFonts w:hint="eastAsia" w:ascii="仿宋_GB2312" w:hAnsi="仿宋_GB2312" w:eastAsia="仿宋_GB2312" w:cs="仿宋_GB2312"/>
                <w:spacing w:val="-1"/>
                <w:kern w:val="2"/>
                <w:sz w:val="24"/>
                <w:szCs w:val="24"/>
                <w:lang w:val="en-US" w:eastAsia="zh-CN" w:bidi="ar-SA"/>
              </w:rPr>
              <w:t>内蒙古农业大学</w:t>
            </w:r>
          </w:p>
        </w:tc>
        <w:tc>
          <w:tcPr>
            <w:tcW w:w="3173"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ind w:right="125"/>
              <w:jc w:val="center"/>
              <w:textAlignment w:val="auto"/>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3"/>
                <w:sz w:val="24"/>
                <w:szCs w:val="24"/>
                <w:lang w:val="en-US" w:eastAsia="zh-CN"/>
              </w:rPr>
              <w:t>参与样品采集、</w:t>
            </w:r>
            <w:r>
              <w:rPr>
                <w:rFonts w:hint="eastAsia" w:ascii="仿宋_GB2312" w:hAnsi="仿宋_GB2312" w:eastAsia="仿宋_GB2312" w:cs="仿宋_GB2312"/>
                <w:spacing w:val="-2"/>
                <w:sz w:val="24"/>
                <w:szCs w:val="24"/>
                <w:lang w:val="en-US" w:eastAsia="zh-CN"/>
              </w:rPr>
              <w:t>检测</w:t>
            </w:r>
            <w:r>
              <w:rPr>
                <w:rFonts w:hint="eastAsia" w:ascii="仿宋_GB2312" w:hAnsi="仿宋_GB2312" w:eastAsia="仿宋_GB2312" w:cs="仿宋_GB2312"/>
                <w:spacing w:val="-2"/>
                <w:sz w:val="24"/>
                <w:szCs w:val="24"/>
              </w:rPr>
              <w:t>及</w:t>
            </w:r>
          </w:p>
          <w:p>
            <w:pPr>
              <w:pStyle w:val="7"/>
              <w:keepNext w:val="0"/>
              <w:keepLines w:val="0"/>
              <w:pageBreakBefore w:val="0"/>
              <w:widowControl w:val="0"/>
              <w:kinsoku/>
              <w:wordWrap/>
              <w:overflowPunct/>
              <w:topLinePunct w:val="0"/>
              <w:autoSpaceDE/>
              <w:autoSpaceDN/>
              <w:bidi w:val="0"/>
              <w:adjustRightInd/>
              <w:snapToGrid/>
              <w:spacing w:line="320" w:lineRule="exact"/>
              <w:ind w:right="125"/>
              <w:jc w:val="center"/>
              <w:textAlignment w:val="auto"/>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2"/>
                <w:sz w:val="24"/>
                <w:szCs w:val="24"/>
                <w:lang w:val="en-US" w:eastAsia="zh-CN"/>
              </w:rPr>
              <w:t>标准起草、编制工作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743"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特日格乐</w:t>
            </w:r>
          </w:p>
        </w:tc>
        <w:tc>
          <w:tcPr>
            <w:tcW w:w="700"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女</w:t>
            </w:r>
          </w:p>
        </w:tc>
        <w:tc>
          <w:tcPr>
            <w:tcW w:w="2680"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pacing w:val="-3"/>
                <w:sz w:val="24"/>
                <w:szCs w:val="24"/>
                <w:lang w:val="en-US" w:eastAsia="zh-CN"/>
              </w:rPr>
            </w:pPr>
            <w:r>
              <w:rPr>
                <w:rFonts w:hint="eastAsia" w:ascii="仿宋_GB2312" w:hAnsi="仿宋_GB2312" w:eastAsia="仿宋_GB2312" w:cs="仿宋_GB2312"/>
                <w:spacing w:val="-3"/>
                <w:sz w:val="24"/>
                <w:szCs w:val="24"/>
                <w:lang w:val="en-US" w:eastAsia="zh-CN"/>
              </w:rPr>
              <w:t>无</w:t>
            </w:r>
          </w:p>
        </w:tc>
        <w:tc>
          <w:tcPr>
            <w:tcW w:w="2123"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20" w:lineRule="exact"/>
              <w:ind w:left="794" w:leftChars="0" w:right="165" w:rightChars="0" w:hanging="621" w:firstLineChars="0"/>
              <w:jc w:val="center"/>
              <w:textAlignment w:val="auto"/>
              <w:rPr>
                <w:rFonts w:hint="eastAsia" w:ascii="仿宋_GB2312" w:hAnsi="仿宋_GB2312" w:eastAsia="仿宋_GB2312" w:cs="仿宋_GB2312"/>
                <w:spacing w:val="-1"/>
                <w:kern w:val="2"/>
                <w:sz w:val="24"/>
                <w:szCs w:val="24"/>
                <w:lang w:val="en-US" w:eastAsia="zh-CN" w:bidi="ar-SA"/>
              </w:rPr>
            </w:pPr>
            <w:r>
              <w:rPr>
                <w:rFonts w:hint="eastAsia" w:ascii="仿宋_GB2312" w:hAnsi="仿宋_GB2312" w:eastAsia="仿宋_GB2312" w:cs="仿宋_GB2312"/>
                <w:spacing w:val="-1"/>
                <w:kern w:val="2"/>
                <w:sz w:val="24"/>
                <w:szCs w:val="24"/>
                <w:lang w:val="en-US" w:eastAsia="zh-CN" w:bidi="ar-SA"/>
              </w:rPr>
              <w:t>内蒙古农业大学</w:t>
            </w:r>
          </w:p>
        </w:tc>
        <w:tc>
          <w:tcPr>
            <w:tcW w:w="3173"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ind w:right="125"/>
              <w:jc w:val="center"/>
              <w:textAlignment w:val="auto"/>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3"/>
                <w:sz w:val="24"/>
                <w:szCs w:val="24"/>
                <w:lang w:val="en-US" w:eastAsia="zh-CN"/>
              </w:rPr>
              <w:t>参与样品采集、</w:t>
            </w:r>
            <w:r>
              <w:rPr>
                <w:rFonts w:hint="eastAsia" w:ascii="仿宋_GB2312" w:hAnsi="仿宋_GB2312" w:eastAsia="仿宋_GB2312" w:cs="仿宋_GB2312"/>
                <w:spacing w:val="-2"/>
                <w:sz w:val="24"/>
                <w:szCs w:val="24"/>
                <w:lang w:val="en-US" w:eastAsia="zh-CN"/>
              </w:rPr>
              <w:t>检测</w:t>
            </w:r>
            <w:r>
              <w:rPr>
                <w:rFonts w:hint="eastAsia" w:ascii="仿宋_GB2312" w:hAnsi="仿宋_GB2312" w:eastAsia="仿宋_GB2312" w:cs="仿宋_GB2312"/>
                <w:spacing w:val="-2"/>
                <w:sz w:val="24"/>
                <w:szCs w:val="24"/>
              </w:rPr>
              <w:t>及</w:t>
            </w:r>
          </w:p>
          <w:p>
            <w:pPr>
              <w:pStyle w:val="7"/>
              <w:keepNext w:val="0"/>
              <w:keepLines w:val="0"/>
              <w:pageBreakBefore w:val="0"/>
              <w:widowControl w:val="0"/>
              <w:kinsoku/>
              <w:wordWrap/>
              <w:overflowPunct/>
              <w:topLinePunct w:val="0"/>
              <w:autoSpaceDE/>
              <w:autoSpaceDN/>
              <w:bidi w:val="0"/>
              <w:adjustRightInd/>
              <w:snapToGrid/>
              <w:spacing w:line="320" w:lineRule="exact"/>
              <w:ind w:right="125"/>
              <w:jc w:val="center"/>
              <w:textAlignment w:val="auto"/>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2"/>
                <w:sz w:val="24"/>
                <w:szCs w:val="24"/>
                <w:lang w:val="en-US" w:eastAsia="zh-CN"/>
              </w:rPr>
              <w:t>标准起草、编制工作</w:t>
            </w:r>
          </w:p>
        </w:tc>
      </w:tr>
    </w:tbl>
    <w:p>
      <w:pPr>
        <w:rPr>
          <w:rFonts w:hint="eastAsia" w:ascii="仿宋_GB2312" w:hAnsi="仿宋_GB2312" w:eastAsia="仿宋_GB2312" w:cs="仿宋_GB2312"/>
          <w:sz w:val="24"/>
          <w:szCs w:val="24"/>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二、制定</w:t>
      </w:r>
      <w:r>
        <w:rPr>
          <w:rFonts w:hint="eastAsia" w:ascii="黑体" w:hAnsi="黑体" w:eastAsia="黑体" w:cs="黑体"/>
          <w:sz w:val="32"/>
          <w:szCs w:val="32"/>
          <w:lang w:val="en-US" w:eastAsia="zh-CN"/>
        </w:rPr>
        <w:t>规范</w:t>
      </w:r>
      <w:r>
        <w:rPr>
          <w:rFonts w:hint="eastAsia" w:ascii="黑体" w:hAnsi="黑体" w:eastAsia="黑体" w:cs="黑体"/>
          <w:sz w:val="32"/>
          <w:szCs w:val="32"/>
        </w:rPr>
        <w:t>的必要性和意义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畜牧业发展靠效益、靠规模，同时，更离不开动物疫病防控。动物疫病是制约畜牧业发展的重要因素。近年来，随着畜牧业发展方式的转变和供给侧结构性改革，不同经济成份、不同经营方式、不同规模化的</w:t>
      </w:r>
      <w:r>
        <w:rPr>
          <w:rFonts w:hint="eastAsia" w:ascii="仿宋_GB2312" w:hAnsi="仿宋_GB2312" w:eastAsia="仿宋_GB2312" w:cs="仿宋_GB2312"/>
          <w:sz w:val="32"/>
          <w:szCs w:val="32"/>
          <w:lang w:val="en-US" w:eastAsia="zh-CN"/>
        </w:rPr>
        <w:t>羊</w:t>
      </w:r>
      <w:r>
        <w:rPr>
          <w:rFonts w:hint="eastAsia" w:ascii="仿宋_GB2312" w:hAnsi="仿宋_GB2312" w:eastAsia="仿宋_GB2312" w:cs="仿宋_GB2312"/>
          <w:sz w:val="32"/>
          <w:szCs w:val="32"/>
        </w:rPr>
        <w:t>养殖场相继建成，但由于缺乏严格、规范、统一的疫病防治体系，各种疫病严重威胁着每个养殖场，导致养殖场生产水平较低、经济效益不高。因此，加快动物疫病防治标准化建设，是发展规模化、标准化生产，促进畜牧业结构战略性调整的需要，也是保证全市畜牧业稳定发展的迫切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鄂尔多斯细毛羊作为当地重要的畜牧品种，其养殖产业对于地区经济发展意义重大。然而，</w:t>
      </w:r>
      <w:r>
        <w:rPr>
          <w:rFonts w:hint="eastAsia" w:ascii="仿宋_GB2312" w:hAnsi="仿宋_GB2312" w:eastAsia="仿宋_GB2312" w:cs="仿宋_GB2312"/>
          <w:sz w:val="32"/>
          <w:szCs w:val="32"/>
          <w:lang w:eastAsia="zh-CN"/>
        </w:rPr>
        <w:t>片形吸虫</w:t>
      </w:r>
      <w:r>
        <w:rPr>
          <w:rFonts w:hint="eastAsia" w:ascii="仿宋_GB2312" w:hAnsi="仿宋_GB2312" w:eastAsia="仿宋_GB2312" w:cs="仿宋_GB2312"/>
          <w:sz w:val="32"/>
          <w:szCs w:val="32"/>
        </w:rPr>
        <w:t>病长期以来严重威胁着鄂尔多斯细毛羊的健康，影响羊群生长发育、繁殖性能，给养殖户带来巨大经济损失。为有效解决这一问题，规范和提升鄂尔多斯细毛羊</w:t>
      </w:r>
      <w:r>
        <w:rPr>
          <w:rFonts w:hint="eastAsia" w:ascii="仿宋_GB2312" w:hAnsi="仿宋_GB2312" w:eastAsia="仿宋_GB2312" w:cs="仿宋_GB2312"/>
          <w:sz w:val="32"/>
          <w:szCs w:val="32"/>
          <w:lang w:eastAsia="zh-CN"/>
        </w:rPr>
        <w:t>片形吸虫</w:t>
      </w:r>
      <w:r>
        <w:rPr>
          <w:rFonts w:hint="eastAsia" w:ascii="仿宋_GB2312" w:hAnsi="仿宋_GB2312" w:eastAsia="仿宋_GB2312" w:cs="仿宋_GB2312"/>
          <w:sz w:val="32"/>
          <w:szCs w:val="32"/>
        </w:rPr>
        <w:t>病的防治工作，特制定本精准防控技术</w:t>
      </w:r>
      <w:r>
        <w:rPr>
          <w:rFonts w:hint="eastAsia" w:ascii="仿宋_GB2312" w:hAnsi="仿宋_GB2312" w:eastAsia="仿宋_GB2312" w:cs="仿宋_GB2312"/>
          <w:sz w:val="32"/>
          <w:szCs w:val="32"/>
          <w:lang w:val="en-US" w:eastAsia="zh-CN"/>
        </w:rPr>
        <w:t>规范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片形吸虫</w:t>
      </w:r>
      <w:r>
        <w:rPr>
          <w:rFonts w:hint="eastAsia" w:ascii="仿宋_GB2312" w:hAnsi="仿宋_GB2312" w:eastAsia="仿宋_GB2312" w:cs="仿宋_GB2312"/>
          <w:sz w:val="32"/>
          <w:szCs w:val="32"/>
        </w:rPr>
        <w:t>病精准防控技术有利于实现养殖场（户）规模化、标准化健康发展，事关农村牧区的经济发展，是实现畜牧业增效，养殖户增收的重要举措；事关</w:t>
      </w:r>
      <w:r>
        <w:rPr>
          <w:rFonts w:hint="eastAsia" w:ascii="仿宋_GB2312" w:hAnsi="仿宋_GB2312" w:eastAsia="仿宋_GB2312" w:cs="仿宋_GB2312"/>
          <w:sz w:val="32"/>
          <w:szCs w:val="32"/>
          <w:lang w:val="en-US" w:eastAsia="zh-CN"/>
        </w:rPr>
        <w:t>农村牧区</w:t>
      </w:r>
      <w:r>
        <w:rPr>
          <w:rFonts w:hint="eastAsia" w:ascii="仿宋_GB2312" w:hAnsi="仿宋_GB2312" w:eastAsia="仿宋_GB2312" w:cs="仿宋_GB2312"/>
          <w:sz w:val="32"/>
          <w:szCs w:val="32"/>
        </w:rPr>
        <w:t>生活水平的提高和人民群众身体健康；事关生态环境保护和公共卫生安全。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规范</w:t>
      </w:r>
      <w:r>
        <w:rPr>
          <w:rFonts w:hint="eastAsia" w:ascii="仿宋_GB2312" w:hAnsi="仿宋_GB2312" w:eastAsia="仿宋_GB2312" w:cs="仿宋_GB2312"/>
          <w:sz w:val="32"/>
          <w:szCs w:val="32"/>
        </w:rPr>
        <w:t>规定了鄂尔多斯地区细毛羊精准驱治原则、监测与诊断、药物使用原则、驱治时间、驱虫防治、驱治密度等方面的技术要求，可适用于鄂尔多斯规模化羊饲养场（户），防治措施覆盖全面，</w:t>
      </w:r>
      <w:r>
        <w:rPr>
          <w:rFonts w:hint="eastAsia" w:ascii="仿宋_GB2312" w:hAnsi="仿宋_GB2312" w:eastAsia="仿宋_GB2312" w:cs="仿宋_GB2312"/>
          <w:sz w:val="32"/>
          <w:szCs w:val="32"/>
          <w:lang w:val="en-US" w:eastAsia="zh-CN"/>
        </w:rPr>
        <w:t>能</w:t>
      </w:r>
      <w:r>
        <w:rPr>
          <w:rFonts w:hint="eastAsia" w:ascii="仿宋_GB2312" w:hAnsi="仿宋_GB2312" w:eastAsia="仿宋_GB2312" w:cs="仿宋_GB2312"/>
          <w:sz w:val="32"/>
          <w:szCs w:val="32"/>
        </w:rPr>
        <w:t>有效控制疫病传播范围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规范</w:t>
      </w:r>
      <w:r>
        <w:rPr>
          <w:rFonts w:hint="eastAsia" w:ascii="仿宋_GB2312" w:hAnsi="仿宋_GB2312" w:eastAsia="仿宋_GB2312" w:cs="仿宋_GB2312"/>
          <w:sz w:val="32"/>
          <w:szCs w:val="32"/>
        </w:rPr>
        <w:t>涉及全市</w:t>
      </w:r>
      <w:r>
        <w:rPr>
          <w:rFonts w:hint="eastAsia" w:ascii="仿宋_GB2312" w:hAnsi="仿宋_GB2312" w:eastAsia="仿宋_GB2312" w:cs="仿宋_GB2312"/>
          <w:sz w:val="32"/>
          <w:szCs w:val="32"/>
          <w:lang w:eastAsia="zh-CN"/>
        </w:rPr>
        <w:t>片形吸虫</w:t>
      </w:r>
      <w:r>
        <w:rPr>
          <w:rFonts w:hint="eastAsia" w:ascii="仿宋_GB2312" w:hAnsi="仿宋_GB2312" w:eastAsia="仿宋_GB2312" w:cs="仿宋_GB2312"/>
          <w:sz w:val="32"/>
          <w:szCs w:val="32"/>
        </w:rPr>
        <w:t>病的关键共性技术，</w:t>
      </w:r>
      <w:r>
        <w:rPr>
          <w:rFonts w:hint="eastAsia" w:ascii="仿宋_GB2312" w:hAnsi="仿宋_GB2312" w:eastAsia="仿宋_GB2312" w:cs="仿宋_GB2312"/>
          <w:sz w:val="32"/>
          <w:szCs w:val="32"/>
          <w:lang w:eastAsia="zh-CN"/>
        </w:rPr>
        <w:t>规范</w:t>
      </w:r>
      <w:r>
        <w:rPr>
          <w:rFonts w:hint="eastAsia" w:ascii="仿宋_GB2312" w:hAnsi="仿宋_GB2312" w:eastAsia="仿宋_GB2312" w:cs="仿宋_GB2312"/>
          <w:sz w:val="32"/>
          <w:szCs w:val="32"/>
        </w:rPr>
        <w:t>的实施主体是广大规模养殖场和农牧民养殖户，具有广泛的社会性。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三、主要起草过程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（一）草案起草阶段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根据任务要求，乌审旗动物疫病预防控制中心于2024年4月成立了地方</w:t>
      </w:r>
      <w:r>
        <w:rPr>
          <w:rFonts w:hint="eastAsia" w:ascii="仿宋_GB2312" w:hAnsi="仿宋_GB2312" w:eastAsia="仿宋_GB2312" w:cs="仿宋_GB2312"/>
          <w:sz w:val="32"/>
          <w:szCs w:val="32"/>
          <w:lang w:val="en-US" w:eastAsia="zh-CN"/>
        </w:rPr>
        <w:t>标准</w:t>
      </w:r>
      <w:r>
        <w:rPr>
          <w:rFonts w:hint="eastAsia" w:ascii="仿宋_GB2312" w:hAnsi="仿宋_GB2312" w:eastAsia="仿宋_GB2312" w:cs="仿宋_GB2312"/>
          <w:sz w:val="32"/>
          <w:szCs w:val="32"/>
        </w:rPr>
        <w:t>编制工作起草小组，组织</w:t>
      </w:r>
      <w:r>
        <w:rPr>
          <w:rFonts w:hint="eastAsia" w:ascii="仿宋_GB2312" w:hAnsi="仿宋_GB2312" w:eastAsia="仿宋_GB2312" w:cs="仿宋_GB2312"/>
          <w:sz w:val="32"/>
          <w:szCs w:val="32"/>
          <w:lang w:val="en-US" w:eastAsia="zh-CN"/>
        </w:rPr>
        <w:t>标准</w:t>
      </w:r>
      <w:r>
        <w:rPr>
          <w:rFonts w:hint="eastAsia" w:ascii="仿宋_GB2312" w:hAnsi="仿宋_GB2312" w:eastAsia="仿宋_GB2312" w:cs="仿宋_GB2312"/>
          <w:sz w:val="32"/>
          <w:szCs w:val="32"/>
        </w:rPr>
        <w:t>编制工作。标准编制工作起草小组在2024年9月份积极组织筹备和征集标准起草单位。经过近一个月的征集和筛选，最终由标准编制工作起草小组确定了标准起草工作组的</w:t>
      </w:r>
      <w:r>
        <w:rPr>
          <w:rFonts w:hint="eastAsia" w:ascii="仿宋_GB2312" w:hAnsi="仿宋_GB2312" w:eastAsia="仿宋_GB2312" w:cs="仿宋_GB2312"/>
          <w:color w:val="000000" w:themeColor="text1"/>
          <w:sz w:val="32"/>
          <w:szCs w:val="32"/>
          <w14:textFill>
            <w14:solidFill>
              <w14:schemeClr w14:val="tx1"/>
            </w14:solidFill>
          </w14:textFill>
        </w:rPr>
        <w:t>成员。在</w:t>
      </w:r>
      <w:r>
        <w:rPr>
          <w:rFonts w:hint="eastAsia" w:ascii="仿宋_GB2312" w:hAnsi="仿宋_GB2312" w:eastAsia="仿宋_GB2312" w:cs="仿宋_GB2312"/>
          <w:sz w:val="32"/>
          <w:szCs w:val="32"/>
        </w:rPr>
        <w:t>标准的起草过程中，由标准起草小组负责标准</w:t>
      </w:r>
      <w:r>
        <w:rPr>
          <w:rFonts w:hint="eastAsia" w:ascii="仿宋_GB2312" w:hAnsi="仿宋_GB2312" w:eastAsia="仿宋_GB2312" w:cs="仿宋_GB2312"/>
          <w:sz w:val="32"/>
          <w:szCs w:val="32"/>
          <w:lang w:val="en-US" w:eastAsia="zh-CN"/>
        </w:rPr>
        <w:t>编制</w:t>
      </w:r>
      <w:r>
        <w:rPr>
          <w:rFonts w:hint="eastAsia" w:ascii="仿宋_GB2312" w:hAnsi="仿宋_GB2312" w:eastAsia="仿宋_GB2312" w:cs="仿宋_GB2312"/>
          <w:sz w:val="32"/>
          <w:szCs w:val="32"/>
        </w:rPr>
        <w:t>的组织、协调工作及资料的收集、整理以及文本的起草</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标准起草成员单位承担意见汇总工作。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标准起草工作组在组织全体成员认真学习GB/T1.1—2020《标准化工作导则第</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部分：标准化文件的结构和起草规则》的基础上，根据任务分工开始标准起草工作，形成了标准的草案稿。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准起草工作组对草案稿进行了初审并对提出的意见、建议进行了认真分析、理解和总结，随后对标准征求意见稿的内容条款及技术指标进行了逐条研讨，对标准制定中遇到的相关问题进行了深入交流并达成共识，确定了标准征求意见稿的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（二）征求意见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月底，通过以下方式进行了广泛征求意见：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1.将标准草案向上级</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、专家、养殖场户和业务部门（鄂尔多斯市动物疫病预防控制中心、乌审旗农牧局）征求意见。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2.将标准草案向各苏木镇征求意见，并通过成员单位向其所在行业内相关使用单位征求意见。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3.主动联系内蒙古农业大学兽医学院教授专家，并征求意见。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截止4月1日，共收到内蒙古农业大学、市、旗各级各领域反馈的意见和建议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w:t>
      </w:r>
      <w:r>
        <w:rPr>
          <w:rFonts w:hint="eastAsia" w:ascii="仿宋_GB2312" w:hAnsi="仿宋_GB2312" w:eastAsia="仿宋_GB2312" w:cs="仿宋_GB2312"/>
          <w:sz w:val="32"/>
          <w:szCs w:val="32"/>
        </w:rPr>
        <w:t>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（三）送审稿形成过程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标准起草工作组对采集到的意见和建议进行了认真分析和梳理，</w:t>
      </w:r>
      <w:r>
        <w:rPr>
          <w:rFonts w:hint="eastAsia" w:ascii="仿宋_GB2312" w:hAnsi="仿宋_GB2312" w:eastAsia="仿宋_GB2312" w:cs="仿宋_GB2312"/>
          <w:color w:val="auto"/>
          <w:sz w:val="32"/>
          <w:szCs w:val="32"/>
        </w:rPr>
        <w:t>采纳</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sz w:val="32"/>
          <w:szCs w:val="32"/>
        </w:rPr>
        <w:t>，对标准草案进行了修改，形成标准征求意见初稿，经过标准起草工作组讨论通过后，于2025年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月10日形成本稿。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四、制定标准的原则和依据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（一）编制原则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本标准严格按照 GB/T1.1—2020《标准化工作导则第1部分：标准化文件的结构和起草规则》起草，起草过程遵循 “统一性、协调性、适用性、一致性、规范性”的原则，除遵守标准起草的一般原则外，结合乌审旗动物疫病预防控制中心工作</w:t>
      </w:r>
      <w:r>
        <w:rPr>
          <w:rFonts w:hint="eastAsia" w:ascii="仿宋_GB2312" w:hAnsi="仿宋_GB2312" w:eastAsia="仿宋_GB2312" w:cs="仿宋_GB2312"/>
          <w:sz w:val="32"/>
          <w:szCs w:val="32"/>
          <w:lang w:val="en-US" w:eastAsia="zh-CN"/>
        </w:rPr>
        <w:t>实际</w:t>
      </w:r>
      <w:r>
        <w:rPr>
          <w:rFonts w:hint="eastAsia" w:ascii="仿宋_GB2312" w:hAnsi="仿宋_GB2312" w:eastAsia="仿宋_GB2312" w:cs="仿宋_GB2312"/>
          <w:sz w:val="32"/>
          <w:szCs w:val="32"/>
        </w:rPr>
        <w:t>制定标准。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（二）编制依据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本标准编制过程中参考了《病死及病害动物无害化处理技术规范》《中华人民共和国动物防疫法》《动物检疫管理办法》《农业农村部关于印发&lt;生猪产地检疫规程&gt;等22个动物检疫规程的通知》（农牧发〔2023〕16号）、</w:t>
      </w:r>
      <w:r>
        <w:rPr>
          <w:rFonts w:hint="default" w:ascii="仿宋_GB2312" w:hAnsi="仿宋_GB2312" w:eastAsia="仿宋_GB2312" w:cs="仿宋_GB2312"/>
          <w:b w:val="0"/>
          <w:bCs w:val="0"/>
          <w:kern w:val="2"/>
          <w:sz w:val="32"/>
          <w:szCs w:val="32"/>
          <w:lang w:val="en-US" w:eastAsia="zh-CN" w:bidi="ar-SA"/>
        </w:rPr>
        <w:t>GB/T 36195</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畜禽粪便无害化处理技术规范</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GB 18596</w:t>
      </w:r>
      <w:r>
        <w:rPr>
          <w:rFonts w:hint="eastAsia" w:ascii="仿宋_GB2312" w:hAnsi="仿宋_GB2312" w:eastAsia="仿宋_GB2312" w:cs="仿宋_GB2312"/>
          <w:b w:val="0"/>
          <w:bCs w:val="0"/>
          <w:kern w:val="2"/>
          <w:sz w:val="32"/>
          <w:szCs w:val="32"/>
          <w:lang w:val="en-US" w:eastAsia="zh-CN" w:bidi="ar-SA"/>
        </w:rPr>
        <w:t>《畜禽养殖业污染物排放标准》</w:t>
      </w:r>
      <w:bookmarkStart w:id="7" w:name="OLE_LINK20"/>
      <w:r>
        <w:rPr>
          <w:rFonts w:hint="eastAsia" w:ascii="仿宋_GB2312" w:hAnsi="仿宋_GB2312" w:eastAsia="仿宋_GB2312" w:cs="仿宋_GB2312"/>
          <w:b w:val="0"/>
          <w:bCs w:val="0"/>
          <w:kern w:val="2"/>
          <w:sz w:val="32"/>
          <w:szCs w:val="32"/>
          <w:lang w:val="en-US" w:eastAsia="zh-CN" w:bidi="ar-SA"/>
        </w:rPr>
        <w:t>、SN/T 4825《牛羊肝片吸虫病检疫技术规范</w:t>
      </w:r>
      <w:bookmarkEnd w:id="7"/>
      <w:r>
        <w:rPr>
          <w:rFonts w:hint="eastAsia" w:ascii="仿宋_GB2312" w:hAnsi="仿宋_GB2312" w:eastAsia="仿宋_GB2312" w:cs="仿宋_GB2312"/>
          <w:b w:val="0"/>
          <w:bCs w:val="0"/>
          <w:kern w:val="2"/>
          <w:sz w:val="32"/>
          <w:szCs w:val="32"/>
          <w:lang w:val="en-US" w:eastAsia="zh-CN" w:bidi="ar-SA"/>
        </w:rPr>
        <w:t>》、WS/T 566《片形吸虫病诊断》、NY/T 1950《片形吸虫病诊断技术规范》、GB/T 19526《羊寄生虫病防治技术规范》。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五、主要条款的说明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1.标准名称：</w:t>
      </w:r>
      <w:r>
        <w:rPr>
          <w:rFonts w:hint="eastAsia" w:ascii="仿宋_GB2312" w:hAnsi="仿宋_GB2312" w:eastAsia="仿宋_GB2312" w:cs="仿宋_GB2312"/>
          <w:sz w:val="32"/>
          <w:szCs w:val="32"/>
        </w:rPr>
        <w:t>标准名称为“鄂尔多斯细毛羊</w:t>
      </w:r>
      <w:r>
        <w:rPr>
          <w:rFonts w:hint="eastAsia" w:ascii="仿宋_GB2312" w:hAnsi="仿宋_GB2312" w:eastAsia="仿宋_GB2312" w:cs="仿宋_GB2312"/>
          <w:sz w:val="32"/>
          <w:szCs w:val="32"/>
          <w:lang w:val="en-US" w:eastAsia="zh-CN"/>
        </w:rPr>
        <w:t>片形吸虫</w:t>
      </w:r>
      <w:r>
        <w:rPr>
          <w:rFonts w:hint="eastAsia" w:ascii="仿宋_GB2312" w:hAnsi="仿宋_GB2312" w:eastAsia="仿宋_GB2312" w:cs="仿宋_GB2312"/>
          <w:sz w:val="32"/>
          <w:szCs w:val="32"/>
        </w:rPr>
        <w:t>病精准防控技术规范”。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2.范围：</w:t>
      </w:r>
      <w:r>
        <w:rPr>
          <w:rFonts w:hint="eastAsia" w:ascii="仿宋_GB2312" w:hAnsi="仿宋_GB2312" w:eastAsia="仿宋_GB2312" w:cs="仿宋_GB2312"/>
          <w:sz w:val="32"/>
          <w:szCs w:val="32"/>
          <w:lang w:val="en-US" w:eastAsia="zh-CN"/>
        </w:rPr>
        <w:t>本文件规定了鄂尔多斯细毛羊片形吸虫病的精准防控技术，包括驱治，环境净化与放牧管理，粪便、尸体和废弃物（液）的处理，疾病监控。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本文件适用于鄂尔多斯细毛羊片形吸虫病的防治。</w:t>
      </w:r>
    </w:p>
    <w:p>
      <w:pPr>
        <w:keepNext w:val="0"/>
        <w:keepLines w:val="0"/>
        <w:pageBreakBefore w:val="0"/>
        <w:widowControl/>
        <w:kinsoku/>
        <w:wordWrap/>
        <w:overflowPunct/>
        <w:topLinePunct w:val="0"/>
        <w:autoSpaceDE w:val="0"/>
        <w:autoSpaceDN w:val="0"/>
        <w:bidi w:val="0"/>
        <w:adjustRightInd/>
        <w:spacing w:line="36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iCs w:val="0"/>
          <w:sz w:val="32"/>
          <w:szCs w:val="32"/>
        </w:rPr>
        <w:t>3.规范性引用文件：</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标准</w:t>
      </w:r>
      <w:r>
        <w:rPr>
          <w:rFonts w:hint="eastAsia" w:ascii="仿宋_GB2312" w:hAnsi="仿宋_GB2312" w:eastAsia="仿宋_GB2312" w:cs="仿宋_GB2312"/>
          <w:sz w:val="32"/>
          <w:szCs w:val="32"/>
        </w:rPr>
        <w:t>中引用了如</w:t>
      </w:r>
      <w:r>
        <w:rPr>
          <w:rFonts w:hint="eastAsia" w:ascii="仿宋_GB2312" w:hAnsi="仿宋_GB2312" w:eastAsia="仿宋_GB2312" w:cs="仿宋_GB2312"/>
          <w:sz w:val="32"/>
          <w:szCs w:val="32"/>
          <w:lang w:val="en-US" w:eastAsia="zh-CN"/>
        </w:rPr>
        <w:t>下标准和部门规章：GB 18596  畜禽养殖业污染物排放标准</w:t>
      </w:r>
    </w:p>
    <w:p>
      <w:pPr>
        <w:keepNext w:val="0"/>
        <w:keepLines w:val="0"/>
        <w:pageBreakBefore w:val="0"/>
        <w:widowControl/>
        <w:kinsoku/>
        <w:wordWrap/>
        <w:overflowPunct/>
        <w:topLinePunct w:val="0"/>
        <w:autoSpaceDE w:val="0"/>
        <w:autoSpaceDN w:val="0"/>
        <w:bidi w:val="0"/>
        <w:adjustRightIn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GB/T 19526  羊寄生虫病防治技术规范</w:t>
      </w:r>
    </w:p>
    <w:p>
      <w:pPr>
        <w:keepNext w:val="0"/>
        <w:keepLines w:val="0"/>
        <w:pageBreakBefore w:val="0"/>
        <w:widowControl/>
        <w:kinsoku/>
        <w:wordWrap/>
        <w:overflowPunct/>
        <w:topLinePunct w:val="0"/>
        <w:autoSpaceDE w:val="0"/>
        <w:autoSpaceDN w:val="0"/>
        <w:bidi w:val="0"/>
        <w:adjustRightIn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GB/T 25169  畜禽粪便监测技术规范</w:t>
      </w:r>
    </w:p>
    <w:p>
      <w:pPr>
        <w:keepNext w:val="0"/>
        <w:keepLines w:val="0"/>
        <w:pageBreakBefore w:val="0"/>
        <w:widowControl/>
        <w:kinsoku/>
        <w:wordWrap/>
        <w:overflowPunct/>
        <w:topLinePunct w:val="0"/>
        <w:autoSpaceDE w:val="0"/>
        <w:autoSpaceDN w:val="0"/>
        <w:bidi w:val="0"/>
        <w:adjustRightIn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GB/T 36195  畜禽粪便无害化处理技术规范</w:t>
      </w:r>
    </w:p>
    <w:p>
      <w:pPr>
        <w:keepNext w:val="0"/>
        <w:keepLines w:val="0"/>
        <w:pageBreakBefore w:val="0"/>
        <w:widowControl/>
        <w:kinsoku/>
        <w:wordWrap/>
        <w:overflowPunct/>
        <w:topLinePunct w:val="0"/>
        <w:autoSpaceDE w:val="0"/>
        <w:autoSpaceDN w:val="0"/>
        <w:bidi w:val="0"/>
        <w:adjustRightIn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NY/T 1950  片形吸虫病诊断技术规范</w:t>
      </w:r>
    </w:p>
    <w:p>
      <w:pPr>
        <w:keepNext w:val="0"/>
        <w:keepLines w:val="0"/>
        <w:pageBreakBefore w:val="0"/>
        <w:widowControl/>
        <w:kinsoku/>
        <w:wordWrap/>
        <w:overflowPunct/>
        <w:topLinePunct w:val="0"/>
        <w:autoSpaceDE w:val="0"/>
        <w:autoSpaceDN w:val="0"/>
        <w:bidi w:val="0"/>
        <w:adjustRightIn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SN/T 4825  牛羊肝片吸虫病检疫技术规范</w:t>
      </w:r>
    </w:p>
    <w:p>
      <w:pPr>
        <w:keepNext w:val="0"/>
        <w:keepLines w:val="0"/>
        <w:pageBreakBefore w:val="0"/>
        <w:widowControl/>
        <w:kinsoku/>
        <w:wordWrap/>
        <w:overflowPunct/>
        <w:topLinePunct w:val="0"/>
        <w:autoSpaceDE w:val="0"/>
        <w:autoSpaceDN w:val="0"/>
        <w:bidi w:val="0"/>
        <w:adjustRightIn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WS/T 566  片形吸虫病诊断</w:t>
      </w:r>
    </w:p>
    <w:p>
      <w:pPr>
        <w:keepNext w:val="0"/>
        <w:keepLines w:val="0"/>
        <w:pageBreakBefore w:val="0"/>
        <w:widowControl/>
        <w:kinsoku/>
        <w:wordWrap/>
        <w:overflowPunct/>
        <w:topLinePunct w:val="0"/>
        <w:autoSpaceDE w:val="0"/>
        <w:autoSpaceDN w:val="0"/>
        <w:bidi w:val="0"/>
        <w:adjustRightIn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中华人民共和国国务院令《兽药管理条例》</w:t>
      </w:r>
    </w:p>
    <w:p>
      <w:pPr>
        <w:keepNext w:val="0"/>
        <w:keepLines w:val="0"/>
        <w:pageBreakBefore w:val="0"/>
        <w:widowControl/>
        <w:kinsoku/>
        <w:wordWrap/>
        <w:overflowPunct/>
        <w:topLinePunct w:val="0"/>
        <w:autoSpaceDE w:val="0"/>
        <w:autoSpaceDN w:val="0"/>
        <w:bidi w:val="0"/>
        <w:adjustRightIn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中华人民共和国农业农村部《反刍动物产地检疫规程》</w:t>
      </w:r>
      <w:bookmarkStart w:id="8" w:name="OLE_LINK27"/>
      <w:r>
        <w:rPr>
          <w:rFonts w:hint="eastAsia" w:ascii="仿宋_GB2312" w:hAnsi="仿宋_GB2312" w:eastAsia="仿宋_GB2312" w:cs="仿宋_GB2312"/>
          <w:sz w:val="32"/>
          <w:szCs w:val="32"/>
          <w:lang w:val="en-US" w:eastAsia="zh-CN"/>
        </w:rPr>
        <w:t>（农牧发〔2023〕16号）</w:t>
      </w:r>
    </w:p>
    <w:bookmarkEnd w:id="8"/>
    <w:p>
      <w:pPr>
        <w:keepNext w:val="0"/>
        <w:keepLines w:val="0"/>
        <w:pageBreakBefore w:val="0"/>
        <w:widowControl/>
        <w:kinsoku/>
        <w:wordWrap/>
        <w:overflowPunct/>
        <w:topLinePunct w:val="0"/>
        <w:autoSpaceDE w:val="0"/>
        <w:autoSpaceDN w:val="0"/>
        <w:bidi w:val="0"/>
        <w:adjustRightIn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中华人民共和国农业农村部《跨省调运乳用种用家畜产地检疫规程》（农牧发〔2023〕16号）</w:t>
      </w:r>
    </w:p>
    <w:p>
      <w:pPr>
        <w:keepNext w:val="0"/>
        <w:keepLines w:val="0"/>
        <w:pageBreakBefore w:val="0"/>
        <w:widowControl/>
        <w:kinsoku/>
        <w:wordWrap/>
        <w:overflowPunct/>
        <w:topLinePunct w:val="0"/>
        <w:autoSpaceDE w:val="0"/>
        <w:autoSpaceDN w:val="0"/>
        <w:bidi w:val="0"/>
        <w:adjustRightIn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中华人民共和国农业农村部《病死及病害动物无害化处理技术规范》（农医发〔2017〕25号）</w:t>
      </w:r>
    </w:p>
    <w:p>
      <w:pPr>
        <w:keepNext w:val="0"/>
        <w:keepLines w:val="0"/>
        <w:pageBreakBefore w:val="0"/>
        <w:widowControl/>
        <w:kinsoku/>
        <w:wordWrap/>
        <w:overflowPunct/>
        <w:topLinePunct w:val="0"/>
        <w:autoSpaceDE w:val="0"/>
        <w:autoSpaceDN w:val="0"/>
        <w:bidi w:val="0"/>
        <w:adjustRightIn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中华人民共和国农业农村部公告 第363号《中华人民共和国兽药典（2020版）》</w:t>
      </w:r>
      <w:r>
        <w:rPr>
          <w:rFonts w:hint="eastAsia" w:ascii="仿宋_GB2312" w:hAnsi="仿宋_GB2312" w:eastAsia="仿宋_GB2312" w:cs="仿宋_GB2312"/>
          <w:b w:val="0"/>
          <w:bCs w:val="0"/>
          <w:kern w:val="2"/>
          <w:sz w:val="32"/>
          <w:szCs w:val="32"/>
          <w:lang w:val="en-US" w:eastAsia="zh-CN" w:bidi="ar-SA"/>
        </w:rPr>
        <w:t>等</w:t>
      </w:r>
      <w:r>
        <w:rPr>
          <w:rFonts w:hint="eastAsia" w:ascii="仿宋_GB2312" w:hAnsi="仿宋_GB2312" w:eastAsia="仿宋_GB2312" w:cs="仿宋_GB2312"/>
          <w:sz w:val="32"/>
          <w:szCs w:val="32"/>
          <w:lang w:val="en-US" w:eastAsia="zh-CN"/>
        </w:rPr>
        <w:t>现行有效</w:t>
      </w:r>
      <w:r>
        <w:rPr>
          <w:rFonts w:hint="eastAsia" w:ascii="仿宋_GB2312" w:hAnsi="仿宋_GB2312" w:eastAsia="仿宋_GB2312" w:cs="仿宋_GB2312"/>
          <w:sz w:val="32"/>
          <w:szCs w:val="32"/>
        </w:rPr>
        <w:t>的国内</w:t>
      </w:r>
      <w:r>
        <w:rPr>
          <w:rFonts w:hint="eastAsia" w:ascii="仿宋_GB2312" w:hAnsi="仿宋_GB2312" w:eastAsia="仿宋_GB2312" w:cs="仿宋_GB2312"/>
          <w:sz w:val="32"/>
          <w:szCs w:val="32"/>
          <w:lang w:val="en-US" w:eastAsia="zh-CN"/>
        </w:rPr>
        <w:t>法律法规、</w:t>
      </w:r>
      <w:r>
        <w:rPr>
          <w:rFonts w:hint="eastAsia" w:ascii="仿宋_GB2312" w:hAnsi="仿宋_GB2312" w:eastAsia="仿宋_GB2312" w:cs="仿宋_GB2312"/>
          <w:sz w:val="32"/>
          <w:szCs w:val="32"/>
        </w:rPr>
        <w:t>标准、规范，以充分保证本标准条款的可依性和可行性。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4、防治要求：</w:t>
      </w:r>
    </w:p>
    <w:p>
      <w:pPr>
        <w:keepNext w:val="0"/>
        <w:keepLines w:val="0"/>
        <w:pageBreakBefore w:val="0"/>
        <w:widowControl/>
        <w:kinsoku/>
        <w:wordWrap/>
        <w:overflowPunct/>
        <w:topLinePunct w:val="0"/>
        <w:autoSpaceDE w:val="0"/>
        <w:autoSpaceDN w:val="0"/>
        <w:bidi w:val="0"/>
        <w:adjustRightInd/>
        <w:spacing w:line="360" w:lineRule="auto"/>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人员要求：</w:t>
      </w:r>
      <w:r>
        <w:rPr>
          <w:rFonts w:hint="eastAsia" w:ascii="仿宋_GB2312" w:hAnsi="仿宋_GB2312" w:eastAsia="仿宋_GB2312" w:cs="仿宋_GB2312"/>
          <w:sz w:val="32"/>
          <w:szCs w:val="32"/>
        </w:rPr>
        <w:t>防治人员需经兽医专业技术培训或具备执业兽医师资格证，持证上岗。这是因为</w:t>
      </w:r>
      <w:r>
        <w:rPr>
          <w:rFonts w:hint="eastAsia" w:ascii="仿宋_GB2312" w:hAnsi="仿宋_GB2312" w:eastAsia="仿宋_GB2312" w:cs="仿宋_GB2312"/>
          <w:sz w:val="32"/>
          <w:szCs w:val="32"/>
          <w:lang w:eastAsia="zh-CN"/>
        </w:rPr>
        <w:t>片形吸虫</w:t>
      </w:r>
      <w:r>
        <w:rPr>
          <w:rFonts w:hint="eastAsia" w:ascii="仿宋_GB2312" w:hAnsi="仿宋_GB2312" w:eastAsia="仿宋_GB2312" w:cs="仿宋_GB2312"/>
          <w:sz w:val="32"/>
          <w:szCs w:val="32"/>
        </w:rPr>
        <w:t>病防治工作具有专业性和复杂性，专业人员</w:t>
      </w:r>
      <w:r>
        <w:rPr>
          <w:rFonts w:hint="eastAsia" w:ascii="仿宋_GB2312" w:hAnsi="仿宋_GB2312" w:eastAsia="仿宋_GB2312" w:cs="仿宋_GB2312"/>
          <w:sz w:val="32"/>
          <w:szCs w:val="32"/>
          <w:lang w:val="en-US" w:eastAsia="zh-CN"/>
        </w:rPr>
        <w:t>按照 SN/T 4825《牛羊肝片吸虫病检疫技术规范》、GB/T 19526《羊寄生虫病防治技术规范》的要求</w:t>
      </w:r>
      <w:r>
        <w:rPr>
          <w:rFonts w:hint="eastAsia" w:ascii="仿宋_GB2312" w:hAnsi="仿宋_GB2312" w:eastAsia="仿宋_GB2312" w:cs="仿宋_GB2312"/>
          <w:sz w:val="32"/>
          <w:szCs w:val="32"/>
          <w:lang w:eastAsia="zh-CN"/>
        </w:rPr>
        <w:t>操作，保障防治工作科学、</w:t>
      </w:r>
      <w:r>
        <w:rPr>
          <w:rFonts w:hint="eastAsia" w:ascii="仿宋_GB2312" w:hAnsi="仿宋_GB2312" w:eastAsia="仿宋_GB2312" w:cs="仿宋_GB2312"/>
          <w:sz w:val="32"/>
          <w:szCs w:val="32"/>
        </w:rPr>
        <w:t>准确开展，同时做好人畜防护安全工作，避免人员感染及交叉污染。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设施、设备要求：</w:t>
      </w:r>
      <w:r>
        <w:rPr>
          <w:rFonts w:hint="eastAsia" w:ascii="仿宋_GB2312" w:hAnsi="仿宋_GB2312" w:eastAsia="仿宋_GB2312" w:cs="仿宋_GB2312"/>
          <w:sz w:val="32"/>
          <w:szCs w:val="32"/>
        </w:rPr>
        <w:t>所有器械及耗材按操作要求使用，确保防治工作的规范性和有效性。尸体及粪便等污物无害化处理选址在地势较低处且远离居民生活区和人畜饮水水源，主要是防止处理过程中产生的污染对居民生活及人畜饮水安全造成威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引进羊要求：</w:t>
      </w:r>
      <w:r>
        <w:rPr>
          <w:rFonts w:hint="eastAsia" w:ascii="仿宋_GB2312" w:hAnsi="仿宋_GB2312" w:eastAsia="仿宋_GB2312" w:cs="仿宋_GB2312"/>
          <w:sz w:val="32"/>
          <w:szCs w:val="32"/>
        </w:rPr>
        <w:t>新引进或外来羊只严格按</w:t>
      </w:r>
      <w:r>
        <w:rPr>
          <w:rFonts w:hint="eastAsia" w:ascii="仿宋_GB2312" w:hAnsi="仿宋_GB2312" w:eastAsia="仿宋_GB2312" w:cs="仿宋_GB2312"/>
          <w:sz w:val="32"/>
          <w:szCs w:val="32"/>
          <w:lang w:val="en-US" w:eastAsia="zh-CN"/>
        </w:rPr>
        <w:t>《反刍动物产地检疫规程》《跨省调运乳用种用家畜产地检疫规程》</w:t>
      </w:r>
      <w:r>
        <w:rPr>
          <w:rFonts w:hint="eastAsia" w:ascii="仿宋_GB2312" w:hAnsi="仿宋_GB2312" w:eastAsia="仿宋_GB2312" w:cs="仿宋_GB2312"/>
          <w:sz w:val="32"/>
          <w:szCs w:val="32"/>
        </w:rPr>
        <w:t>规定执行，目的在于防止引入带有</w:t>
      </w:r>
      <w:r>
        <w:rPr>
          <w:rFonts w:hint="eastAsia" w:ascii="仿宋_GB2312" w:hAnsi="仿宋_GB2312" w:eastAsia="仿宋_GB2312" w:cs="仿宋_GB2312"/>
          <w:sz w:val="32"/>
          <w:szCs w:val="32"/>
          <w:lang w:eastAsia="zh-CN"/>
        </w:rPr>
        <w:t>片形吸虫</w:t>
      </w:r>
      <w:r>
        <w:rPr>
          <w:rFonts w:hint="eastAsia" w:ascii="仿宋_GB2312" w:hAnsi="仿宋_GB2312" w:eastAsia="仿宋_GB2312" w:cs="仿宋_GB2312"/>
          <w:sz w:val="32"/>
          <w:szCs w:val="32"/>
        </w:rPr>
        <w:t>病或其他疫病的羊只，避免疫病在本地羊群中传播扩散。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5、驱治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驱治原则：</w:t>
      </w: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val="en-US" w:eastAsia="zh-CN"/>
        </w:rPr>
        <w:t>鄂尔多斯地区</w:t>
      </w:r>
      <w:r>
        <w:rPr>
          <w:rFonts w:hint="eastAsia" w:ascii="仿宋_GB2312" w:hAnsi="仿宋_GB2312" w:eastAsia="仿宋_GB2312" w:cs="仿宋_GB2312"/>
          <w:sz w:val="32"/>
          <w:szCs w:val="32"/>
        </w:rPr>
        <w:t>不同生态条件和</w:t>
      </w:r>
      <w:r>
        <w:rPr>
          <w:rFonts w:hint="eastAsia" w:ascii="仿宋_GB2312" w:hAnsi="仿宋_GB2312" w:eastAsia="仿宋_GB2312" w:cs="仿宋_GB2312"/>
          <w:sz w:val="32"/>
          <w:szCs w:val="32"/>
          <w:lang w:eastAsia="zh-CN"/>
        </w:rPr>
        <w:t>片形吸虫</w:t>
      </w:r>
      <w:r>
        <w:rPr>
          <w:rFonts w:hint="eastAsia" w:ascii="仿宋_GB2312" w:hAnsi="仿宋_GB2312" w:eastAsia="仿宋_GB2312" w:cs="仿宋_GB2312"/>
          <w:sz w:val="32"/>
          <w:szCs w:val="32"/>
        </w:rPr>
        <w:t>病流行病学规律，采取以本地区重点</w:t>
      </w:r>
      <w:r>
        <w:rPr>
          <w:rFonts w:hint="eastAsia" w:ascii="仿宋_GB2312" w:hAnsi="仿宋_GB2312" w:eastAsia="仿宋_GB2312" w:cs="仿宋_GB2312"/>
          <w:sz w:val="32"/>
          <w:szCs w:val="32"/>
          <w:lang w:eastAsia="zh-CN"/>
        </w:rPr>
        <w:t>片形吸虫</w:t>
      </w:r>
      <w:r>
        <w:rPr>
          <w:rFonts w:hint="eastAsia" w:ascii="仿宋_GB2312" w:hAnsi="仿宋_GB2312" w:eastAsia="仿宋_GB2312" w:cs="仿宋_GB2312"/>
          <w:sz w:val="32"/>
          <w:szCs w:val="32"/>
        </w:rPr>
        <w:t>病为主的集中、定期驱治原则，定期更换或交替使用不同种类的抗</w:t>
      </w:r>
      <w:r>
        <w:rPr>
          <w:rFonts w:hint="eastAsia" w:ascii="仿宋_GB2312" w:hAnsi="仿宋_GB2312" w:eastAsia="仿宋_GB2312" w:cs="仿宋_GB2312"/>
          <w:sz w:val="32"/>
          <w:szCs w:val="32"/>
          <w:lang w:val="en-US" w:eastAsia="zh-CN"/>
        </w:rPr>
        <w:t>吸</w:t>
      </w:r>
      <w:r>
        <w:rPr>
          <w:rFonts w:hint="eastAsia" w:ascii="仿宋_GB2312" w:hAnsi="仿宋_GB2312" w:eastAsia="仿宋_GB2312" w:cs="仿宋_GB2312"/>
          <w:sz w:val="32"/>
          <w:szCs w:val="32"/>
        </w:rPr>
        <w:t>虫药，避免产生耐药性。不同地区生态环境差异会影响</w:t>
      </w:r>
      <w:r>
        <w:rPr>
          <w:rFonts w:hint="eastAsia" w:ascii="仿宋_GB2312" w:hAnsi="仿宋_GB2312" w:eastAsia="仿宋_GB2312" w:cs="仿宋_GB2312"/>
          <w:sz w:val="32"/>
          <w:szCs w:val="32"/>
          <w:lang w:val="en-US" w:eastAsia="zh-CN"/>
        </w:rPr>
        <w:t>吸</w:t>
      </w:r>
      <w:r>
        <w:rPr>
          <w:rFonts w:hint="eastAsia" w:ascii="仿宋_GB2312" w:hAnsi="仿宋_GB2312" w:eastAsia="仿宋_GB2312" w:cs="仿宋_GB2312"/>
          <w:sz w:val="32"/>
          <w:szCs w:val="32"/>
        </w:rPr>
        <w:t>虫病流行特点，集中、定期驱治能够提高防治效率，针对性解决重点问题。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rPr>
        <w:t>监测与诊断：</w:t>
      </w:r>
      <w:r>
        <w:rPr>
          <w:rFonts w:hint="eastAsia" w:ascii="仿宋_GB2312" w:hAnsi="仿宋_GB2312" w:eastAsia="仿宋_GB2312" w:cs="仿宋_GB2312"/>
          <w:sz w:val="32"/>
          <w:szCs w:val="32"/>
          <w:lang w:val="en-US" w:eastAsia="zh-CN"/>
        </w:rPr>
        <w:t>根据片形吸虫病的流行规律和流行区域特点，</w:t>
      </w:r>
      <w:bookmarkStart w:id="9" w:name="OLE_LINK21"/>
      <w:r>
        <w:rPr>
          <w:rFonts w:hint="eastAsia" w:ascii="仿宋_GB2312" w:hAnsi="仿宋_GB2312" w:eastAsia="仿宋_GB2312" w:cs="仿宋_GB2312"/>
          <w:sz w:val="32"/>
          <w:szCs w:val="32"/>
          <w:lang w:val="en-US" w:eastAsia="zh-CN"/>
        </w:rPr>
        <w:t>按照</w:t>
      </w:r>
      <w:bookmarkStart w:id="10" w:name="OLE_LINK28"/>
      <w:r>
        <w:rPr>
          <w:rFonts w:hint="eastAsia" w:ascii="仿宋_GB2312" w:hAnsi="仿宋_GB2312" w:eastAsia="仿宋_GB2312" w:cs="仿宋_GB2312"/>
          <w:sz w:val="32"/>
          <w:szCs w:val="32"/>
          <w:lang w:val="en-US" w:eastAsia="zh-CN"/>
        </w:rPr>
        <w:t>WS/T 566《片形吸虫病诊断》、NY/T 1950《片形吸虫病诊断技术规范》，</w:t>
      </w:r>
      <w:bookmarkEnd w:id="10"/>
      <w:r>
        <w:rPr>
          <w:rFonts w:hint="eastAsia" w:ascii="仿宋_GB2312" w:hAnsi="仿宋_GB2312" w:eastAsia="仿宋_GB2312" w:cs="仿宋_GB2312"/>
          <w:sz w:val="32"/>
          <w:szCs w:val="32"/>
          <w:lang w:val="en-US" w:eastAsia="zh-CN"/>
        </w:rPr>
        <w:t>结合免疫学诊断技术和经典的粪便虫卵检</w:t>
      </w:r>
      <w:bookmarkEnd w:id="9"/>
      <w:r>
        <w:rPr>
          <w:rFonts w:hint="eastAsia" w:ascii="仿宋_GB2312" w:hAnsi="仿宋_GB2312" w:eastAsia="仿宋_GB2312" w:cs="仿宋_GB2312"/>
          <w:sz w:val="32"/>
          <w:szCs w:val="32"/>
          <w:lang w:val="en-US" w:eastAsia="zh-CN"/>
        </w:rPr>
        <w:t>查方法，对重点流行区域的鄂尔多斯细毛羊片形吸虫病进行筛查和诊断。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sz w:val="32"/>
          <w:szCs w:val="32"/>
        </w:rPr>
        <w:t>药物使用原则：</w:t>
      </w:r>
      <w:r>
        <w:rPr>
          <w:rFonts w:hint="eastAsia" w:ascii="仿宋_GB2312" w:hAnsi="仿宋_GB2312" w:eastAsia="仿宋_GB2312" w:cs="仿宋_GB2312"/>
          <w:sz w:val="32"/>
          <w:szCs w:val="32"/>
        </w:rPr>
        <w:t>药物使用选择高效、安全驱虫药，如氯氰碘柳胺钠等，并对药效</w:t>
      </w:r>
      <w:r>
        <w:rPr>
          <w:rFonts w:hint="eastAsia" w:ascii="仿宋_GB2312" w:hAnsi="仿宋_GB2312" w:eastAsia="仿宋_GB2312" w:cs="仿宋_GB2312"/>
          <w:color w:val="auto"/>
          <w:sz w:val="32"/>
          <w:szCs w:val="32"/>
          <w:lang w:val="en-US" w:eastAsia="zh-CN"/>
        </w:rPr>
        <w:t>进行</w:t>
      </w:r>
      <w:r>
        <w:rPr>
          <w:rFonts w:hint="eastAsia" w:ascii="仿宋_GB2312" w:hAnsi="仿宋_GB2312" w:eastAsia="仿宋_GB2312" w:cs="仿宋_GB2312"/>
          <w:color w:val="auto"/>
          <w:sz w:val="32"/>
          <w:szCs w:val="32"/>
        </w:rPr>
        <w:t>检测，是为了保障驱虫效果，</w:t>
      </w:r>
      <w:r>
        <w:rPr>
          <w:rFonts w:hint="eastAsia" w:ascii="仿宋_GB2312" w:hAnsi="仿宋_GB2312" w:eastAsia="仿宋_GB2312" w:cs="仿宋_GB2312"/>
          <w:color w:val="auto"/>
          <w:sz w:val="32"/>
          <w:szCs w:val="32"/>
          <w:lang w:val="en-US" w:eastAsia="zh-CN"/>
        </w:rPr>
        <w:t>且要定期更换或交替使用不同种类的抗吸虫药，避免产生耐药性，</w:t>
      </w:r>
      <w:r>
        <w:rPr>
          <w:rFonts w:hint="eastAsia" w:ascii="仿宋_GB2312" w:hAnsi="仿宋_GB2312" w:eastAsia="仿宋_GB2312" w:cs="仿宋_GB2312"/>
          <w:color w:val="auto"/>
          <w:sz w:val="32"/>
          <w:szCs w:val="32"/>
        </w:rPr>
        <w:t>确保羊只健康不受药物副作用影响。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color w:val="auto"/>
          <w:sz w:val="32"/>
          <w:szCs w:val="32"/>
        </w:rPr>
        <w:t>驱治时间：</w:t>
      </w:r>
      <w:r>
        <w:rPr>
          <w:rFonts w:hint="eastAsia" w:ascii="仿宋_GB2312" w:hAnsi="仿宋_GB2312" w:eastAsia="仿宋_GB2312" w:cs="仿宋_GB2312"/>
          <w:color w:val="auto"/>
          <w:sz w:val="32"/>
          <w:szCs w:val="32"/>
          <w:lang w:val="en-US" w:eastAsia="zh-CN"/>
        </w:rPr>
        <w:t>根据片形吸虫病的流行规律和羊群的实际感染情况与诊断结果，开展驱虫工作。对急性肝片吸虫病，应及时予以诊断和合理治疗，于夏末秋初驱虫；对于慢性肝片吸虫病，第一次驱虫于初冬季节，第二次驱虫于春季，可达到良好的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驱虫防治：</w:t>
      </w:r>
      <w:r>
        <w:rPr>
          <w:rFonts w:hint="eastAsia" w:ascii="仿宋_GB2312" w:hAnsi="仿宋_GB2312" w:eastAsia="仿宋_GB2312" w:cs="仿宋_GB2312"/>
          <w:sz w:val="32"/>
          <w:szCs w:val="32"/>
        </w:rPr>
        <w:t>针对急性肝片吸虫病首选灌服三氯苯达唑（肝蛭净）于8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9月驱虫；慢性肝片吸虫病分阶段采用不同药物，秋末冬初灌服三氯苯达唑，冬季或春季灌服硝氯酚或碘醚柳胺，或注射硝碘酚腈或氯氰碘柳酸钠。鉴于梭菌病与肝片吸虫病感染的相关性，要求在片形吸虫病发生地区每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月初接种三联四防疫苗或六联疫苗，预防继发感染。​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驱治密度：</w:t>
      </w:r>
      <w:r>
        <w:rPr>
          <w:rFonts w:hint="eastAsia" w:ascii="仿宋_GB2312" w:hAnsi="仿宋_GB2312" w:eastAsia="仿宋_GB2312" w:cs="仿宋_GB2312"/>
          <w:sz w:val="32"/>
          <w:szCs w:val="32"/>
        </w:rPr>
        <w:t>在片形吸虫病流行地区实行整群全驱，保证不遗漏任何1只羊，全面控制病情。​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技术要求：</w:t>
      </w:r>
      <w:r>
        <w:rPr>
          <w:rFonts w:hint="eastAsia" w:ascii="仿宋_GB2312" w:hAnsi="仿宋_GB2312" w:eastAsia="仿宋_GB2312" w:cs="仿宋_GB2312"/>
          <w:sz w:val="32"/>
          <w:szCs w:val="32"/>
        </w:rPr>
        <w:t>保证投药剂量准确、操作规范，投药后在固定区域排出虫卵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"https://std.samr.gov.cn/gb/search/gbDetailed?id=71F772D82B4ED3A7E05397BE0A0AB82A" \t "https://std.samr.gov.cn/gb/_blank" </w:instrText>
      </w:r>
      <w:r>
        <w:rPr>
          <w:rFonts w:hint="eastAsia"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GB/T 36195</w:t>
      </w:r>
      <w:r>
        <w:rPr>
          <w:rFonts w:hint="default"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《畜禽粪便</w:t>
      </w:r>
      <w:r>
        <w:rPr>
          <w:rFonts w:hint="default" w:ascii="仿宋_GB2312" w:hAnsi="仿宋_GB2312" w:eastAsia="仿宋_GB2312" w:cs="仿宋_GB2312"/>
          <w:sz w:val="32"/>
          <w:szCs w:val="32"/>
          <w:lang w:val="en-US" w:eastAsia="zh-CN"/>
        </w:rPr>
        <w:t>无害化处理技术规范</w:t>
      </w:r>
      <w:r>
        <w:rPr>
          <w:rFonts w:hint="eastAsia" w:ascii="仿宋_GB2312" w:hAnsi="仿宋_GB2312" w:eastAsia="仿宋_GB2312" w:cs="仿宋_GB2312"/>
          <w:sz w:val="32"/>
          <w:szCs w:val="32"/>
          <w:lang w:val="en-US" w:eastAsia="zh-CN"/>
        </w:rPr>
        <w:t>》，对粪便进行无害化处理。</w:t>
      </w:r>
      <w:r>
        <w:rPr>
          <w:rFonts w:hint="eastAsia" w:ascii="仿宋_GB2312" w:hAnsi="仿宋_GB2312" w:eastAsia="仿宋_GB2312" w:cs="仿宋_GB2312"/>
          <w:sz w:val="32"/>
          <w:szCs w:val="32"/>
        </w:rPr>
        <w:t>同时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跟踪观察，及时抢救治疗中毒、伤残羊，确保驱治工作安全、有效开展。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6、环境净化与放牧管理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环境净化：</w:t>
      </w:r>
      <w:r>
        <w:rPr>
          <w:rFonts w:hint="eastAsia" w:ascii="仿宋_GB2312" w:hAnsi="仿宋_GB2312" w:eastAsia="仿宋_GB2312" w:cs="仿宋_GB2312"/>
          <w:sz w:val="32"/>
          <w:szCs w:val="32"/>
        </w:rPr>
        <w:t>通过实施划区轮牧制度，避免潮湿草场或溪流被片形吸虫卵污染；采取不同畜种间轮牧减少交叉感染；对污染草场休牧不少于</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个月；使用1:5000 比例的硫酸铜溶液喷洒或放养鸭子消灭中间宿主淡水螺，从环境层面阻断片形吸虫病传播途径。​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放牧管理：</w:t>
      </w:r>
      <w:r>
        <w:rPr>
          <w:rFonts w:hint="eastAsia" w:ascii="仿宋_GB2312" w:hAnsi="仿宋_GB2312" w:eastAsia="仿宋_GB2312" w:cs="仿宋_GB2312"/>
          <w:sz w:val="32"/>
          <w:szCs w:val="32"/>
        </w:rPr>
        <w:t>要求尽量避开低湿草场放牧，夜晚归圈，避免清晨、傍晚、雨天放牧；禁止饮用低洼地区积水或死水，建立清洁饮水地点；扩大利用人工草场，采用放牧与补饲结合饲养方式，合理补充精料和添加剂增强羊抗病力；合理安排放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有效避开虫体感染高峰期7</w:t>
      </w:r>
      <w:bookmarkStart w:id="11" w:name="OLE_LINK25"/>
      <w:r>
        <w:rPr>
          <w:rFonts w:hint="eastAsia" w:ascii="仿宋_GB2312" w:hAnsi="仿宋_GB2312" w:eastAsia="仿宋_GB2312" w:cs="仿宋_GB2312"/>
          <w:sz w:val="32"/>
          <w:szCs w:val="32"/>
          <w:lang w:val="en-US" w:eastAsia="zh-CN"/>
        </w:rPr>
        <w:t>～</w:t>
      </w:r>
      <w:bookmarkEnd w:id="11"/>
      <w:r>
        <w:rPr>
          <w:rFonts w:hint="eastAsia" w:ascii="仿宋_GB2312" w:hAnsi="仿宋_GB2312" w:eastAsia="仿宋_GB2312" w:cs="仿宋_GB2312"/>
          <w:sz w:val="32"/>
          <w:szCs w:val="32"/>
          <w:lang w:val="en-US" w:eastAsia="zh-CN"/>
        </w:rPr>
        <w:t>10月</w:t>
      </w:r>
      <w:r>
        <w:rPr>
          <w:rFonts w:hint="eastAsia" w:ascii="仿宋_GB2312" w:hAnsi="仿宋_GB2312" w:eastAsia="仿宋_GB2312" w:cs="仿宋_GB2312"/>
          <w:sz w:val="32"/>
          <w:szCs w:val="32"/>
        </w:rPr>
        <w:t>，降低羊只感染风险</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7、粪便、尸体、废弃物（液）的处理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圈舍灭虫：</w:t>
      </w:r>
      <w:r>
        <w:rPr>
          <w:rFonts w:hint="eastAsia" w:ascii="仿宋_GB2312" w:hAnsi="仿宋_GB2312" w:eastAsia="仿宋_GB2312" w:cs="仿宋_GB2312"/>
          <w:b w:val="0"/>
          <w:bCs w:val="0"/>
          <w:sz w:val="32"/>
          <w:szCs w:val="32"/>
        </w:rPr>
        <w:t>定期对圈舍墙壁、地面、围栏、饲具及其周围环境消毒、杀虫，减少圈舍内寄生虫及虫卵存活，降低羊只感染几率。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粪便处理：</w:t>
      </w:r>
      <w:r>
        <w:rPr>
          <w:rFonts w:hint="eastAsia" w:ascii="仿宋_GB2312" w:hAnsi="仿宋_GB2312" w:eastAsia="仿宋_GB2312" w:cs="仿宋_GB2312"/>
          <w:b w:val="0"/>
          <w:bCs w:val="0"/>
          <w:sz w:val="32"/>
          <w:szCs w:val="32"/>
        </w:rPr>
        <w:t>圈舍粪便及时清理并集中堆积发酵，利用生物热杀灭虫体和虫卵。驱虫后3 d内</w:t>
      </w:r>
      <w:r>
        <w:rPr>
          <w:rFonts w:hint="eastAsia" w:ascii="仿宋_GB2312" w:hAnsi="仿宋_GB2312" w:eastAsia="仿宋_GB2312" w:cs="仿宋_GB2312"/>
          <w:b w:val="0"/>
          <w:bCs w:val="0"/>
          <w:color w:val="auto"/>
          <w:sz w:val="32"/>
          <w:szCs w:val="32"/>
          <w:lang w:val="en-US" w:eastAsia="zh-CN"/>
        </w:rPr>
        <w:t>排泄的</w:t>
      </w:r>
      <w:r>
        <w:rPr>
          <w:rFonts w:hint="eastAsia" w:ascii="仿宋_GB2312" w:hAnsi="仿宋_GB2312" w:eastAsia="仿宋_GB2312" w:cs="仿宋_GB2312"/>
          <w:b w:val="0"/>
          <w:bCs w:val="0"/>
          <w:sz w:val="32"/>
          <w:szCs w:val="32"/>
        </w:rPr>
        <w:t>粪便焚烧或深埋，防止粪便中虫卵扩散造成二次污染。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尸体及废弃物处理：</w:t>
      </w:r>
      <w:r>
        <w:rPr>
          <w:rFonts w:hint="eastAsia" w:ascii="仿宋_GB2312" w:hAnsi="仿宋_GB2312" w:eastAsia="仿宋_GB2312" w:cs="仿宋_GB2312"/>
          <w:b w:val="0"/>
          <w:bCs w:val="0"/>
          <w:sz w:val="32"/>
          <w:szCs w:val="32"/>
        </w:rPr>
        <w:t>严禁未处理病尸、废弃物喂犬或随地抛掷，按</w:t>
      </w:r>
      <w:r>
        <w:rPr>
          <w:rFonts w:hint="eastAsia" w:ascii="仿宋_GB2312" w:hAnsi="仿宋_GB2312" w:eastAsia="仿宋_GB2312" w:cs="仿宋_GB2312"/>
          <w:b w:val="0"/>
          <w:bCs w:val="0"/>
          <w:color w:val="auto"/>
          <w:sz w:val="32"/>
          <w:szCs w:val="32"/>
          <w:lang w:val="en-US" w:eastAsia="zh-CN"/>
        </w:rPr>
        <w:t>《病死及病害动物无害化处理技术规范》、《畜禽粪便</w:t>
      </w:r>
      <w:r>
        <w:rPr>
          <w:rFonts w:hint="default" w:ascii="仿宋_GB2312" w:hAnsi="仿宋_GB2312" w:eastAsia="仿宋_GB2312" w:cs="仿宋_GB2312"/>
          <w:b w:val="0"/>
          <w:bCs w:val="0"/>
          <w:color w:val="auto"/>
          <w:sz w:val="32"/>
          <w:szCs w:val="32"/>
          <w:lang w:val="en-US" w:eastAsia="zh-CN"/>
        </w:rPr>
        <w:t>无害化处理技术规范</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GB/T 36195</w:t>
      </w:r>
      <w:r>
        <w:rPr>
          <w:rFonts w:hint="eastAsia" w:ascii="仿宋_GB2312" w:hAnsi="仿宋_GB2312" w:eastAsia="仿宋_GB2312" w:cs="仿宋_GB2312"/>
          <w:b w:val="0"/>
          <w:bCs w:val="0"/>
          <w:color w:val="auto"/>
          <w:sz w:val="32"/>
          <w:szCs w:val="32"/>
          <w:lang w:val="en-US" w:eastAsia="zh-CN"/>
        </w:rPr>
        <w:t>《畜禽养殖业污染物排放标准》GB 18596有关</w:t>
      </w:r>
      <w:r>
        <w:rPr>
          <w:rFonts w:hint="eastAsia" w:ascii="仿宋_GB2312" w:hAnsi="仿宋_GB2312" w:eastAsia="仿宋_GB2312" w:cs="仿宋_GB2312"/>
          <w:b w:val="0"/>
          <w:bCs w:val="0"/>
          <w:sz w:val="32"/>
          <w:szCs w:val="32"/>
        </w:rPr>
        <w:t>规定处理，防止疫病传播扩散。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8、疾病监测：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监测抽样比例：</w:t>
      </w:r>
      <w:r>
        <w:rPr>
          <w:rFonts w:hint="eastAsia" w:ascii="仿宋_GB2312" w:hAnsi="仿宋_GB2312" w:eastAsia="仿宋_GB2312" w:cs="仿宋_GB2312"/>
          <w:b w:val="0"/>
          <w:bCs w:val="0"/>
          <w:sz w:val="32"/>
          <w:szCs w:val="32"/>
        </w:rPr>
        <w:t>羊抽样比例为 2:4:4（羔羊20%，周岁羊40%，成年羊40%），考虑不同年龄段羊只感染</w:t>
      </w:r>
      <w:r>
        <w:rPr>
          <w:rFonts w:hint="eastAsia" w:ascii="仿宋_GB2312" w:hAnsi="仿宋_GB2312" w:eastAsia="仿宋_GB2312" w:cs="仿宋_GB2312"/>
          <w:b w:val="0"/>
          <w:bCs w:val="0"/>
          <w:sz w:val="32"/>
          <w:szCs w:val="32"/>
          <w:lang w:val="en-US" w:eastAsia="zh-CN"/>
        </w:rPr>
        <w:t>吸</w:t>
      </w:r>
      <w:r>
        <w:rPr>
          <w:rFonts w:hint="eastAsia" w:ascii="仿宋_GB2312" w:hAnsi="仿宋_GB2312" w:eastAsia="仿宋_GB2312" w:cs="仿宋_GB2312"/>
          <w:b w:val="0"/>
          <w:bCs w:val="0"/>
          <w:sz w:val="32"/>
          <w:szCs w:val="32"/>
        </w:rPr>
        <w:t>虫病风险及对羊群整体影响差异，确保抽样具有代表性。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抽样总量：</w:t>
      </w:r>
      <w:r>
        <w:rPr>
          <w:rFonts w:hint="eastAsia" w:ascii="仿宋_GB2312" w:hAnsi="仿宋_GB2312" w:eastAsia="仿宋_GB2312" w:cs="仿宋_GB2312"/>
          <w:b w:val="0"/>
          <w:bCs w:val="0"/>
          <w:sz w:val="32"/>
          <w:szCs w:val="32"/>
        </w:rPr>
        <w:t>根据羊群大小确定抽样比例，大群</w:t>
      </w:r>
      <w:r>
        <w:rPr>
          <w:rFonts w:hint="eastAsia" w:ascii="仿宋_GB2312" w:hAnsi="仿宋_GB2312" w:eastAsia="仿宋_GB2312" w:cs="仿宋_GB2312"/>
          <w:b w:val="0"/>
          <w:bCs w:val="0"/>
          <w:sz w:val="32"/>
          <w:szCs w:val="32"/>
          <w:lang w:val="en-US" w:eastAsia="zh-CN"/>
        </w:rPr>
        <w:t>（200 只以上）</w:t>
      </w:r>
      <w:r>
        <w:rPr>
          <w:rFonts w:hint="eastAsia" w:ascii="仿宋_GB2312" w:hAnsi="仿宋_GB2312" w:eastAsia="仿宋_GB2312" w:cs="仿宋_GB2312"/>
          <w:b w:val="0"/>
          <w:bCs w:val="0"/>
          <w:sz w:val="32"/>
          <w:szCs w:val="32"/>
        </w:rPr>
        <w:t>抽样15%，中群</w:t>
      </w:r>
      <w:r>
        <w:rPr>
          <w:rFonts w:hint="eastAsia" w:ascii="仿宋_GB2312" w:hAnsi="仿宋_GB2312" w:eastAsia="仿宋_GB2312" w:cs="仿宋_GB2312"/>
          <w:b w:val="0"/>
          <w:bCs w:val="0"/>
          <w:sz w:val="32"/>
          <w:szCs w:val="32"/>
          <w:lang w:val="en-US" w:eastAsia="zh-CN"/>
        </w:rPr>
        <w:t>（100 只～150 只）</w:t>
      </w:r>
      <w:r>
        <w:rPr>
          <w:rFonts w:hint="eastAsia" w:ascii="仿宋_GB2312" w:hAnsi="仿宋_GB2312" w:eastAsia="仿宋_GB2312" w:cs="仿宋_GB2312"/>
          <w:b w:val="0"/>
          <w:bCs w:val="0"/>
          <w:sz w:val="32"/>
          <w:szCs w:val="32"/>
        </w:rPr>
        <w:t>抽样25%，小群</w:t>
      </w:r>
      <w:r>
        <w:rPr>
          <w:rFonts w:hint="eastAsia" w:ascii="仿宋_GB2312" w:hAnsi="仿宋_GB2312" w:eastAsia="仿宋_GB2312" w:cs="仿宋_GB2312"/>
          <w:b w:val="0"/>
          <w:bCs w:val="0"/>
          <w:sz w:val="32"/>
          <w:szCs w:val="32"/>
          <w:lang w:val="en-US" w:eastAsia="zh-CN"/>
        </w:rPr>
        <w:t>（100只以下）</w:t>
      </w:r>
      <w:r>
        <w:rPr>
          <w:rFonts w:hint="eastAsia" w:ascii="仿宋_GB2312" w:hAnsi="仿宋_GB2312" w:eastAsia="仿宋_GB2312" w:cs="仿宋_GB2312"/>
          <w:b w:val="0"/>
          <w:bCs w:val="0"/>
          <w:sz w:val="32"/>
          <w:szCs w:val="32"/>
        </w:rPr>
        <w:t>抽样30%，且抽样总量不少于30只，保证监测数据准确性和可靠性。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监测时间：</w:t>
      </w:r>
      <w:r>
        <w:rPr>
          <w:rFonts w:hint="eastAsia" w:ascii="仿宋_GB2312" w:hAnsi="仿宋_GB2312" w:eastAsia="仿宋_GB2312" w:cs="仿宋_GB2312"/>
          <w:b w:val="0"/>
          <w:bCs w:val="0"/>
          <w:sz w:val="32"/>
          <w:szCs w:val="32"/>
        </w:rPr>
        <w:t>每年驱虫前、后和冬宰期间进行监测。驱虫前监测了解羊群感染现状，驱虫后评估驱虫效果，冬宰期间全面调查</w:t>
      </w:r>
      <w:r>
        <w:rPr>
          <w:rFonts w:hint="eastAsia" w:ascii="仿宋_GB2312" w:hAnsi="仿宋_GB2312" w:eastAsia="仿宋_GB2312" w:cs="仿宋_GB2312"/>
          <w:b w:val="0"/>
          <w:bCs w:val="0"/>
          <w:sz w:val="32"/>
          <w:szCs w:val="32"/>
          <w:lang w:eastAsia="zh-CN"/>
        </w:rPr>
        <w:t>片形吸虫</w:t>
      </w:r>
      <w:r>
        <w:rPr>
          <w:rFonts w:hint="eastAsia" w:ascii="仿宋_GB2312" w:hAnsi="仿宋_GB2312" w:eastAsia="仿宋_GB2312" w:cs="仿宋_GB2312"/>
          <w:b w:val="0"/>
          <w:bCs w:val="0"/>
          <w:sz w:val="32"/>
          <w:szCs w:val="32"/>
        </w:rPr>
        <w:t>寄生状况。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监测方式：</w:t>
      </w:r>
      <w:r>
        <w:rPr>
          <w:rFonts w:hint="eastAsia" w:ascii="仿宋_GB2312" w:hAnsi="仿宋_GB2312" w:eastAsia="仿宋_GB2312" w:cs="仿宋_GB2312"/>
          <w:b w:val="0"/>
          <w:bCs w:val="0"/>
          <w:sz w:val="32"/>
          <w:szCs w:val="32"/>
        </w:rPr>
        <w:t>结合免疫学检测和粪便虫卵检查，利用日常屠宰调查及冬宰期间消化道内</w:t>
      </w:r>
      <w:r>
        <w:rPr>
          <w:rFonts w:hint="eastAsia" w:ascii="仿宋_GB2312" w:hAnsi="仿宋_GB2312" w:eastAsia="仿宋_GB2312" w:cs="仿宋_GB2312"/>
          <w:b w:val="0"/>
          <w:bCs w:val="0"/>
          <w:sz w:val="32"/>
          <w:szCs w:val="32"/>
          <w:lang w:val="en-US" w:eastAsia="zh-CN"/>
        </w:rPr>
        <w:t>吸</w:t>
      </w:r>
      <w:r>
        <w:rPr>
          <w:rFonts w:hint="eastAsia" w:ascii="仿宋_GB2312" w:hAnsi="仿宋_GB2312" w:eastAsia="仿宋_GB2312" w:cs="仿宋_GB2312"/>
          <w:b w:val="0"/>
          <w:bCs w:val="0"/>
          <w:sz w:val="32"/>
          <w:szCs w:val="32"/>
        </w:rPr>
        <w:t>虫寄生状况调查，多维度掌握羊群</w:t>
      </w:r>
      <w:r>
        <w:rPr>
          <w:rFonts w:hint="eastAsia" w:ascii="仿宋_GB2312" w:hAnsi="仿宋_GB2312" w:eastAsia="仿宋_GB2312" w:cs="仿宋_GB2312"/>
          <w:b w:val="0"/>
          <w:bCs w:val="0"/>
          <w:sz w:val="32"/>
          <w:szCs w:val="32"/>
          <w:lang w:val="en-US" w:eastAsia="zh-CN"/>
        </w:rPr>
        <w:t>吸</w:t>
      </w:r>
      <w:r>
        <w:rPr>
          <w:rFonts w:hint="eastAsia" w:ascii="仿宋_GB2312" w:hAnsi="仿宋_GB2312" w:eastAsia="仿宋_GB2312" w:cs="仿宋_GB2312"/>
          <w:b w:val="0"/>
          <w:bCs w:val="0"/>
          <w:sz w:val="32"/>
          <w:szCs w:val="32"/>
        </w:rPr>
        <w:t>虫感染情况，为精准防控提供数据支持。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六、重大意见分歧的处理依据和结果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标准起草过程中，充分征求了相关专家的意见，未出现重大分歧。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七、采用国际标准或国外先进标准的说明采标程度，以及国内外同类标准水平的对比情况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本标准没有采用国际标准。国家标准有GB/T 19526《羊寄生虫病防治技术规范》，行业标准有NY/T 1465《牛羊胃肠道线虫检查技术》，</w:t>
      </w:r>
      <w:r>
        <w:rPr>
          <w:rFonts w:hint="eastAsia" w:ascii="仿宋_GB2312" w:hAnsi="仿宋_GB2312" w:eastAsia="仿宋_GB2312" w:cs="仿宋_GB2312"/>
          <w:color w:val="auto"/>
          <w:sz w:val="32"/>
          <w:szCs w:val="32"/>
        </w:rPr>
        <w:t>地方标准有</w:t>
      </w:r>
      <w:bookmarkStart w:id="12" w:name="OLE_LINK29"/>
      <w:r>
        <w:rPr>
          <w:rFonts w:hint="eastAsia" w:ascii="仿宋_GB2312" w:hAnsi="仿宋_GB2312" w:eastAsia="仿宋_GB2312" w:cs="仿宋_GB2312"/>
          <w:color w:val="auto"/>
          <w:sz w:val="32"/>
          <w:szCs w:val="32"/>
        </w:rPr>
        <w:t>DB15/T 351—2024</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牛羊肝片形吸虫病防制技术规程</w:t>
      </w:r>
      <w:r>
        <w:rPr>
          <w:rFonts w:hint="eastAsia" w:ascii="仿宋_GB2312" w:hAnsi="仿宋_GB2312" w:eastAsia="仿宋_GB2312" w:cs="仿宋_GB2312"/>
          <w:color w:val="auto"/>
          <w:sz w:val="32"/>
          <w:szCs w:val="32"/>
          <w:lang w:eastAsia="zh-CN"/>
        </w:rPr>
        <w:t>》</w:t>
      </w:r>
      <w:bookmarkEnd w:id="12"/>
      <w:r>
        <w:rPr>
          <w:rFonts w:hint="eastAsia" w:ascii="仿宋_GB2312" w:hAnsi="仿宋_GB2312" w:eastAsia="仿宋_GB2312" w:cs="仿宋_GB2312"/>
          <w:color w:val="auto"/>
          <w:sz w:val="32"/>
          <w:szCs w:val="32"/>
          <w:lang w:eastAsia="zh-CN"/>
        </w:rPr>
        <w:t>、DB15/T 351-2000《牛羊肝片形吸虫病防制技术规程》</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新疆发布实施的DB65/T 4251-2019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《羊片形吸虫病防治技术规程》，但是均与鄂尔多斯地区的情况有一定差异，特此制定鄂尔多斯地方标准用以指导当地实际。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八、其他应说明的事项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该项技术规范的制定，试验数据充分，科学性强，并经过了长期大量实际应用，建议</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《鄂尔多斯细毛羊</w:t>
      </w:r>
      <w:bookmarkStart w:id="13" w:name="OLE_LINK4"/>
      <w:r>
        <w:rPr>
          <w:rFonts w:hint="eastAsia" w:ascii="仿宋_GB2312" w:hAnsi="仿宋_GB2312" w:eastAsia="仿宋_GB2312" w:cs="仿宋_GB2312"/>
          <w:sz w:val="32"/>
          <w:szCs w:val="32"/>
          <w:lang w:eastAsia="zh-CN"/>
        </w:rPr>
        <w:t>片形吸虫</w:t>
      </w:r>
      <w:r>
        <w:rPr>
          <w:rFonts w:hint="eastAsia" w:ascii="仿宋_GB2312" w:hAnsi="仿宋_GB2312" w:eastAsia="仿宋_GB2312" w:cs="仿宋_GB2312"/>
          <w:sz w:val="32"/>
          <w:szCs w:val="32"/>
        </w:rPr>
        <w:t>病</w:t>
      </w:r>
      <w:bookmarkEnd w:id="13"/>
      <w:r>
        <w:rPr>
          <w:rFonts w:hint="eastAsia" w:ascii="仿宋_GB2312" w:hAnsi="仿宋_GB2312" w:eastAsia="仿宋_GB2312" w:cs="仿宋_GB2312"/>
          <w:sz w:val="32"/>
          <w:szCs w:val="32"/>
        </w:rPr>
        <w:t>精准防控技术规范》作为推荐性标准在工作中进一步推广应用。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九、标准起草征求意见稿情况汇总表</w:t>
      </w:r>
    </w:p>
    <w:tbl>
      <w:tblPr>
        <w:tblStyle w:val="8"/>
        <w:tblW w:w="92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4"/>
        <w:gridCol w:w="859"/>
        <w:gridCol w:w="4721"/>
        <w:gridCol w:w="1741"/>
        <w:gridCol w:w="825"/>
        <w:gridCol w:w="6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94" w:hRule="atLeast"/>
        </w:trPr>
        <w:tc>
          <w:tcPr>
            <w:tcW w:w="494" w:type="dxa"/>
            <w:tcBorders>
              <w:bottom w:val="single" w:color="auto" w:sz="4" w:space="0"/>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b/>
                <w:bCs/>
                <w:sz w:val="21"/>
                <w:szCs w:val="21"/>
              </w:rPr>
            </w:pPr>
            <w:bookmarkStart w:id="14" w:name="OLE_LINK15"/>
            <w:r>
              <w:rPr>
                <w:rFonts w:ascii="宋体" w:hAnsi="宋体" w:eastAsia="宋体" w:cs="宋体"/>
                <w:b/>
                <w:bCs/>
                <w:spacing w:val="5"/>
                <w:sz w:val="21"/>
                <w:szCs w:val="21"/>
              </w:rPr>
              <w:t>序 号</w:t>
            </w:r>
          </w:p>
        </w:tc>
        <w:tc>
          <w:tcPr>
            <w:tcW w:w="85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pacing w:val="5"/>
                <w:sz w:val="21"/>
                <w:szCs w:val="21"/>
                <w:lang w:val="en-US" w:eastAsia="zh-CN"/>
              </w:rPr>
            </w:pPr>
            <w:r>
              <w:rPr>
                <w:rFonts w:hint="eastAsia" w:ascii="宋体" w:hAnsi="宋体" w:eastAsia="宋体" w:cs="宋体"/>
                <w:b/>
                <w:bCs/>
                <w:spacing w:val="5"/>
                <w:sz w:val="21"/>
                <w:szCs w:val="21"/>
                <w:lang w:val="en-US" w:eastAsia="zh-CN"/>
              </w:rPr>
              <w:t>标准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pacing w:val="5"/>
                <w:sz w:val="21"/>
                <w:szCs w:val="21"/>
                <w:lang w:val="en-US" w:eastAsia="zh-CN"/>
              </w:rPr>
            </w:pPr>
            <w:r>
              <w:rPr>
                <w:rFonts w:hint="eastAsia" w:ascii="宋体" w:hAnsi="宋体" w:eastAsia="宋体" w:cs="宋体"/>
                <w:b/>
                <w:bCs/>
                <w:spacing w:val="5"/>
                <w:sz w:val="21"/>
                <w:szCs w:val="21"/>
                <w:lang w:val="en-US" w:eastAsia="zh-CN"/>
              </w:rPr>
              <w:t>章条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Arial"/>
                <w:b/>
                <w:bCs/>
                <w:sz w:val="21"/>
                <w:szCs w:val="21"/>
                <w:lang w:val="en-US" w:eastAsia="zh-CN"/>
              </w:rPr>
            </w:pPr>
            <w:r>
              <w:rPr>
                <w:rFonts w:hint="eastAsia" w:ascii="宋体" w:hAnsi="宋体" w:eastAsia="宋体" w:cs="宋体"/>
                <w:b/>
                <w:bCs/>
                <w:spacing w:val="5"/>
                <w:sz w:val="21"/>
                <w:szCs w:val="21"/>
                <w:lang w:val="en-US" w:eastAsia="zh-CN"/>
              </w:rPr>
              <w:t>编号</w:t>
            </w:r>
          </w:p>
        </w:tc>
        <w:tc>
          <w:tcPr>
            <w:tcW w:w="472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bCs/>
                <w:spacing w:val="5"/>
                <w:sz w:val="21"/>
                <w:szCs w:val="21"/>
              </w:rPr>
            </w:pPr>
            <w:r>
              <w:rPr>
                <w:rFonts w:ascii="宋体" w:hAnsi="宋体" w:eastAsia="宋体" w:cs="宋体"/>
                <w:b/>
                <w:bCs/>
                <w:spacing w:val="5"/>
                <w:sz w:val="21"/>
                <w:szCs w:val="21"/>
              </w:rPr>
              <w:t>意见内容</w:t>
            </w:r>
          </w:p>
        </w:tc>
        <w:tc>
          <w:tcPr>
            <w:tcW w:w="174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249" w:leftChars="0"/>
              <w:jc w:val="center"/>
              <w:textAlignment w:val="auto"/>
              <w:rPr>
                <w:b/>
                <w:bCs/>
                <w:spacing w:val="6"/>
                <w:sz w:val="21"/>
                <w:szCs w:val="21"/>
              </w:rPr>
            </w:pPr>
            <w:r>
              <w:rPr>
                <w:rFonts w:ascii="宋体" w:hAnsi="宋体" w:eastAsia="宋体" w:cs="宋体"/>
                <w:b/>
                <w:bCs/>
                <w:spacing w:val="7"/>
                <w:sz w:val="21"/>
                <w:szCs w:val="21"/>
              </w:rPr>
              <w:t>提出单位/专家</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b/>
                <w:bCs/>
                <w:spacing w:val="5"/>
                <w:sz w:val="21"/>
                <w:szCs w:val="21"/>
              </w:rPr>
            </w:pPr>
            <w:r>
              <w:rPr>
                <w:rFonts w:ascii="宋体" w:hAnsi="宋体" w:eastAsia="宋体" w:cs="宋体"/>
                <w:b/>
                <w:bCs/>
                <w:spacing w:val="5"/>
                <w:sz w:val="21"/>
                <w:szCs w:val="21"/>
              </w:rPr>
              <w:t>处理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b/>
                <w:bCs/>
                <w:sz w:val="21"/>
                <w:szCs w:val="21"/>
              </w:rPr>
            </w:pPr>
            <w:r>
              <w:rPr>
                <w:rFonts w:ascii="宋体" w:hAnsi="宋体" w:eastAsia="宋体" w:cs="宋体"/>
                <w:b/>
                <w:bCs/>
                <w:spacing w:val="5"/>
                <w:sz w:val="21"/>
                <w:szCs w:val="21"/>
              </w:rPr>
              <w:t>意见</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b/>
                <w:bCs/>
                <w:spacing w:val="5"/>
                <w:sz w:val="21"/>
                <w:szCs w:val="21"/>
              </w:rPr>
            </w:pPr>
            <w:r>
              <w:rPr>
                <w:rFonts w:ascii="宋体" w:hAnsi="宋体" w:eastAsia="宋体" w:cs="宋体"/>
                <w:b/>
                <w:bCs/>
                <w:spacing w:val="5"/>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60" w:hRule="atLeast"/>
        </w:trPr>
        <w:tc>
          <w:tcPr>
            <w:tcW w:w="494"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adjustRightInd/>
              <w:spacing w:line="36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p>
        </w:tc>
        <w:tc>
          <w:tcPr>
            <w:tcW w:w="859" w:type="dxa"/>
            <w:tcBorders>
              <w:top w:val="single" w:color="auto" w:sz="4" w:space="0"/>
              <w:bottom w:val="single" w:color="auto" w:sz="4" w:space="0"/>
            </w:tcBorders>
            <w:vAlign w:val="center"/>
          </w:tcPr>
          <w:p>
            <w:pPr>
              <w:keepNext w:val="0"/>
              <w:keepLines w:val="0"/>
              <w:pageBreakBefore w:val="0"/>
              <w:kinsoku/>
              <w:wordWrap/>
              <w:overflowPunct/>
              <w:topLinePunct w:val="0"/>
              <w:bidi w:val="0"/>
              <w:adjustRightInd/>
              <w:spacing w:line="36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标题</w:t>
            </w:r>
          </w:p>
        </w:tc>
        <w:tc>
          <w:tcPr>
            <w:tcW w:w="4721"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原文：“鄂尔多斯细毛羊片形吸虫病精准防控关键技术标准”</w:t>
            </w:r>
            <w:r>
              <w:rPr>
                <w:rFonts w:hint="eastAsia" w:ascii="仿宋_GB2312" w:hAnsi="仿宋_GB2312" w:eastAsia="仿宋_GB2312" w:cs="仿宋_GB2312"/>
                <w:b/>
                <w:bCs/>
                <w:lang w:val="en-US" w:eastAsia="zh-CN"/>
              </w:rPr>
              <w:t>改为</w:t>
            </w:r>
            <w:r>
              <w:rPr>
                <w:rFonts w:hint="eastAsia" w:ascii="仿宋_GB2312" w:hAnsi="仿宋_GB2312" w:eastAsia="仿宋_GB2312" w:cs="仿宋_GB2312"/>
                <w:lang w:val="en-US" w:eastAsia="zh-CN"/>
              </w:rPr>
              <w:t>“鄂尔多斯细毛羊片形吸虫病精准防控技术规范。”</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内蒙古农业大学/哈斯苏荣</w:t>
            </w:r>
          </w:p>
        </w:tc>
        <w:tc>
          <w:tcPr>
            <w:tcW w:w="825" w:type="dxa"/>
            <w:tcBorders>
              <w:lef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采纳</w:t>
            </w:r>
          </w:p>
        </w:tc>
        <w:tc>
          <w:tcPr>
            <w:tcW w:w="623" w:type="dxa"/>
            <w:vAlign w:val="center"/>
          </w:tcPr>
          <w:p>
            <w:pPr>
              <w:keepNext w:val="0"/>
              <w:keepLines w:val="0"/>
              <w:pageBreakBefore w:val="0"/>
              <w:kinsoku/>
              <w:wordWrap/>
              <w:overflowPunct/>
              <w:topLinePunct w:val="0"/>
              <w:bidi w:val="0"/>
              <w:adjustRightInd/>
              <w:spacing w:line="360" w:lineRule="auto"/>
              <w:jc w:val="both"/>
              <w:textAlignment w:val="auto"/>
              <w:rPr>
                <w:rFonts w:hint="eastAsia" w:ascii="仿宋_GB2312" w:hAnsi="仿宋_GB2312" w:eastAsia="仿宋_GB2312" w:cs="仿宋_GB2312"/>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2" w:hRule="atLeast"/>
        </w:trPr>
        <w:tc>
          <w:tcPr>
            <w:tcW w:w="494"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adjustRightInd/>
              <w:spacing w:line="360" w:lineRule="auto"/>
              <w:jc w:val="center"/>
              <w:textAlignment w:val="auto"/>
              <w:rPr>
                <w:rFonts w:hint="eastAsia" w:ascii="仿宋_GB2312" w:hAnsi="仿宋_GB2312" w:eastAsia="仿宋_GB2312" w:cs="仿宋_GB2312"/>
                <w:lang w:val="en-US" w:eastAsia="zh-CN"/>
              </w:rPr>
            </w:pPr>
            <w:bookmarkStart w:id="15" w:name="OLE_LINK30" w:colFirst="1" w:colLast="4"/>
            <w:r>
              <w:rPr>
                <w:rFonts w:hint="eastAsia" w:ascii="仿宋_GB2312" w:hAnsi="仿宋_GB2312" w:eastAsia="仿宋_GB2312" w:cs="仿宋_GB2312"/>
                <w:lang w:val="en-US" w:eastAsia="zh-CN"/>
              </w:rPr>
              <w:t>2</w:t>
            </w:r>
          </w:p>
        </w:tc>
        <w:tc>
          <w:tcPr>
            <w:tcW w:w="859" w:type="dxa"/>
            <w:tcBorders>
              <w:top w:val="single" w:color="auto" w:sz="4" w:space="0"/>
              <w:bottom w:val="single" w:color="auto" w:sz="4" w:space="0"/>
            </w:tcBorders>
            <w:vAlign w:val="center"/>
          </w:tcPr>
          <w:p>
            <w:pPr>
              <w:keepNext w:val="0"/>
              <w:keepLines w:val="0"/>
              <w:pageBreakBefore w:val="0"/>
              <w:kinsoku/>
              <w:wordWrap/>
              <w:overflowPunct/>
              <w:topLinePunct w:val="0"/>
              <w:bidi w:val="0"/>
              <w:adjustRightInd/>
              <w:spacing w:line="36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 范围</w:t>
            </w:r>
          </w:p>
        </w:tc>
        <w:tc>
          <w:tcPr>
            <w:tcW w:w="4721"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400" w:lineRule="exact"/>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原文：“包括精准驱治”</w:t>
            </w:r>
            <w:r>
              <w:rPr>
                <w:rFonts w:hint="eastAsia" w:ascii="仿宋_GB2312" w:hAnsi="仿宋_GB2312" w:eastAsia="仿宋_GB2312" w:cs="仿宋_GB2312"/>
                <w:b/>
                <w:bCs/>
                <w:lang w:val="en-US" w:eastAsia="zh-CN"/>
              </w:rPr>
              <w:t>改为</w:t>
            </w:r>
            <w:r>
              <w:rPr>
                <w:rFonts w:hint="eastAsia" w:ascii="仿宋_GB2312" w:hAnsi="仿宋_GB2312" w:eastAsia="仿宋_GB2312" w:cs="仿宋_GB2312"/>
                <w:lang w:val="en-US" w:eastAsia="zh-CN"/>
              </w:rPr>
              <w:t>“驱治”，另有“防治”</w:t>
            </w:r>
            <w:r>
              <w:rPr>
                <w:rFonts w:hint="eastAsia" w:ascii="仿宋_GB2312" w:hAnsi="仿宋_GB2312" w:eastAsia="仿宋_GB2312" w:cs="仿宋_GB2312"/>
                <w:b/>
                <w:bCs/>
                <w:lang w:val="en-US" w:eastAsia="zh-CN"/>
              </w:rPr>
              <w:t>改为</w:t>
            </w:r>
            <w:r>
              <w:rPr>
                <w:rFonts w:hint="eastAsia" w:ascii="仿宋_GB2312" w:hAnsi="仿宋_GB2312" w:eastAsia="仿宋_GB2312" w:cs="仿宋_GB2312"/>
                <w:lang w:val="en-US" w:eastAsia="zh-CN"/>
              </w:rPr>
              <w:t>“</w:t>
            </w:r>
            <w:r>
              <w:rPr>
                <w:rFonts w:hint="eastAsia" w:ascii="仿宋_GB2312" w:hAnsi="仿宋_GB2312" w:eastAsia="仿宋_GB2312" w:cs="仿宋_GB2312"/>
              </w:rPr>
              <w:t>防控</w:t>
            </w:r>
            <w:r>
              <w:rPr>
                <w:rFonts w:hint="eastAsia" w:ascii="仿宋_GB2312" w:hAnsi="仿宋_GB2312" w:eastAsia="仿宋_GB2312" w:cs="仿宋_GB2312"/>
                <w:lang w:eastAsia="zh-CN"/>
              </w:rPr>
              <w:t>”</w:t>
            </w:r>
            <w:r>
              <w:rPr>
                <w:rFonts w:hint="eastAsia" w:ascii="仿宋_GB2312" w:hAnsi="仿宋_GB2312" w:eastAsia="仿宋_GB2312" w:cs="仿宋_GB2312"/>
              </w:rPr>
              <w:t>。</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内蒙古农业大学/哈斯苏荣</w:t>
            </w:r>
          </w:p>
          <w:p>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lang w:val="en-US" w:eastAsia="zh-CN"/>
              </w:rPr>
            </w:pPr>
          </w:p>
        </w:tc>
        <w:tc>
          <w:tcPr>
            <w:tcW w:w="825" w:type="dxa"/>
            <w:tcBorders>
              <w:lef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lang w:val="en-US" w:eastAsia="zh-CN"/>
              </w:rPr>
            </w:pPr>
            <w:bookmarkStart w:id="16" w:name="OLE_LINK24"/>
            <w:r>
              <w:rPr>
                <w:rFonts w:hint="eastAsia" w:ascii="仿宋_GB2312" w:hAnsi="仿宋_GB2312" w:eastAsia="仿宋_GB2312" w:cs="仿宋_GB2312"/>
                <w:lang w:val="en-US" w:eastAsia="zh-CN"/>
              </w:rPr>
              <w:t>采纳</w:t>
            </w:r>
            <w:bookmarkEnd w:id="16"/>
          </w:p>
        </w:tc>
        <w:tc>
          <w:tcPr>
            <w:tcW w:w="623" w:type="dxa"/>
            <w:vAlign w:val="center"/>
          </w:tcPr>
          <w:p>
            <w:pPr>
              <w:keepNext w:val="0"/>
              <w:keepLines w:val="0"/>
              <w:pageBreakBefore w:val="0"/>
              <w:widowControl/>
              <w:kinsoku/>
              <w:wordWrap/>
              <w:overflowPunct/>
              <w:topLinePunct w:val="0"/>
              <w:autoSpaceDE w:val="0"/>
              <w:autoSpaceDN w:val="0"/>
              <w:bidi w:val="0"/>
              <w:adjustRightInd/>
              <w:snapToGrid/>
              <w:spacing w:line="400" w:lineRule="exact"/>
              <w:jc w:val="both"/>
              <w:textAlignment w:val="auto"/>
              <w:rPr>
                <w:rFonts w:hint="eastAsia" w:ascii="仿宋_GB2312" w:hAnsi="仿宋_GB2312" w:eastAsia="仿宋_GB2312" w:cs="仿宋_GB2312"/>
                <w:lang w:val="en-US" w:eastAsia="zh-CN"/>
              </w:rPr>
            </w:pPr>
          </w:p>
        </w:tc>
      </w:tr>
      <w:bookmarkEnd w:id="15"/>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87" w:hRule="atLeast"/>
        </w:trPr>
        <w:tc>
          <w:tcPr>
            <w:tcW w:w="494"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adjustRightInd/>
              <w:spacing w:line="36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859" w:type="dxa"/>
            <w:tcBorders>
              <w:top w:val="single" w:color="auto" w:sz="4" w:space="0"/>
              <w:bottom w:val="single" w:color="auto" w:sz="4" w:space="0"/>
            </w:tcBorders>
            <w:vAlign w:val="center"/>
          </w:tcPr>
          <w:p>
            <w:pPr>
              <w:keepNext w:val="0"/>
              <w:keepLines w:val="0"/>
              <w:pageBreakBefore w:val="0"/>
              <w:kinsoku/>
              <w:wordWrap/>
              <w:overflowPunct/>
              <w:topLinePunct w:val="0"/>
              <w:bidi w:val="0"/>
              <w:adjustRightInd/>
              <w:spacing w:line="36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p>
            <w:pPr>
              <w:keepNext w:val="0"/>
              <w:keepLines w:val="0"/>
              <w:pageBreakBefore w:val="0"/>
              <w:kinsoku/>
              <w:wordWrap/>
              <w:overflowPunct/>
              <w:topLinePunct w:val="0"/>
              <w:bidi w:val="0"/>
              <w:adjustRightInd/>
              <w:spacing w:line="36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规范性引用文件</w:t>
            </w:r>
          </w:p>
        </w:tc>
        <w:tc>
          <w:tcPr>
            <w:tcW w:w="4721"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原文：“</w:t>
            </w:r>
            <w:r>
              <w:rPr>
                <w:rFonts w:hint="eastAsia" w:ascii="仿宋_GB2312" w:hAnsi="仿宋_GB2312" w:eastAsia="仿宋_GB2312" w:cs="仿宋_GB2312"/>
                <w:sz w:val="21"/>
                <w:szCs w:val="21"/>
                <w:lang w:val="en-US" w:eastAsia="zh-CN"/>
              </w:rPr>
              <w:t>GB 16548  畜禽病害肉尸及其产品无害化处理规程、GB 16567  种畜禽调运检疫技术规范、GB/T 19526-2004  羊寄生虫病防治技术规范、GB/T 25169-2022  畜禽粪便监测技术规范、中华人民共和国兽药典、中华人民共和国兽药规范、兽药管理条例、进口兽药质量标准、兽药质量标准（第一册）、兽药质量标准（第二册）</w:t>
            </w:r>
            <w:r>
              <w:rPr>
                <w:rFonts w:hint="eastAsia" w:ascii="仿宋_GB2312" w:hAnsi="仿宋_GB2312" w:eastAsia="仿宋_GB2312" w:cs="仿宋_GB2312"/>
                <w:lang w:val="en-US" w:eastAsia="zh-CN"/>
              </w:rPr>
              <w:t>”</w:t>
            </w:r>
            <w:r>
              <w:rPr>
                <w:rFonts w:hint="eastAsia" w:ascii="仿宋_GB2312" w:hAnsi="仿宋_GB2312" w:eastAsia="仿宋_GB2312" w:cs="仿宋_GB2312"/>
                <w:b/>
                <w:bCs/>
                <w:lang w:val="en-US" w:eastAsia="zh-CN"/>
              </w:rPr>
              <w:t>改为</w:t>
            </w:r>
            <w:r>
              <w:rPr>
                <w:rFonts w:hint="eastAsia" w:ascii="仿宋_GB2312" w:hAnsi="仿宋_GB2312" w:eastAsia="仿宋_GB2312" w:cs="仿宋_GB2312"/>
                <w:lang w:val="en-US" w:eastAsia="zh-CN"/>
              </w:rPr>
              <w:t>“</w:t>
            </w:r>
            <w:r>
              <w:rPr>
                <w:rFonts w:hint="eastAsia" w:ascii="仿宋_GB2312" w:hAnsi="仿宋_GB2312" w:eastAsia="仿宋_GB2312" w:cs="仿宋_GB2312"/>
              </w:rPr>
              <w:t>GB/T 19526 羊寄生虫病防治技术规范</w:t>
            </w:r>
            <w:r>
              <w:rPr>
                <w:rFonts w:hint="eastAsia" w:ascii="仿宋_GB2312" w:hAnsi="仿宋_GB2312" w:eastAsia="仿宋_GB2312" w:cs="仿宋_GB2312"/>
                <w:lang w:eastAsia="zh-CN"/>
              </w:rPr>
              <w:t>、</w:t>
            </w:r>
            <w:r>
              <w:rPr>
                <w:rFonts w:hint="eastAsia" w:ascii="仿宋_GB2312" w:hAnsi="仿宋_GB2312" w:eastAsia="仿宋_GB2312" w:cs="仿宋_GB2312"/>
              </w:rPr>
              <w:t>GB/T 25169 畜禽粪便监测技术规范</w:t>
            </w:r>
            <w:r>
              <w:rPr>
                <w:rFonts w:hint="eastAsia" w:ascii="仿宋_GB2312" w:hAnsi="仿宋_GB2312" w:eastAsia="仿宋_GB2312" w:cs="仿宋_GB2312"/>
                <w:lang w:eastAsia="zh-CN"/>
              </w:rPr>
              <w:t>、</w:t>
            </w:r>
            <w:r>
              <w:rPr>
                <w:rFonts w:hint="eastAsia" w:ascii="仿宋_GB2312" w:hAnsi="仿宋_GB2312" w:eastAsia="仿宋_GB2312" w:cs="仿宋_GB2312"/>
              </w:rPr>
              <w:t>GB/T 36195 畜禽粪便无害化处理技术规范</w:t>
            </w:r>
            <w:r>
              <w:rPr>
                <w:rFonts w:hint="eastAsia" w:ascii="仿宋_GB2312" w:hAnsi="仿宋_GB2312" w:eastAsia="仿宋_GB2312" w:cs="仿宋_GB2312"/>
                <w:lang w:eastAsia="zh-CN"/>
              </w:rPr>
              <w:t>、</w:t>
            </w:r>
            <w:bookmarkStart w:id="17" w:name="OLE_LINK8"/>
            <w:r>
              <w:rPr>
                <w:rFonts w:hint="eastAsia" w:ascii="仿宋_GB2312" w:hAnsi="仿宋_GB2312" w:eastAsia="仿宋_GB2312" w:cs="仿宋_GB2312"/>
              </w:rPr>
              <w:t>NY/T 1950 片形吸虫病诊断技术规范</w:t>
            </w:r>
            <w:r>
              <w:rPr>
                <w:rFonts w:hint="eastAsia" w:ascii="仿宋_GB2312" w:hAnsi="仿宋_GB2312" w:eastAsia="仿宋_GB2312" w:cs="仿宋_GB2312"/>
                <w:lang w:eastAsia="zh-CN"/>
              </w:rPr>
              <w:t>、</w:t>
            </w:r>
            <w:r>
              <w:rPr>
                <w:rFonts w:hint="eastAsia" w:ascii="仿宋_GB2312" w:hAnsi="仿宋_GB2312" w:eastAsia="仿宋_GB2312" w:cs="仿宋_GB2312"/>
              </w:rPr>
              <w:t>SN/T 4825  牛羊肝片吸虫病检疫技术规范</w:t>
            </w:r>
            <w:r>
              <w:rPr>
                <w:rFonts w:hint="eastAsia" w:ascii="仿宋_GB2312" w:hAnsi="仿宋_GB2312" w:eastAsia="仿宋_GB2312" w:cs="仿宋_GB2312"/>
                <w:lang w:eastAsia="zh-CN"/>
              </w:rPr>
              <w:t>、</w:t>
            </w:r>
            <w:bookmarkStart w:id="18" w:name="OLE_LINK6"/>
            <w:r>
              <w:rPr>
                <w:rFonts w:hint="eastAsia" w:ascii="仿宋_GB2312" w:hAnsi="仿宋_GB2312" w:eastAsia="仿宋_GB2312" w:cs="仿宋_GB2312"/>
              </w:rPr>
              <w:t>WS/T 566</w:t>
            </w:r>
            <w:bookmarkEnd w:id="17"/>
            <w:bookmarkEnd w:id="18"/>
            <w:r>
              <w:rPr>
                <w:rFonts w:hint="eastAsia" w:ascii="仿宋_GB2312" w:hAnsi="仿宋_GB2312" w:eastAsia="仿宋_GB2312" w:cs="仿宋_GB2312"/>
              </w:rPr>
              <w:t xml:space="preserve"> 片形吸虫病诊断</w:t>
            </w:r>
            <w:r>
              <w:rPr>
                <w:rFonts w:hint="eastAsia" w:ascii="仿宋_GB2312" w:hAnsi="仿宋_GB2312" w:eastAsia="仿宋_GB2312" w:cs="仿宋_GB2312"/>
                <w:lang w:eastAsia="zh-CN"/>
              </w:rPr>
              <w:t>、</w:t>
            </w:r>
            <w:r>
              <w:rPr>
                <w:rFonts w:hint="eastAsia" w:ascii="仿宋_GB2312" w:hAnsi="仿宋_GB2312" w:eastAsia="仿宋_GB2312" w:cs="仿宋_GB2312"/>
              </w:rPr>
              <w:t>中华人民共和国国务院令《兽药管理条例》</w:t>
            </w:r>
            <w:r>
              <w:rPr>
                <w:rFonts w:hint="eastAsia" w:ascii="仿宋_GB2312" w:hAnsi="仿宋_GB2312" w:eastAsia="仿宋_GB2312" w:cs="仿宋_GB2312"/>
                <w:lang w:eastAsia="zh-CN"/>
              </w:rPr>
              <w:t>、</w:t>
            </w:r>
            <w:r>
              <w:rPr>
                <w:rFonts w:hint="eastAsia" w:ascii="仿宋_GB2312" w:hAnsi="仿宋_GB2312" w:eastAsia="仿宋_GB2312" w:cs="仿宋_GB2312"/>
              </w:rPr>
              <w:t>中华人民共和国农业农村部《反刍动物产地检疫规程》（农牧发〔2023〕16号）</w:t>
            </w:r>
            <w:r>
              <w:rPr>
                <w:rFonts w:hint="eastAsia" w:ascii="仿宋_GB2312" w:hAnsi="仿宋_GB2312" w:eastAsia="仿宋_GB2312" w:cs="仿宋_GB2312"/>
                <w:lang w:eastAsia="zh-CN"/>
              </w:rPr>
              <w:t>、</w:t>
            </w:r>
            <w:bookmarkStart w:id="19" w:name="OLE_LINK26"/>
            <w:r>
              <w:rPr>
                <w:rFonts w:hint="eastAsia" w:ascii="仿宋_GB2312" w:hAnsi="仿宋_GB2312" w:eastAsia="仿宋_GB2312" w:cs="仿宋_GB2312"/>
              </w:rPr>
              <w:t>中华人民共和国农业农村部</w:t>
            </w:r>
            <w:r>
              <w:rPr>
                <w:rFonts w:hint="eastAsia" w:ascii="仿宋_GB2312" w:hAnsi="仿宋_GB2312" w:eastAsia="仿宋_GB2312" w:cs="仿宋_GB2312"/>
                <w:color w:val="000000" w:themeColor="text1"/>
                <w14:textFill>
                  <w14:solidFill>
                    <w14:schemeClr w14:val="tx1"/>
                  </w14:solidFill>
                </w14:textFill>
              </w:rPr>
              <w:t>《跨省调运乳用种用家畜产地检疫规程》（</w:t>
            </w:r>
            <w:r>
              <w:rPr>
                <w:rFonts w:hint="eastAsia" w:ascii="仿宋_GB2312" w:hAnsi="仿宋_GB2312" w:eastAsia="仿宋_GB2312" w:cs="仿宋_GB2312"/>
              </w:rPr>
              <w:t>农牧发〔2023〕16号）</w:t>
            </w:r>
            <w:r>
              <w:rPr>
                <w:rFonts w:hint="eastAsia" w:ascii="仿宋_GB2312" w:hAnsi="仿宋_GB2312" w:eastAsia="仿宋_GB2312" w:cs="仿宋_GB2312"/>
                <w:lang w:eastAsia="zh-CN"/>
              </w:rPr>
              <w:t>、</w:t>
            </w:r>
            <w:bookmarkEnd w:id="19"/>
            <w:r>
              <w:rPr>
                <w:rFonts w:hint="eastAsia" w:ascii="仿宋_GB2312" w:hAnsi="仿宋_GB2312" w:eastAsia="仿宋_GB2312" w:cs="仿宋_GB2312"/>
              </w:rPr>
              <w:t>中华人民共和国农业农村部《病死及病害动物无害化处理技术规范》（农医发〔2017〕25号）</w:t>
            </w:r>
            <w:r>
              <w:rPr>
                <w:rFonts w:hint="eastAsia" w:ascii="仿宋_GB2312" w:hAnsi="仿宋_GB2312" w:eastAsia="仿宋_GB2312" w:cs="仿宋_GB2312"/>
                <w:lang w:eastAsia="zh-CN"/>
              </w:rPr>
              <w:t>、</w:t>
            </w:r>
            <w:r>
              <w:rPr>
                <w:rFonts w:hint="eastAsia" w:ascii="仿宋_GB2312" w:hAnsi="仿宋_GB2312" w:eastAsia="仿宋_GB2312" w:cs="仿宋_GB2312"/>
              </w:rPr>
              <w:t>中华人民共和国农业农村部公告 第363号《中华人民共和国兽药典（2020版）》</w:t>
            </w:r>
            <w:r>
              <w:rPr>
                <w:rFonts w:hint="eastAsia" w:ascii="仿宋_GB2312" w:hAnsi="仿宋_GB2312" w:eastAsia="仿宋_GB2312" w:cs="仿宋_GB2312"/>
                <w:lang w:val="en-US" w:eastAsia="zh-CN"/>
              </w:rPr>
              <w:t>。”</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lang w:val="en-US" w:eastAsia="zh-CN"/>
              </w:rPr>
            </w:pPr>
            <w:bookmarkStart w:id="20" w:name="OLE_LINK2"/>
            <w:bookmarkStart w:id="21" w:name="OLE_LINK3"/>
            <w:r>
              <w:rPr>
                <w:rFonts w:hint="eastAsia" w:ascii="仿宋_GB2312" w:hAnsi="仿宋_GB2312" w:eastAsia="仿宋_GB2312" w:cs="仿宋_GB2312"/>
                <w:lang w:val="en-US" w:eastAsia="zh-CN"/>
              </w:rPr>
              <w:t>内蒙古农业大学/哈斯苏荣</w:t>
            </w:r>
          </w:p>
          <w:bookmarkEnd w:id="20"/>
          <w:p>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鄂尔多斯市动物疫病预防控制中心/杨波</w:t>
            </w:r>
            <w:bookmarkEnd w:id="21"/>
          </w:p>
        </w:tc>
        <w:tc>
          <w:tcPr>
            <w:tcW w:w="825" w:type="dxa"/>
            <w:tcBorders>
              <w:lef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采纳</w:t>
            </w:r>
          </w:p>
        </w:tc>
        <w:tc>
          <w:tcPr>
            <w:tcW w:w="623" w:type="dxa"/>
            <w:vAlign w:val="center"/>
          </w:tcPr>
          <w:p>
            <w:pPr>
              <w:keepNext w:val="0"/>
              <w:keepLines w:val="0"/>
              <w:pageBreakBefore w:val="0"/>
              <w:widowControl/>
              <w:kinsoku/>
              <w:wordWrap/>
              <w:overflowPunct/>
              <w:topLinePunct w:val="0"/>
              <w:autoSpaceDE w:val="0"/>
              <w:autoSpaceDN w:val="0"/>
              <w:bidi w:val="0"/>
              <w:adjustRightInd/>
              <w:snapToGrid/>
              <w:spacing w:line="400" w:lineRule="exact"/>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部分原规程已经作废，增加现行标准。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494" w:type="dxa"/>
            <w:tcBorders>
              <w:top w:val="single" w:color="auto" w:sz="4" w:space="0"/>
            </w:tcBorders>
            <w:vAlign w:val="center"/>
          </w:tcPr>
          <w:p>
            <w:pPr>
              <w:keepNext w:val="0"/>
              <w:keepLines w:val="0"/>
              <w:pageBreakBefore w:val="0"/>
              <w:kinsoku/>
              <w:wordWrap/>
              <w:overflowPunct/>
              <w:topLinePunct w:val="0"/>
              <w:bidi w:val="0"/>
              <w:adjustRightInd/>
              <w:spacing w:line="36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859" w:type="dxa"/>
            <w:tcBorders>
              <w:top w:val="single" w:color="auto" w:sz="4" w:space="0"/>
            </w:tcBorders>
            <w:vAlign w:val="center"/>
          </w:tcPr>
          <w:p>
            <w:pPr>
              <w:keepNext w:val="0"/>
              <w:keepLines w:val="0"/>
              <w:pageBreakBefore w:val="0"/>
              <w:kinsoku/>
              <w:wordWrap/>
              <w:overflowPunct/>
              <w:topLinePunct w:val="0"/>
              <w:bidi w:val="0"/>
              <w:adjustRightInd/>
              <w:spacing w:line="36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3新增内容</w:t>
            </w:r>
          </w:p>
        </w:tc>
        <w:tc>
          <w:tcPr>
            <w:tcW w:w="4721" w:type="dxa"/>
            <w:tcBorders>
              <w:top w:val="single" w:color="auto" w:sz="4" w:space="0"/>
              <w:right w:val="single" w:color="auto" w:sz="4" w:space="0"/>
            </w:tcBorders>
            <w:vAlign w:val="center"/>
          </w:tcPr>
          <w:p>
            <w:pPr>
              <w:pStyle w:val="12"/>
              <w:numPr>
                <w:ilvl w:val="1"/>
                <w:numId w:val="0"/>
              </w:numPr>
              <w:spacing w:before="312" w:after="312"/>
              <w:ind w:leftChars="0"/>
              <w:jc w:val="both"/>
              <w:rPr>
                <w:rFonts w:hint="eastAsia" w:ascii="仿宋_GB2312" w:hAnsi="仿宋_GB2312" w:eastAsia="仿宋_GB2312" w:cs="仿宋_GB2312"/>
              </w:rPr>
            </w:pPr>
            <w:r>
              <w:rPr>
                <w:rFonts w:hint="eastAsia" w:ascii="仿宋_GB2312" w:hAnsi="仿宋_GB2312" w:eastAsia="仿宋_GB2312" w:cs="仿宋_GB2312"/>
                <w:szCs w:val="21"/>
                <w:lang w:val="en-US" w:eastAsia="zh-CN"/>
              </w:rPr>
              <w:t>新增内容：</w:t>
            </w:r>
            <w:r>
              <w:rPr>
                <w:rFonts w:hint="eastAsia" w:ascii="仿宋_GB2312" w:hAnsi="仿宋_GB2312" w:eastAsia="仿宋_GB2312" w:cs="仿宋_GB2312"/>
                <w:szCs w:val="21"/>
              </w:rPr>
              <w:t>术语和定义</w:t>
            </w:r>
          </w:p>
          <w:p>
            <w:pPr>
              <w:keepNext w:val="0"/>
              <w:keepLines w:val="0"/>
              <w:pageBreakBefore w:val="0"/>
              <w:kinsoku/>
              <w:wordWrap/>
              <w:overflowPunct/>
              <w:topLinePunct w:val="0"/>
              <w:bidi w:val="0"/>
              <w:adjustRightInd/>
              <w:spacing w:line="360" w:lineRule="auto"/>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本文件没有需要界定的术语和定义</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鄂尔多斯市动物疫病预防控制中心/杨波</w:t>
            </w:r>
          </w:p>
        </w:tc>
        <w:tc>
          <w:tcPr>
            <w:tcW w:w="825" w:type="dxa"/>
            <w:tcBorders>
              <w:left w:val="single" w:color="auto" w:sz="4" w:space="0"/>
            </w:tcBorders>
            <w:vAlign w:val="center"/>
          </w:tcPr>
          <w:p>
            <w:pPr>
              <w:keepNext w:val="0"/>
              <w:keepLines w:val="0"/>
              <w:pageBreakBefore w:val="0"/>
              <w:kinsoku/>
              <w:wordWrap/>
              <w:overflowPunct/>
              <w:topLinePunct w:val="0"/>
              <w:bidi w:val="0"/>
              <w:adjustRightInd/>
              <w:spacing w:line="36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采纳</w:t>
            </w:r>
          </w:p>
        </w:tc>
        <w:tc>
          <w:tcPr>
            <w:tcW w:w="623" w:type="dxa"/>
            <w:vAlign w:val="center"/>
          </w:tcPr>
          <w:p>
            <w:pPr>
              <w:keepNext w:val="0"/>
              <w:keepLines w:val="0"/>
              <w:pageBreakBefore w:val="0"/>
              <w:kinsoku/>
              <w:wordWrap/>
              <w:overflowPunct/>
              <w:topLinePunct w:val="0"/>
              <w:bidi w:val="0"/>
              <w:adjustRightInd/>
              <w:spacing w:line="360" w:lineRule="auto"/>
              <w:jc w:val="both"/>
              <w:textAlignment w:val="auto"/>
              <w:rPr>
                <w:rFonts w:hint="eastAsia" w:ascii="仿宋_GB2312" w:hAnsi="仿宋_GB2312" w:eastAsia="仿宋_GB2312" w:cs="仿宋_GB2312"/>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494" w:type="dxa"/>
            <w:tcBorders>
              <w:top w:val="single" w:color="auto" w:sz="4" w:space="0"/>
            </w:tcBorders>
            <w:vAlign w:val="center"/>
          </w:tcPr>
          <w:p>
            <w:pPr>
              <w:keepNext w:val="0"/>
              <w:keepLines w:val="0"/>
              <w:pageBreakBefore w:val="0"/>
              <w:kinsoku/>
              <w:wordWrap/>
              <w:overflowPunct/>
              <w:topLinePunct w:val="0"/>
              <w:bidi w:val="0"/>
              <w:adjustRightInd/>
              <w:spacing w:line="36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p>
        </w:tc>
        <w:tc>
          <w:tcPr>
            <w:tcW w:w="859" w:type="dxa"/>
            <w:tcBorders>
              <w:top w:val="single" w:color="auto" w:sz="4" w:space="0"/>
            </w:tcBorders>
            <w:vAlign w:val="center"/>
          </w:tcPr>
          <w:p>
            <w:pPr>
              <w:keepNext w:val="0"/>
              <w:keepLines w:val="0"/>
              <w:pageBreakBefore w:val="0"/>
              <w:kinsoku/>
              <w:wordWrap/>
              <w:overflowPunct/>
              <w:topLinePunct w:val="0"/>
              <w:bidi w:val="0"/>
              <w:adjustRightInd/>
              <w:spacing w:line="36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新增</w:t>
            </w:r>
          </w:p>
        </w:tc>
        <w:tc>
          <w:tcPr>
            <w:tcW w:w="4721" w:type="dxa"/>
            <w:tcBorders>
              <w:top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新增序号变更，因新增3内容，之后</w:t>
            </w:r>
            <w:bookmarkStart w:id="30" w:name="_GoBack"/>
            <w:bookmarkEnd w:id="30"/>
            <w:r>
              <w:rPr>
                <w:rFonts w:hint="eastAsia" w:ascii="仿宋_GB2312" w:hAnsi="仿宋_GB2312" w:eastAsia="仿宋_GB2312" w:cs="仿宋_GB2312"/>
                <w:lang w:val="en-US" w:eastAsia="zh-CN"/>
              </w:rPr>
              <w:t>序号按顺序从4内容开始变更。</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鄂尔多斯市动物疫病预防控制中心/杨波</w:t>
            </w:r>
          </w:p>
        </w:tc>
        <w:tc>
          <w:tcPr>
            <w:tcW w:w="825" w:type="dxa"/>
            <w:tcBorders>
              <w:left w:val="single" w:color="auto" w:sz="4" w:space="0"/>
            </w:tcBorders>
            <w:vAlign w:val="center"/>
          </w:tcPr>
          <w:p>
            <w:pPr>
              <w:keepNext w:val="0"/>
              <w:keepLines w:val="0"/>
              <w:pageBreakBefore w:val="0"/>
              <w:kinsoku/>
              <w:wordWrap/>
              <w:overflowPunct/>
              <w:topLinePunct w:val="0"/>
              <w:bidi w:val="0"/>
              <w:adjustRightInd/>
              <w:spacing w:line="36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采纳</w:t>
            </w:r>
          </w:p>
        </w:tc>
        <w:tc>
          <w:tcPr>
            <w:tcW w:w="623" w:type="dxa"/>
            <w:vAlign w:val="center"/>
          </w:tcPr>
          <w:p>
            <w:pPr>
              <w:keepNext w:val="0"/>
              <w:keepLines w:val="0"/>
              <w:pageBreakBefore w:val="0"/>
              <w:kinsoku/>
              <w:wordWrap/>
              <w:overflowPunct/>
              <w:topLinePunct w:val="0"/>
              <w:bidi w:val="0"/>
              <w:adjustRightInd/>
              <w:spacing w:line="360" w:lineRule="auto"/>
              <w:jc w:val="both"/>
              <w:textAlignment w:val="auto"/>
              <w:rPr>
                <w:rFonts w:hint="eastAsia" w:ascii="仿宋_GB2312" w:hAnsi="仿宋_GB2312" w:eastAsia="仿宋_GB2312" w:cs="仿宋_GB2312"/>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494" w:type="dxa"/>
            <w:tcBorders>
              <w:top w:val="single" w:color="auto" w:sz="4" w:space="0"/>
            </w:tcBorders>
            <w:vAlign w:val="center"/>
          </w:tcPr>
          <w:p>
            <w:pPr>
              <w:keepNext w:val="0"/>
              <w:keepLines w:val="0"/>
              <w:pageBreakBefore w:val="0"/>
              <w:kinsoku/>
              <w:wordWrap/>
              <w:overflowPunct/>
              <w:topLinePunct w:val="0"/>
              <w:bidi w:val="0"/>
              <w:adjustRightInd/>
              <w:spacing w:line="36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w:t>
            </w:r>
          </w:p>
        </w:tc>
        <w:tc>
          <w:tcPr>
            <w:tcW w:w="859" w:type="dxa"/>
            <w:tcBorders>
              <w:top w:val="single" w:color="auto" w:sz="4" w:space="0"/>
            </w:tcBorders>
            <w:vAlign w:val="center"/>
          </w:tcPr>
          <w:p>
            <w:pPr>
              <w:keepNext w:val="0"/>
              <w:keepLines w:val="0"/>
              <w:pageBreakBefore w:val="0"/>
              <w:kinsoku/>
              <w:wordWrap/>
              <w:overflowPunct/>
              <w:topLinePunct w:val="0"/>
              <w:bidi w:val="0"/>
              <w:adjustRightInd/>
              <w:spacing w:line="36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4.1人员要求</w:t>
            </w:r>
          </w:p>
          <w:p>
            <w:pPr>
              <w:keepNext w:val="0"/>
              <w:keepLines w:val="0"/>
              <w:pageBreakBefore w:val="0"/>
              <w:kinsoku/>
              <w:wordWrap/>
              <w:overflowPunct/>
              <w:topLinePunct w:val="0"/>
              <w:bidi w:val="0"/>
              <w:adjustRightInd/>
              <w:spacing w:line="36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新增</w:t>
            </w:r>
          </w:p>
        </w:tc>
        <w:tc>
          <w:tcPr>
            <w:tcW w:w="4721" w:type="dxa"/>
            <w:tcBorders>
              <w:top w:val="single" w:color="auto" w:sz="4" w:space="0"/>
              <w:right w:val="single" w:color="auto" w:sz="4" w:space="0"/>
            </w:tcBorders>
            <w:vAlign w:val="center"/>
          </w:tcPr>
          <w:p>
            <w:pPr>
              <w:pStyle w:val="13"/>
              <w:numPr>
                <w:ilvl w:val="3"/>
                <w:numId w:val="0"/>
              </w:numPr>
              <w:ind w:leftChars="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原文：</w:t>
            </w:r>
            <w:r>
              <w:rPr>
                <w:rFonts w:hint="eastAsia" w:ascii="仿宋_GB2312" w:hAnsi="仿宋_GB2312" w:eastAsia="仿宋_GB2312" w:cs="仿宋_GB2312"/>
              </w:rPr>
              <w:t>防治人员须经兽医专业技术培训或获得执业兽医师资格证，持证上岗。</w:t>
            </w:r>
            <w:r>
              <w:rPr>
                <w:rFonts w:hint="eastAsia" w:ascii="仿宋_GB2312" w:hAnsi="仿宋_GB2312" w:eastAsia="仿宋_GB2312" w:cs="仿宋_GB2312"/>
                <w:lang w:val="en-US" w:eastAsia="zh-CN"/>
              </w:rPr>
              <w:t>严格执行</w:t>
            </w:r>
            <w:r>
              <w:rPr>
                <w:rFonts w:hint="eastAsia" w:ascii="仿宋_GB2312" w:hAnsi="仿宋_GB2312" w:eastAsia="仿宋_GB2312" w:cs="仿宋_GB2312"/>
              </w:rPr>
              <w:t>操作</w:t>
            </w:r>
            <w:r>
              <w:rPr>
                <w:rFonts w:hint="eastAsia" w:ascii="仿宋_GB2312" w:hAnsi="仿宋_GB2312" w:eastAsia="仿宋_GB2312" w:cs="仿宋_GB2312"/>
                <w:lang w:val="en-US" w:eastAsia="zh-CN"/>
              </w:rPr>
              <w:t>规范，</w:t>
            </w:r>
            <w:r>
              <w:rPr>
                <w:rFonts w:hint="eastAsia" w:ascii="仿宋_GB2312" w:hAnsi="仿宋_GB2312" w:eastAsia="仿宋_GB2312" w:cs="仿宋_GB2312"/>
              </w:rPr>
              <w:t>做好人畜防护安全工作</w:t>
            </w:r>
            <w:r>
              <w:rPr>
                <w:rFonts w:hint="eastAsia" w:ascii="仿宋_GB2312" w:hAnsi="仿宋_GB2312" w:eastAsia="仿宋_GB2312" w:cs="仿宋_GB2312"/>
                <w:lang w:eastAsia="zh-CN"/>
              </w:rPr>
              <w:t>，</w:t>
            </w:r>
            <w:r>
              <w:rPr>
                <w:rFonts w:hint="eastAsia" w:ascii="仿宋_GB2312" w:hAnsi="仿宋_GB2312" w:eastAsia="仿宋_GB2312" w:cs="仿宋_GB2312"/>
                <w:b/>
                <w:bCs/>
                <w:lang w:val="en-US" w:eastAsia="zh-CN"/>
              </w:rPr>
              <w:t>改为</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4.1.1</w:t>
            </w:r>
            <w:r>
              <w:rPr>
                <w:rFonts w:hint="eastAsia" w:ascii="仿宋_GB2312" w:hAnsi="仿宋_GB2312" w:eastAsia="仿宋_GB2312" w:cs="仿宋_GB2312"/>
              </w:rPr>
              <w:t>防治人员须经兽医专业技术培训或获得执业兽医师资格证，持证上岗。</w:t>
            </w:r>
            <w:r>
              <w:rPr>
                <w:rFonts w:hint="eastAsia" w:ascii="仿宋_GB2312" w:hAnsi="仿宋_GB2312" w:eastAsia="仿宋_GB2312" w:cs="仿宋_GB2312"/>
                <w:lang w:val="en-US" w:eastAsia="zh-CN"/>
              </w:rPr>
              <w:t>4.1.2</w:t>
            </w:r>
            <w:r>
              <w:rPr>
                <w:rFonts w:hint="eastAsia" w:ascii="仿宋_GB2312" w:hAnsi="仿宋_GB2312" w:eastAsia="仿宋_GB2312" w:cs="仿宋_GB2312"/>
              </w:rPr>
              <w:t>应按照 SN/T 4825和GB/T 19526的要求进行操作，做好人畜防护安全工作。</w:t>
            </w:r>
            <w:r>
              <w:rPr>
                <w:rFonts w:hint="eastAsia" w:ascii="仿宋_GB2312" w:hAnsi="仿宋_GB2312" w:eastAsia="仿宋_GB2312" w:cs="仿宋_GB2312"/>
                <w:lang w:eastAsia="zh-CN"/>
              </w:rPr>
              <w:t>”</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lang w:val="en-US" w:eastAsia="zh-CN"/>
              </w:rPr>
            </w:pPr>
            <w:bookmarkStart w:id="22" w:name="OLE_LINK7"/>
            <w:r>
              <w:rPr>
                <w:rFonts w:hint="eastAsia" w:ascii="仿宋_GB2312" w:hAnsi="仿宋_GB2312" w:eastAsia="仿宋_GB2312" w:cs="仿宋_GB2312"/>
                <w:lang w:val="en-US" w:eastAsia="zh-CN"/>
              </w:rPr>
              <w:t>乌审旗农牧局/额尔德尼布拉格</w:t>
            </w:r>
            <w:bookmarkEnd w:id="22"/>
          </w:p>
        </w:tc>
        <w:tc>
          <w:tcPr>
            <w:tcW w:w="825" w:type="dxa"/>
            <w:tcBorders>
              <w:lef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采纳</w:t>
            </w:r>
          </w:p>
        </w:tc>
        <w:tc>
          <w:tcPr>
            <w:tcW w:w="623" w:type="dxa"/>
            <w:vAlign w:val="center"/>
          </w:tcPr>
          <w:p>
            <w:pPr>
              <w:keepNext w:val="0"/>
              <w:keepLines w:val="0"/>
              <w:pageBreakBefore w:val="0"/>
              <w:kinsoku/>
              <w:wordWrap/>
              <w:overflowPunct/>
              <w:topLinePunct w:val="0"/>
              <w:bidi w:val="0"/>
              <w:adjustRightInd/>
              <w:spacing w:line="360" w:lineRule="auto"/>
              <w:jc w:val="both"/>
              <w:textAlignment w:val="auto"/>
              <w:rPr>
                <w:rFonts w:hint="eastAsia" w:ascii="仿宋_GB2312" w:hAnsi="仿宋_GB2312" w:eastAsia="仿宋_GB2312" w:cs="仿宋_GB2312"/>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494" w:type="dxa"/>
            <w:tcBorders>
              <w:top w:val="single" w:color="auto" w:sz="4" w:space="0"/>
            </w:tcBorders>
            <w:vAlign w:val="center"/>
          </w:tcPr>
          <w:p>
            <w:pPr>
              <w:keepNext w:val="0"/>
              <w:keepLines w:val="0"/>
              <w:pageBreakBefore w:val="0"/>
              <w:kinsoku/>
              <w:wordWrap/>
              <w:overflowPunct/>
              <w:topLinePunct w:val="0"/>
              <w:bidi w:val="0"/>
              <w:adjustRightInd/>
              <w:spacing w:line="36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w:t>
            </w:r>
          </w:p>
        </w:tc>
        <w:tc>
          <w:tcPr>
            <w:tcW w:w="859" w:type="dxa"/>
            <w:tcBorders>
              <w:top w:val="single" w:color="auto" w:sz="4" w:space="0"/>
            </w:tcBorders>
            <w:vAlign w:val="center"/>
          </w:tcPr>
          <w:p>
            <w:pPr>
              <w:keepNext w:val="0"/>
              <w:keepLines w:val="0"/>
              <w:pageBreakBefore w:val="0"/>
              <w:kinsoku/>
              <w:wordWrap/>
              <w:overflowPunct/>
              <w:topLinePunct w:val="0"/>
              <w:bidi w:val="0"/>
              <w:adjustRightInd/>
              <w:spacing w:line="36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4.3</w:t>
            </w:r>
          </w:p>
          <w:p>
            <w:pPr>
              <w:keepNext w:val="0"/>
              <w:keepLines w:val="0"/>
              <w:pageBreakBefore w:val="0"/>
              <w:kinsoku/>
              <w:wordWrap/>
              <w:overflowPunct/>
              <w:topLinePunct w:val="0"/>
              <w:bidi w:val="0"/>
              <w:adjustRightInd/>
              <w:spacing w:line="36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引进羊要求</w:t>
            </w:r>
          </w:p>
        </w:tc>
        <w:tc>
          <w:tcPr>
            <w:tcW w:w="4721" w:type="dxa"/>
            <w:tcBorders>
              <w:top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原文：“GB 16567的规定执行”</w:t>
            </w:r>
            <w:r>
              <w:rPr>
                <w:rFonts w:hint="eastAsia" w:ascii="仿宋_GB2312" w:hAnsi="仿宋_GB2312" w:eastAsia="仿宋_GB2312" w:cs="仿宋_GB2312"/>
                <w:b/>
                <w:bCs/>
                <w:lang w:val="en-US" w:eastAsia="zh-CN"/>
              </w:rPr>
              <w:t>改为</w:t>
            </w:r>
            <w:r>
              <w:rPr>
                <w:rFonts w:hint="eastAsia" w:ascii="仿宋_GB2312" w:hAnsi="仿宋_GB2312" w:eastAsia="仿宋_GB2312" w:cs="仿宋_GB2312"/>
                <w:lang w:val="en-US" w:eastAsia="zh-CN"/>
              </w:rPr>
              <w:t>“</w:t>
            </w:r>
            <w:r>
              <w:rPr>
                <w:rFonts w:hint="eastAsia" w:ascii="仿宋_GB2312" w:hAnsi="仿宋_GB2312" w:eastAsia="仿宋_GB2312" w:cs="仿宋_GB2312"/>
              </w:rPr>
              <w:t>《反刍动物产地检疫规程》和《跨省调运乳用种用家畜产地检疫规程》的规定执行</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鄂尔多斯市动物疫病预防控制中心/杨波</w:t>
            </w:r>
          </w:p>
        </w:tc>
        <w:tc>
          <w:tcPr>
            <w:tcW w:w="825" w:type="dxa"/>
            <w:tcBorders>
              <w:left w:val="single" w:color="auto" w:sz="4" w:space="0"/>
            </w:tcBorders>
            <w:vAlign w:val="center"/>
          </w:tcPr>
          <w:p>
            <w:pPr>
              <w:keepNext w:val="0"/>
              <w:keepLines w:val="0"/>
              <w:pageBreakBefore w:val="0"/>
              <w:kinsoku/>
              <w:wordWrap/>
              <w:overflowPunct/>
              <w:topLinePunct w:val="0"/>
              <w:bidi w:val="0"/>
              <w:adjustRightInd/>
              <w:spacing w:line="36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采纳</w:t>
            </w:r>
          </w:p>
        </w:tc>
        <w:tc>
          <w:tcPr>
            <w:tcW w:w="623" w:type="dxa"/>
            <w:vAlign w:val="center"/>
          </w:tcPr>
          <w:p>
            <w:pPr>
              <w:keepNext w:val="0"/>
              <w:keepLines w:val="0"/>
              <w:pageBreakBefore w:val="0"/>
              <w:kinsoku/>
              <w:wordWrap/>
              <w:overflowPunct/>
              <w:topLinePunct w:val="0"/>
              <w:bidi w:val="0"/>
              <w:adjustRightInd/>
              <w:spacing w:line="360" w:lineRule="auto"/>
              <w:jc w:val="both"/>
              <w:textAlignment w:val="auto"/>
              <w:rPr>
                <w:rFonts w:hint="eastAsia" w:ascii="仿宋_GB2312" w:hAnsi="仿宋_GB2312" w:eastAsia="仿宋_GB2312" w:cs="仿宋_GB2312"/>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494" w:type="dxa"/>
            <w:tcBorders>
              <w:top w:val="single" w:color="auto" w:sz="4" w:space="0"/>
            </w:tcBorders>
            <w:vAlign w:val="center"/>
          </w:tcPr>
          <w:p>
            <w:pPr>
              <w:keepNext w:val="0"/>
              <w:keepLines w:val="0"/>
              <w:pageBreakBefore w:val="0"/>
              <w:kinsoku/>
              <w:wordWrap/>
              <w:overflowPunct/>
              <w:topLinePunct w:val="0"/>
              <w:bidi w:val="0"/>
              <w:adjustRightInd/>
              <w:spacing w:line="36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w:t>
            </w:r>
          </w:p>
        </w:tc>
        <w:tc>
          <w:tcPr>
            <w:tcW w:w="859" w:type="dxa"/>
            <w:tcBorders>
              <w:top w:val="single" w:color="auto" w:sz="4" w:space="0"/>
            </w:tcBorders>
            <w:vAlign w:val="center"/>
          </w:tcPr>
          <w:p>
            <w:pPr>
              <w:keepNext w:val="0"/>
              <w:keepLines w:val="0"/>
              <w:pageBreakBefore w:val="0"/>
              <w:kinsoku/>
              <w:wordWrap/>
              <w:overflowPunct/>
              <w:topLinePunct w:val="0"/>
              <w:bidi w:val="0"/>
              <w:adjustRightInd/>
              <w:spacing w:line="36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5驱治</w:t>
            </w:r>
          </w:p>
        </w:tc>
        <w:tc>
          <w:tcPr>
            <w:tcW w:w="4721" w:type="dxa"/>
            <w:tcBorders>
              <w:top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原文“精准驱治”</w:t>
            </w:r>
            <w:r>
              <w:rPr>
                <w:rFonts w:hint="eastAsia" w:ascii="仿宋_GB2312" w:hAnsi="仿宋_GB2312" w:eastAsia="仿宋_GB2312" w:cs="仿宋_GB2312"/>
                <w:b/>
                <w:bCs/>
                <w:lang w:val="en-US" w:eastAsia="zh-CN"/>
              </w:rPr>
              <w:t>改为</w:t>
            </w:r>
            <w:r>
              <w:rPr>
                <w:rFonts w:hint="eastAsia" w:ascii="仿宋_GB2312" w:hAnsi="仿宋_GB2312" w:eastAsia="仿宋_GB2312" w:cs="仿宋_GB2312"/>
                <w:lang w:val="en-US" w:eastAsia="zh-CN"/>
              </w:rPr>
              <w:t>“驱治”</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图克镇综合保障与技术推广中心/米其德</w:t>
            </w:r>
          </w:p>
        </w:tc>
        <w:tc>
          <w:tcPr>
            <w:tcW w:w="825" w:type="dxa"/>
            <w:tcBorders>
              <w:lef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采纳</w:t>
            </w:r>
          </w:p>
        </w:tc>
        <w:tc>
          <w:tcPr>
            <w:tcW w:w="623" w:type="dxa"/>
            <w:vAlign w:val="center"/>
          </w:tcPr>
          <w:p>
            <w:pPr>
              <w:keepNext w:val="0"/>
              <w:keepLines w:val="0"/>
              <w:pageBreakBefore w:val="0"/>
              <w:kinsoku/>
              <w:wordWrap/>
              <w:overflowPunct/>
              <w:topLinePunct w:val="0"/>
              <w:bidi w:val="0"/>
              <w:adjustRightInd/>
              <w:spacing w:line="360" w:lineRule="auto"/>
              <w:jc w:val="both"/>
              <w:textAlignment w:val="auto"/>
              <w:rPr>
                <w:rFonts w:hint="eastAsia" w:ascii="仿宋_GB2312" w:hAnsi="仿宋_GB2312" w:eastAsia="仿宋_GB2312" w:cs="仿宋_GB2312"/>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494" w:type="dxa"/>
            <w:vAlign w:val="center"/>
          </w:tcPr>
          <w:p>
            <w:pPr>
              <w:keepNext w:val="0"/>
              <w:keepLines w:val="0"/>
              <w:pageBreakBefore w:val="0"/>
              <w:kinsoku/>
              <w:wordWrap/>
              <w:overflowPunct/>
              <w:topLinePunct w:val="0"/>
              <w:bidi w:val="0"/>
              <w:adjustRightInd/>
              <w:spacing w:line="36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w:t>
            </w:r>
          </w:p>
        </w:tc>
        <w:tc>
          <w:tcPr>
            <w:tcW w:w="859" w:type="dxa"/>
            <w:vAlign w:val="center"/>
          </w:tcPr>
          <w:p>
            <w:pPr>
              <w:keepNext w:val="0"/>
              <w:keepLines w:val="0"/>
              <w:pageBreakBefore w:val="0"/>
              <w:kinsoku/>
              <w:wordWrap/>
              <w:overflowPunct/>
              <w:topLinePunct w:val="0"/>
              <w:bidi w:val="0"/>
              <w:adjustRightInd/>
              <w:spacing w:line="36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5.2新增</w:t>
            </w:r>
          </w:p>
        </w:tc>
        <w:tc>
          <w:tcPr>
            <w:tcW w:w="4721" w:type="dxa"/>
            <w:tcBorders>
              <w:right w:val="single" w:color="auto" w:sz="4" w:space="0"/>
            </w:tcBorders>
            <w:vAlign w:val="center"/>
          </w:tcPr>
          <w:p>
            <w:pPr>
              <w:keepNext w:val="0"/>
              <w:keepLines w:val="0"/>
              <w:pageBreakBefore w:val="0"/>
              <w:kinsoku/>
              <w:wordWrap/>
              <w:overflowPunct/>
              <w:topLinePunct w:val="0"/>
              <w:bidi w:val="0"/>
              <w:adjustRightInd/>
              <w:snapToGrid/>
              <w:spacing w:line="400" w:lineRule="exact"/>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新增内容：按照</w:t>
            </w:r>
            <w:r>
              <w:rPr>
                <w:rFonts w:hint="eastAsia" w:ascii="仿宋_GB2312" w:hAnsi="仿宋_GB2312" w:eastAsia="仿宋_GB2312" w:cs="仿宋_GB2312"/>
              </w:rPr>
              <w:t>WS/T 566</w:t>
            </w:r>
            <w:r>
              <w:rPr>
                <w:rFonts w:hint="eastAsia" w:ascii="仿宋_GB2312" w:hAnsi="仿宋_GB2312" w:eastAsia="仿宋_GB2312" w:cs="仿宋_GB2312"/>
                <w:lang w:val="en-US" w:eastAsia="zh-CN"/>
              </w:rPr>
              <w:t>和</w:t>
            </w:r>
            <w:r>
              <w:rPr>
                <w:rFonts w:hint="eastAsia" w:ascii="仿宋_GB2312" w:hAnsi="仿宋_GB2312" w:eastAsia="仿宋_GB2312" w:cs="仿宋_GB2312"/>
              </w:rPr>
              <w:t>NY/T 1950</w:t>
            </w:r>
            <w:r>
              <w:rPr>
                <w:rFonts w:hint="eastAsia" w:ascii="仿宋_GB2312" w:hAnsi="仿宋_GB2312" w:eastAsia="仿宋_GB2312" w:cs="仿宋_GB2312"/>
                <w:lang w:val="en-US" w:eastAsia="zh-CN"/>
              </w:rPr>
              <w:t>的要求</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lang w:val="en-US" w:eastAsia="zh-CN"/>
              </w:rPr>
            </w:pPr>
            <w:bookmarkStart w:id="23" w:name="OLE_LINK1"/>
            <w:r>
              <w:rPr>
                <w:rFonts w:hint="eastAsia" w:ascii="仿宋_GB2312" w:hAnsi="仿宋_GB2312" w:eastAsia="仿宋_GB2312" w:cs="仿宋_GB2312"/>
                <w:lang w:val="en-US" w:eastAsia="zh-CN"/>
              </w:rPr>
              <w:t>鄂尔多斯市农牧业科学研究院/斯登丹巴</w:t>
            </w:r>
            <w:bookmarkEnd w:id="23"/>
          </w:p>
        </w:tc>
        <w:tc>
          <w:tcPr>
            <w:tcW w:w="825" w:type="dxa"/>
            <w:tcBorders>
              <w:lef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采纳</w:t>
            </w:r>
          </w:p>
        </w:tc>
        <w:tc>
          <w:tcPr>
            <w:tcW w:w="623" w:type="dxa"/>
            <w:vAlign w:val="center"/>
          </w:tcPr>
          <w:p>
            <w:pPr>
              <w:keepNext w:val="0"/>
              <w:keepLines w:val="0"/>
              <w:pageBreakBefore w:val="0"/>
              <w:kinsoku/>
              <w:wordWrap/>
              <w:overflowPunct/>
              <w:topLinePunct w:val="0"/>
              <w:bidi w:val="0"/>
              <w:adjustRightInd/>
              <w:spacing w:line="360" w:lineRule="auto"/>
              <w:jc w:val="both"/>
              <w:textAlignment w:val="auto"/>
              <w:rPr>
                <w:rFonts w:hint="eastAsia" w:ascii="仿宋_GB2312" w:hAnsi="仿宋_GB2312" w:eastAsia="仿宋_GB2312" w:cs="仿宋_GB2312"/>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494" w:type="dxa"/>
            <w:vAlign w:val="center"/>
          </w:tcPr>
          <w:p>
            <w:pPr>
              <w:keepNext w:val="0"/>
              <w:keepLines w:val="0"/>
              <w:pageBreakBefore w:val="0"/>
              <w:kinsoku/>
              <w:wordWrap/>
              <w:overflowPunct/>
              <w:topLinePunct w:val="0"/>
              <w:bidi w:val="0"/>
              <w:adjustRightInd/>
              <w:spacing w:line="36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w:t>
            </w:r>
          </w:p>
        </w:tc>
        <w:tc>
          <w:tcPr>
            <w:tcW w:w="859" w:type="dxa"/>
            <w:vAlign w:val="center"/>
          </w:tcPr>
          <w:p>
            <w:pPr>
              <w:keepNext w:val="0"/>
              <w:keepLines w:val="0"/>
              <w:pageBreakBefore w:val="0"/>
              <w:kinsoku/>
              <w:wordWrap/>
              <w:overflowPunct/>
              <w:topLinePunct w:val="0"/>
              <w:bidi w:val="0"/>
              <w:adjustRightInd/>
              <w:spacing w:line="36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5.3药物使用原则</w:t>
            </w:r>
          </w:p>
        </w:tc>
        <w:tc>
          <w:tcPr>
            <w:tcW w:w="4721" w:type="dxa"/>
            <w:tcBorders>
              <w:right w:val="single" w:color="auto" w:sz="4" w:space="0"/>
            </w:tcBorders>
            <w:vAlign w:val="center"/>
          </w:tcPr>
          <w:p>
            <w:pPr>
              <w:pStyle w:val="13"/>
              <w:numPr>
                <w:ilvl w:val="3"/>
                <w:numId w:val="0"/>
              </w:numPr>
              <w:ind w:leftChars="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原文：“</w:t>
            </w:r>
            <w:bookmarkStart w:id="24" w:name="OLE_LINK10"/>
            <w:r>
              <w:rPr>
                <w:rFonts w:hint="eastAsia" w:ascii="仿宋_GB2312" w:hAnsi="仿宋_GB2312" w:eastAsia="仿宋_GB2312" w:cs="仿宋_GB2312"/>
                <w:color w:val="0D0D0D"/>
                <w:kern w:val="0"/>
                <w:sz w:val="21"/>
                <w:szCs w:val="20"/>
                <w:lang w:val="en-US" w:eastAsia="zh-CN" w:bidi="ar-SA"/>
              </w:rPr>
              <w:t>药物的使用必须符合《中华人民共和国兽药典》、《中华人民共和国兽药规范》、《兽药质量标准》（第一册、第二册）、《进口兽药质量标准》的相关规定。</w:t>
            </w:r>
            <w:bookmarkEnd w:id="24"/>
            <w:r>
              <w:rPr>
                <w:rFonts w:hint="eastAsia" w:ascii="仿宋_GB2312" w:hAnsi="仿宋_GB2312" w:eastAsia="仿宋_GB2312" w:cs="仿宋_GB2312"/>
                <w:color w:val="0D0D0D"/>
                <w:kern w:val="0"/>
                <w:sz w:val="21"/>
                <w:szCs w:val="20"/>
                <w:lang w:val="en-US" w:eastAsia="zh-CN" w:bidi="ar-SA"/>
              </w:rPr>
              <w:t>所用兽药必须来自具有《兽药生产许可证》和产品批准文号的生产企业，或者具有《进口兽药许可证》的供应商。所用兽药的标签应符合《兽药管理条例》的规定。</w:t>
            </w:r>
            <w:r>
              <w:rPr>
                <w:rFonts w:hint="eastAsia" w:ascii="仿宋_GB2312" w:hAnsi="仿宋_GB2312" w:eastAsia="仿宋_GB2312" w:cs="仿宋_GB2312"/>
                <w:lang w:val="en-US" w:eastAsia="zh-CN"/>
              </w:rPr>
              <w:t>”</w:t>
            </w:r>
            <w:r>
              <w:rPr>
                <w:rFonts w:hint="eastAsia" w:ascii="仿宋_GB2312" w:hAnsi="仿宋_GB2312" w:eastAsia="仿宋_GB2312" w:cs="仿宋_GB2312"/>
                <w:b/>
                <w:bCs/>
                <w:lang w:val="en-US" w:eastAsia="zh-CN"/>
              </w:rPr>
              <w:t>改为</w:t>
            </w:r>
            <w:r>
              <w:rPr>
                <w:rFonts w:hint="eastAsia" w:ascii="仿宋_GB2312" w:hAnsi="仿宋_GB2312" w:eastAsia="仿宋_GB2312" w:cs="仿宋_GB2312"/>
                <w:lang w:val="en-US" w:eastAsia="zh-CN"/>
              </w:rPr>
              <w:t>“</w:t>
            </w:r>
            <w:r>
              <w:rPr>
                <w:rFonts w:hint="eastAsia" w:ascii="仿宋_GB2312" w:hAnsi="仿宋_GB2312" w:eastAsia="仿宋_GB2312" w:cs="仿宋_GB2312"/>
              </w:rPr>
              <w:t>药物的使用应符合《中华人民共和国兽药典（2020版）》的规定。所用兽药必须来自具有《兽药生产许可证》和产品批准文号的生产企业，或者具有《进口兽药许可证》的供应商。</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和“</w:t>
            </w:r>
            <w:r>
              <w:rPr>
                <w:rFonts w:hint="eastAsia" w:ascii="仿宋_GB2312" w:hAnsi="仿宋_GB2312" w:eastAsia="仿宋_GB2312" w:cs="仿宋_GB2312"/>
              </w:rPr>
              <w:t>所用兽药的标签应符合《兽药管理条例》的规定。</w:t>
            </w:r>
            <w:r>
              <w:rPr>
                <w:rFonts w:hint="eastAsia" w:ascii="仿宋_GB2312" w:hAnsi="仿宋_GB2312" w:eastAsia="仿宋_GB2312" w:cs="仿宋_GB2312"/>
                <w:lang w:val="en-US" w:eastAsia="zh-CN"/>
              </w:rPr>
              <w:t>”</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lang w:val="en-US" w:eastAsia="zh-CN"/>
              </w:rPr>
            </w:pPr>
            <w:bookmarkStart w:id="25" w:name="OLE_LINK9"/>
            <w:r>
              <w:rPr>
                <w:rFonts w:hint="eastAsia" w:ascii="仿宋_GB2312" w:hAnsi="仿宋_GB2312" w:eastAsia="仿宋_GB2312" w:cs="仿宋_GB2312"/>
                <w:lang w:val="en-US" w:eastAsia="zh-CN"/>
              </w:rPr>
              <w:t>鄂尔多斯市农牧业科学研究院/斯登丹巴</w:t>
            </w:r>
            <w:bookmarkEnd w:id="25"/>
          </w:p>
        </w:tc>
        <w:tc>
          <w:tcPr>
            <w:tcW w:w="825" w:type="dxa"/>
            <w:tcBorders>
              <w:lef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采纳</w:t>
            </w:r>
          </w:p>
        </w:tc>
        <w:tc>
          <w:tcPr>
            <w:tcW w:w="623" w:type="dxa"/>
            <w:vAlign w:val="center"/>
          </w:tcPr>
          <w:p>
            <w:pPr>
              <w:keepNext w:val="0"/>
              <w:keepLines w:val="0"/>
              <w:pageBreakBefore w:val="0"/>
              <w:kinsoku/>
              <w:wordWrap/>
              <w:overflowPunct/>
              <w:topLinePunct w:val="0"/>
              <w:bidi w:val="0"/>
              <w:adjustRightInd/>
              <w:spacing w:line="360" w:lineRule="auto"/>
              <w:jc w:val="both"/>
              <w:textAlignment w:val="auto"/>
              <w:rPr>
                <w:rFonts w:hint="eastAsia" w:ascii="仿宋_GB2312" w:hAnsi="仿宋_GB2312" w:eastAsia="仿宋_GB2312" w:cs="仿宋_GB2312"/>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7" w:hRule="atLeast"/>
        </w:trPr>
        <w:tc>
          <w:tcPr>
            <w:tcW w:w="494" w:type="dxa"/>
            <w:vAlign w:val="center"/>
          </w:tcPr>
          <w:p>
            <w:pPr>
              <w:keepNext w:val="0"/>
              <w:keepLines w:val="0"/>
              <w:pageBreakBefore w:val="0"/>
              <w:kinsoku/>
              <w:wordWrap/>
              <w:overflowPunct/>
              <w:topLinePunct w:val="0"/>
              <w:bidi w:val="0"/>
              <w:adjustRightInd/>
              <w:spacing w:line="36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11</w:t>
            </w:r>
          </w:p>
        </w:tc>
        <w:tc>
          <w:tcPr>
            <w:tcW w:w="859" w:type="dxa"/>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5.3.3</w:t>
            </w:r>
          </w:p>
        </w:tc>
        <w:tc>
          <w:tcPr>
            <w:tcW w:w="4721" w:type="dxa"/>
            <w:tcBorders>
              <w:right w:val="single" w:color="auto" w:sz="4" w:space="0"/>
            </w:tcBorders>
            <w:vAlign w:val="center"/>
          </w:tcPr>
          <w:p>
            <w:pPr>
              <w:pStyle w:val="13"/>
              <w:numPr>
                <w:ilvl w:val="3"/>
                <w:numId w:val="0"/>
              </w:numPr>
              <w:ind w:leftChars="0"/>
              <w:jc w:val="both"/>
              <w:rPr>
                <w:rFonts w:hint="eastAsia" w:ascii="仿宋_GB2312" w:hAnsi="仿宋_GB2312" w:eastAsia="仿宋_GB2312" w:cs="仿宋_GB2312"/>
                <w:lang w:val="en-US" w:eastAsia="zh-CN"/>
              </w:rPr>
            </w:pPr>
            <w:r>
              <w:rPr>
                <w:rFonts w:hint="eastAsia" w:ascii="仿宋_GB2312" w:hAnsi="仿宋_GB2312" w:eastAsia="仿宋_GB2312" w:cs="仿宋_GB2312"/>
                <w:color w:val="auto"/>
                <w:sz w:val="21"/>
                <w:szCs w:val="21"/>
                <w:lang w:val="en-US" w:eastAsia="zh-CN"/>
              </w:rPr>
              <w:t>原文：“药物应选择高效、安全的驱虫药，允许使用硝氯酚、三氯苯达唑、碘醚柳胺、氯氰碘柳胺钠等抗吸虫药”</w:t>
            </w:r>
            <w:r>
              <w:rPr>
                <w:rFonts w:hint="eastAsia" w:ascii="仿宋_GB2312" w:hAnsi="仿宋_GB2312" w:eastAsia="仿宋_GB2312" w:cs="仿宋_GB2312"/>
                <w:b/>
                <w:bCs/>
                <w:color w:val="auto"/>
                <w:sz w:val="21"/>
                <w:szCs w:val="21"/>
                <w:lang w:val="en-US" w:eastAsia="zh-CN"/>
              </w:rPr>
              <w:t>改为</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rPr>
              <w:t>药物应选择高效、安全的驱虫药，允许使用氯氰碘柳胺钠、硝碘酚腈、左旋咪唑、阿维菌素、伊维菌素、多拉菌素、埃谱利诺菌素、阿苯达唑、芬苯达唑等抗吸虫药。加强对驱虫药药效的检测，提高防治效果。</w:t>
            </w:r>
            <w:r>
              <w:rPr>
                <w:rFonts w:hint="eastAsia" w:ascii="仿宋_GB2312" w:hAnsi="仿宋_GB2312" w:eastAsia="仿宋_GB2312" w:cs="仿宋_GB2312"/>
                <w:lang w:eastAsia="zh-CN"/>
              </w:rPr>
              <w:t>”</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内蒙古农业大学/哈斯苏荣</w:t>
            </w:r>
          </w:p>
          <w:p>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lang w:val="en-US" w:eastAsia="zh-CN"/>
              </w:rPr>
            </w:pPr>
          </w:p>
        </w:tc>
        <w:tc>
          <w:tcPr>
            <w:tcW w:w="825" w:type="dxa"/>
            <w:tcBorders>
              <w:lef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采纳</w:t>
            </w:r>
          </w:p>
        </w:tc>
        <w:tc>
          <w:tcPr>
            <w:tcW w:w="623" w:type="dxa"/>
            <w:vAlign w:val="center"/>
          </w:tcPr>
          <w:p>
            <w:pPr>
              <w:keepNext w:val="0"/>
              <w:keepLines w:val="0"/>
              <w:pageBreakBefore w:val="0"/>
              <w:kinsoku/>
              <w:wordWrap/>
              <w:overflowPunct/>
              <w:topLinePunct w:val="0"/>
              <w:bidi w:val="0"/>
              <w:adjustRightInd/>
              <w:spacing w:line="360" w:lineRule="auto"/>
              <w:jc w:val="both"/>
              <w:textAlignment w:val="auto"/>
              <w:rPr>
                <w:rFonts w:hint="eastAsia" w:ascii="仿宋_GB2312" w:hAnsi="仿宋_GB2312" w:eastAsia="仿宋_GB2312" w:cs="仿宋_GB2312"/>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7" w:hRule="atLeast"/>
        </w:trPr>
        <w:tc>
          <w:tcPr>
            <w:tcW w:w="494" w:type="dxa"/>
            <w:vAlign w:val="center"/>
          </w:tcPr>
          <w:p>
            <w:pPr>
              <w:keepNext w:val="0"/>
              <w:keepLines w:val="0"/>
              <w:pageBreakBefore w:val="0"/>
              <w:kinsoku/>
              <w:wordWrap/>
              <w:overflowPunct/>
              <w:topLinePunct w:val="0"/>
              <w:bidi w:val="0"/>
              <w:adjustRightInd/>
              <w:spacing w:line="36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12</w:t>
            </w:r>
          </w:p>
        </w:tc>
        <w:tc>
          <w:tcPr>
            <w:tcW w:w="859" w:type="dxa"/>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5.4驱治时间</w:t>
            </w:r>
          </w:p>
        </w:tc>
        <w:tc>
          <w:tcPr>
            <w:tcW w:w="4721" w:type="dxa"/>
            <w:tcBorders>
              <w:right w:val="single" w:color="auto" w:sz="4" w:space="0"/>
            </w:tcBorders>
            <w:vAlign w:val="center"/>
          </w:tcPr>
          <w:p>
            <w:pPr>
              <w:pStyle w:val="13"/>
              <w:numPr>
                <w:ilvl w:val="3"/>
                <w:numId w:val="0"/>
              </w:numPr>
              <w:ind w:leftChars="0"/>
              <w:jc w:val="both"/>
              <w:rPr>
                <w:rFonts w:hint="eastAsia" w:ascii="仿宋_GB2312" w:hAnsi="仿宋_GB2312" w:eastAsia="仿宋_GB2312" w:cs="仿宋_GB2312"/>
                <w:lang w:val="en-US" w:eastAsia="zh-CN"/>
              </w:rPr>
            </w:pPr>
            <w:r>
              <w:rPr>
                <w:rFonts w:hint="eastAsia" w:ascii="仿宋_GB2312" w:hAnsi="仿宋_GB2312" w:eastAsia="仿宋_GB2312" w:cs="仿宋_GB2312"/>
                <w:color w:val="auto"/>
                <w:sz w:val="21"/>
                <w:szCs w:val="21"/>
                <w:lang w:val="en-US" w:eastAsia="zh-CN"/>
              </w:rPr>
              <w:t>原文“根据片形吸虫病的流行规律和羊群的实际感染情况与诊断结果，开展驱虫工作。对急性肝片吸虫病，应及时予以诊断和合理治疗，于夏末初秋驱虫；对于慢性肝片吸虫病，第一次驱虫于初冬季节，第二次驱虫于春季，可达到良好的效果。”</w:t>
            </w:r>
            <w:r>
              <w:rPr>
                <w:rFonts w:hint="eastAsia" w:ascii="仿宋_GB2312" w:hAnsi="仿宋_GB2312" w:eastAsia="仿宋_GB2312" w:cs="仿宋_GB2312"/>
                <w:b/>
                <w:bCs/>
                <w:color w:val="auto"/>
                <w:sz w:val="21"/>
                <w:szCs w:val="21"/>
                <w:lang w:val="en-US" w:eastAsia="zh-CN"/>
              </w:rPr>
              <w:t>改为</w:t>
            </w:r>
            <w:r>
              <w:rPr>
                <w:rFonts w:hint="eastAsia" w:ascii="仿宋_GB2312" w:hAnsi="仿宋_GB2312" w:eastAsia="仿宋_GB2312" w:cs="仿宋_GB2312"/>
                <w:color w:val="auto"/>
                <w:sz w:val="21"/>
                <w:szCs w:val="21"/>
                <w:lang w:val="en-US" w:eastAsia="zh-CN"/>
              </w:rPr>
              <w:t>“5.4.1</w:t>
            </w:r>
            <w:r>
              <w:rPr>
                <w:rFonts w:hint="eastAsia" w:ascii="仿宋_GB2312" w:hAnsi="仿宋_GB2312" w:eastAsia="仿宋_GB2312" w:cs="仿宋_GB2312"/>
              </w:rPr>
              <w:t>根据片形吸虫病的流行规律和羊群的实际感染情况与诊断结果，开展驱虫工作。对急性肝片吸虫病，应及时予以诊断和合理治疗，于夏末秋初驱虫。</w:t>
            </w:r>
            <w:r>
              <w:rPr>
                <w:rFonts w:hint="eastAsia" w:ascii="仿宋_GB2312" w:hAnsi="仿宋_GB2312" w:eastAsia="仿宋_GB2312" w:cs="仿宋_GB2312"/>
                <w:lang w:val="en-US" w:eastAsia="zh-CN"/>
              </w:rPr>
              <w:t>5.4.2</w:t>
            </w:r>
            <w:r>
              <w:rPr>
                <w:rFonts w:hint="eastAsia" w:ascii="仿宋_GB2312" w:hAnsi="仿宋_GB2312" w:eastAsia="仿宋_GB2312" w:cs="仿宋_GB2312"/>
              </w:rPr>
              <w:t>对于慢性肝片吸虫病，第一次驱虫于初冬季节，第二次驱虫于春季，可达到良好的效果。</w:t>
            </w:r>
            <w:r>
              <w:rPr>
                <w:rFonts w:hint="eastAsia" w:ascii="仿宋_GB2312" w:hAnsi="仿宋_GB2312" w:eastAsia="仿宋_GB2312" w:cs="仿宋_GB2312"/>
                <w:lang w:eastAsia="zh-CN"/>
              </w:rPr>
              <w:t>”</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乌审旗农牧局/额尔德尼布拉格</w:t>
            </w:r>
          </w:p>
        </w:tc>
        <w:tc>
          <w:tcPr>
            <w:tcW w:w="825" w:type="dxa"/>
            <w:tcBorders>
              <w:lef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采纳</w:t>
            </w:r>
          </w:p>
        </w:tc>
        <w:tc>
          <w:tcPr>
            <w:tcW w:w="623" w:type="dxa"/>
            <w:vAlign w:val="center"/>
          </w:tcPr>
          <w:p>
            <w:pPr>
              <w:keepNext w:val="0"/>
              <w:keepLines w:val="0"/>
              <w:pageBreakBefore w:val="0"/>
              <w:kinsoku/>
              <w:wordWrap/>
              <w:overflowPunct/>
              <w:topLinePunct w:val="0"/>
              <w:bidi w:val="0"/>
              <w:adjustRightInd/>
              <w:spacing w:line="360" w:lineRule="auto"/>
              <w:jc w:val="both"/>
              <w:textAlignment w:val="auto"/>
              <w:rPr>
                <w:rFonts w:hint="eastAsia" w:ascii="仿宋_GB2312" w:hAnsi="仿宋_GB2312" w:eastAsia="仿宋_GB2312" w:cs="仿宋_GB2312"/>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7" w:hRule="atLeast"/>
        </w:trPr>
        <w:tc>
          <w:tcPr>
            <w:tcW w:w="494" w:type="dxa"/>
            <w:vAlign w:val="center"/>
          </w:tcPr>
          <w:p>
            <w:pPr>
              <w:keepNext w:val="0"/>
              <w:keepLines w:val="0"/>
              <w:pageBreakBefore w:val="0"/>
              <w:kinsoku/>
              <w:wordWrap/>
              <w:overflowPunct/>
              <w:topLinePunct w:val="0"/>
              <w:bidi w:val="0"/>
              <w:adjustRightInd/>
              <w:spacing w:line="36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13</w:t>
            </w:r>
          </w:p>
        </w:tc>
        <w:tc>
          <w:tcPr>
            <w:tcW w:w="859" w:type="dxa"/>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5.5.3</w:t>
            </w:r>
          </w:p>
        </w:tc>
        <w:tc>
          <w:tcPr>
            <w:tcW w:w="4721" w:type="dxa"/>
            <w:tcBorders>
              <w:right w:val="single" w:color="auto" w:sz="4" w:space="0"/>
            </w:tcBorders>
            <w:vAlign w:val="center"/>
          </w:tcPr>
          <w:p>
            <w:pPr>
              <w:pStyle w:val="13"/>
              <w:numPr>
                <w:ilvl w:val="3"/>
                <w:numId w:val="0"/>
              </w:numPr>
              <w:ind w:leftChars="0"/>
              <w:jc w:val="both"/>
              <w:rPr>
                <w:rFonts w:hint="eastAsia" w:ascii="仿宋_GB2312" w:hAnsi="仿宋_GB2312" w:eastAsia="仿宋_GB2312" w:cs="仿宋_GB2312"/>
              </w:rPr>
            </w:pPr>
            <w:r>
              <w:rPr>
                <w:rFonts w:hint="eastAsia" w:ascii="仿宋_GB2312" w:hAnsi="仿宋_GB2312" w:eastAsia="仿宋_GB2312" w:cs="仿宋_GB2312"/>
                <w:lang w:val="en-US" w:eastAsia="zh-CN"/>
              </w:rPr>
              <w:t>新增内容：</w:t>
            </w:r>
            <w:r>
              <w:rPr>
                <w:rFonts w:hint="eastAsia" w:ascii="仿宋_GB2312" w:hAnsi="仿宋_GB2312" w:eastAsia="仿宋_GB2312" w:cs="仿宋_GB2312"/>
              </w:rPr>
              <w:t>定期接种梭菌病疫苗：羊快疫、羊肠毒血症、羊猝疽、羊黑疫、羔羊痢疾等梭菌病的发生与感染肝片吸虫病密切相关，在发生片形吸虫病的地区，需每年6月初接种三联四防疫苗或六联疫苗。</w:t>
            </w:r>
          </w:p>
          <w:p>
            <w:pPr>
              <w:keepNext w:val="0"/>
              <w:keepLines w:val="0"/>
              <w:pageBreakBefore w:val="0"/>
              <w:kinsoku/>
              <w:wordWrap/>
              <w:overflowPunct/>
              <w:topLinePunct w:val="0"/>
              <w:bidi w:val="0"/>
              <w:adjustRightInd/>
              <w:snapToGrid/>
              <w:spacing w:line="400" w:lineRule="exact"/>
              <w:jc w:val="both"/>
              <w:textAlignment w:val="auto"/>
              <w:rPr>
                <w:rFonts w:hint="eastAsia" w:ascii="仿宋_GB2312" w:hAnsi="仿宋_GB2312" w:eastAsia="仿宋_GB2312" w:cs="仿宋_GB2312"/>
                <w:lang w:val="en-US" w:eastAsia="zh-CN"/>
              </w:rPr>
            </w:pP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乌审旗农牧局/额尔德尼布拉格</w:t>
            </w:r>
          </w:p>
        </w:tc>
        <w:tc>
          <w:tcPr>
            <w:tcW w:w="825" w:type="dxa"/>
            <w:tcBorders>
              <w:lef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采纳</w:t>
            </w:r>
          </w:p>
        </w:tc>
        <w:tc>
          <w:tcPr>
            <w:tcW w:w="623" w:type="dxa"/>
            <w:vAlign w:val="center"/>
          </w:tcPr>
          <w:p>
            <w:pPr>
              <w:keepNext w:val="0"/>
              <w:keepLines w:val="0"/>
              <w:pageBreakBefore w:val="0"/>
              <w:kinsoku/>
              <w:wordWrap/>
              <w:overflowPunct/>
              <w:topLinePunct w:val="0"/>
              <w:bidi w:val="0"/>
              <w:adjustRightInd/>
              <w:spacing w:line="360" w:lineRule="auto"/>
              <w:jc w:val="both"/>
              <w:textAlignment w:val="auto"/>
              <w:rPr>
                <w:rFonts w:hint="eastAsia" w:ascii="仿宋_GB2312" w:hAnsi="仿宋_GB2312" w:eastAsia="仿宋_GB2312" w:cs="仿宋_GB2312"/>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7" w:hRule="atLeast"/>
        </w:trPr>
        <w:tc>
          <w:tcPr>
            <w:tcW w:w="494" w:type="dxa"/>
            <w:vAlign w:val="center"/>
          </w:tcPr>
          <w:p>
            <w:pPr>
              <w:keepNext w:val="0"/>
              <w:keepLines w:val="0"/>
              <w:pageBreakBefore w:val="0"/>
              <w:kinsoku/>
              <w:wordWrap/>
              <w:overflowPunct/>
              <w:topLinePunct w:val="0"/>
              <w:bidi w:val="0"/>
              <w:adjustRightInd/>
              <w:spacing w:line="36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14</w:t>
            </w:r>
          </w:p>
        </w:tc>
        <w:tc>
          <w:tcPr>
            <w:tcW w:w="859" w:type="dxa"/>
            <w:vAlign w:val="center"/>
          </w:tcPr>
          <w:p>
            <w:pPr>
              <w:keepNext w:val="0"/>
              <w:keepLines w:val="0"/>
              <w:pageBreakBefore w:val="0"/>
              <w:kinsoku/>
              <w:wordWrap/>
              <w:overflowPunct/>
              <w:topLinePunct w:val="0"/>
              <w:bidi w:val="0"/>
              <w:adjustRightInd/>
              <w:spacing w:line="36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5.6   驱治密度</w:t>
            </w:r>
          </w:p>
          <w:p>
            <w:pPr>
              <w:keepNext w:val="0"/>
              <w:keepLines w:val="0"/>
              <w:pageBreakBefore w:val="0"/>
              <w:kinsoku/>
              <w:wordWrap/>
              <w:overflowPunct/>
              <w:topLinePunct w:val="0"/>
              <w:bidi w:val="0"/>
              <w:adjustRightInd/>
              <w:spacing w:line="360" w:lineRule="auto"/>
              <w:jc w:val="center"/>
              <w:textAlignment w:val="auto"/>
              <w:rPr>
                <w:rFonts w:hint="eastAsia" w:ascii="仿宋_GB2312" w:hAnsi="仿宋_GB2312" w:eastAsia="仿宋_GB2312" w:cs="仿宋_GB2312"/>
                <w:lang w:val="en-US" w:eastAsia="zh-CN"/>
              </w:rPr>
            </w:pPr>
          </w:p>
        </w:tc>
        <w:tc>
          <w:tcPr>
            <w:tcW w:w="4721" w:type="dxa"/>
            <w:tcBorders>
              <w:right w:val="single" w:color="auto" w:sz="4" w:space="0"/>
            </w:tcBorders>
            <w:vAlign w:val="center"/>
          </w:tcPr>
          <w:p>
            <w:pPr>
              <w:keepNext w:val="0"/>
              <w:keepLines w:val="0"/>
              <w:pageBreakBefore w:val="0"/>
              <w:kinsoku/>
              <w:wordWrap/>
              <w:overflowPunct/>
              <w:topLinePunct w:val="0"/>
              <w:bidi w:val="0"/>
              <w:adjustRightInd/>
              <w:spacing w:line="360" w:lineRule="auto"/>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原文“不漏驱分散牛羊”</w:t>
            </w:r>
            <w:r>
              <w:rPr>
                <w:rFonts w:hint="eastAsia" w:ascii="仿宋_GB2312" w:hAnsi="仿宋_GB2312" w:eastAsia="仿宋_GB2312" w:cs="仿宋_GB2312"/>
                <w:b/>
                <w:bCs/>
                <w:lang w:val="en-US" w:eastAsia="zh-CN"/>
              </w:rPr>
              <w:t>改为</w:t>
            </w:r>
            <w:r>
              <w:rPr>
                <w:rFonts w:hint="eastAsia" w:ascii="仿宋_GB2312" w:hAnsi="仿宋_GB2312" w:eastAsia="仿宋_GB2312" w:cs="仿宋_GB2312"/>
                <w:lang w:val="en-US" w:eastAsia="zh-CN"/>
              </w:rPr>
              <w:t>“不漏驱治分散羊。”</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lang w:val="en-US" w:eastAsia="zh-CN"/>
              </w:rPr>
              <w:t>乌审旗畜康兽医合作社/冯振国</w:t>
            </w:r>
          </w:p>
        </w:tc>
        <w:tc>
          <w:tcPr>
            <w:tcW w:w="825" w:type="dxa"/>
            <w:tcBorders>
              <w:lef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采纳</w:t>
            </w:r>
          </w:p>
        </w:tc>
        <w:tc>
          <w:tcPr>
            <w:tcW w:w="623" w:type="dxa"/>
            <w:vAlign w:val="center"/>
          </w:tcPr>
          <w:p>
            <w:pPr>
              <w:keepNext w:val="0"/>
              <w:keepLines w:val="0"/>
              <w:pageBreakBefore w:val="0"/>
              <w:kinsoku/>
              <w:wordWrap/>
              <w:overflowPunct/>
              <w:topLinePunct w:val="0"/>
              <w:bidi w:val="0"/>
              <w:adjustRightInd/>
              <w:spacing w:line="360" w:lineRule="auto"/>
              <w:jc w:val="both"/>
              <w:textAlignment w:val="auto"/>
              <w:rPr>
                <w:rFonts w:hint="eastAsia" w:ascii="仿宋_GB2312" w:hAnsi="仿宋_GB2312" w:eastAsia="仿宋_GB2312" w:cs="仿宋_GB2312"/>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7" w:hRule="atLeast"/>
        </w:trPr>
        <w:tc>
          <w:tcPr>
            <w:tcW w:w="494" w:type="dxa"/>
            <w:vAlign w:val="center"/>
          </w:tcPr>
          <w:p>
            <w:pPr>
              <w:keepNext w:val="0"/>
              <w:keepLines w:val="0"/>
              <w:pageBreakBefore w:val="0"/>
              <w:kinsoku/>
              <w:wordWrap/>
              <w:overflowPunct/>
              <w:topLinePunct w:val="0"/>
              <w:bidi w:val="0"/>
              <w:adjustRightInd/>
              <w:spacing w:line="36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15</w:t>
            </w:r>
          </w:p>
        </w:tc>
        <w:tc>
          <w:tcPr>
            <w:tcW w:w="859" w:type="dxa"/>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5.7技术要求</w:t>
            </w:r>
          </w:p>
        </w:tc>
        <w:tc>
          <w:tcPr>
            <w:tcW w:w="4721" w:type="dxa"/>
            <w:tcBorders>
              <w:right w:val="single" w:color="auto" w:sz="4" w:space="0"/>
            </w:tcBorders>
            <w:vAlign w:val="center"/>
          </w:tcPr>
          <w:p>
            <w:pPr>
              <w:pStyle w:val="13"/>
              <w:numPr>
                <w:ilvl w:val="3"/>
                <w:numId w:val="0"/>
              </w:numPr>
              <w:ind w:leftChars="0"/>
              <w:jc w:val="both"/>
              <w:rPr>
                <w:rFonts w:hint="eastAsia" w:ascii="仿宋_GB2312" w:hAnsi="仿宋_GB2312" w:eastAsia="仿宋_GB2312" w:cs="仿宋_GB2312"/>
                <w:lang w:val="en-US" w:eastAsia="zh-CN"/>
              </w:rPr>
            </w:pPr>
            <w:r>
              <w:rPr>
                <w:rFonts w:hint="eastAsia" w:ascii="仿宋_GB2312" w:hAnsi="仿宋_GB2312" w:eastAsia="仿宋_GB2312" w:cs="仿宋_GB2312"/>
                <w:color w:val="auto"/>
                <w:sz w:val="21"/>
                <w:szCs w:val="21"/>
                <w:lang w:val="en-US" w:eastAsia="zh-CN"/>
              </w:rPr>
              <w:t>原文：“保证投药剂量准确；</w:t>
            </w:r>
            <w:r>
              <w:rPr>
                <w:rFonts w:hint="eastAsia" w:ascii="仿宋_GB2312" w:hAnsi="仿宋_GB2312" w:eastAsia="仿宋_GB2312" w:cs="仿宋_GB2312"/>
                <w:b w:val="0"/>
                <w:bCs w:val="0"/>
                <w:color w:val="auto"/>
                <w:sz w:val="21"/>
                <w:szCs w:val="21"/>
                <w:lang w:val="en-US" w:eastAsia="zh-CN"/>
              </w:rPr>
              <w:t>投药后需在固定区域排出虫卵；</w:t>
            </w:r>
            <w:r>
              <w:rPr>
                <w:rFonts w:hint="eastAsia" w:ascii="仿宋_GB2312" w:hAnsi="仿宋_GB2312" w:eastAsia="仿宋_GB2312" w:cs="仿宋_GB2312"/>
                <w:color w:val="auto"/>
                <w:sz w:val="21"/>
                <w:szCs w:val="21"/>
                <w:lang w:val="en-US" w:eastAsia="zh-CN"/>
              </w:rPr>
              <w:t>驱治应跟踪观察，中毒、伤残牛羊应及时抢救、治疗；驱虫后的观察与记录，在驱虫后要进行观察，记录牛羊的反应和驱虫效果。特别是对中毒或受伤的牛羊，应及时进行抢救和治疗。驱虫失败的，应查明原因，重新驱虫。”</w:t>
            </w:r>
            <w:r>
              <w:rPr>
                <w:rFonts w:hint="eastAsia" w:ascii="仿宋_GB2312" w:hAnsi="仿宋_GB2312" w:eastAsia="仿宋_GB2312" w:cs="仿宋_GB2312"/>
                <w:b/>
                <w:bCs/>
                <w:color w:val="auto"/>
                <w:sz w:val="21"/>
                <w:szCs w:val="21"/>
                <w:lang w:val="en-US" w:eastAsia="zh-CN"/>
              </w:rPr>
              <w:t>改为</w:t>
            </w:r>
            <w:r>
              <w:rPr>
                <w:rFonts w:hint="eastAsia" w:ascii="仿宋_GB2312" w:hAnsi="仿宋_GB2312" w:eastAsia="仿宋_GB2312" w:cs="仿宋_GB2312"/>
                <w:color w:val="auto"/>
                <w:sz w:val="21"/>
                <w:szCs w:val="21"/>
                <w:lang w:val="en-US" w:eastAsia="zh-CN"/>
              </w:rPr>
              <w:t>“5.7.1</w:t>
            </w:r>
            <w:r>
              <w:rPr>
                <w:rFonts w:hint="eastAsia" w:ascii="仿宋_GB2312" w:hAnsi="仿宋_GB2312" w:eastAsia="仿宋_GB2312" w:cs="仿宋_GB2312"/>
              </w:rPr>
              <w:t>保证投药剂量准确，药浴液充分溶解或混悬，搅拌均匀，当天配制当天使用，药浴过程中注意及时补充药液，保持药液有效浓度。</w:t>
            </w:r>
            <w:r>
              <w:rPr>
                <w:rFonts w:hint="eastAsia" w:ascii="仿宋_GB2312" w:hAnsi="仿宋_GB2312" w:eastAsia="仿宋_GB2312" w:cs="仿宋_GB2312"/>
                <w:lang w:val="en-US" w:eastAsia="zh-CN"/>
              </w:rPr>
              <w:t>5.7.2</w:t>
            </w:r>
            <w:r>
              <w:rPr>
                <w:rFonts w:hint="eastAsia" w:ascii="仿宋_GB2312" w:hAnsi="仿宋_GB2312" w:eastAsia="仿宋_GB2312" w:cs="仿宋_GB2312"/>
              </w:rPr>
              <w:t>投药后需在固定区域排出虫卵，并按照GB/T 36195的要求对粪便进行无害化处理。</w:t>
            </w:r>
            <w:r>
              <w:rPr>
                <w:rFonts w:hint="eastAsia" w:ascii="仿宋_GB2312" w:hAnsi="仿宋_GB2312" w:eastAsia="仿宋_GB2312" w:cs="仿宋_GB2312"/>
                <w:lang w:val="en-US" w:eastAsia="zh-CN"/>
              </w:rPr>
              <w:t>5.7.3</w:t>
            </w:r>
            <w:r>
              <w:rPr>
                <w:rFonts w:hint="eastAsia" w:ascii="仿宋_GB2312" w:hAnsi="仿宋_GB2312" w:eastAsia="仿宋_GB2312" w:cs="仿宋_GB2312"/>
              </w:rPr>
              <w:t>驱治应跟踪观察，中毒、伤残羊应及时抢救、治疗。</w:t>
            </w:r>
            <w:r>
              <w:rPr>
                <w:rFonts w:hint="eastAsia" w:ascii="仿宋_GB2312" w:hAnsi="仿宋_GB2312" w:eastAsia="仿宋_GB2312" w:cs="仿宋_GB2312"/>
                <w:lang w:val="en-US" w:eastAsia="zh-CN"/>
              </w:rPr>
              <w:t>5.7.4</w:t>
            </w:r>
            <w:r>
              <w:rPr>
                <w:rFonts w:hint="eastAsia" w:ascii="仿宋_GB2312" w:hAnsi="仿宋_GB2312" w:eastAsia="仿宋_GB2312" w:cs="仿宋_GB2312"/>
              </w:rPr>
              <w:t>在驱虫后要进行观察，记录羊的反应和驱虫效果。特别是对中毒或受伤的羊，应及时进行抢救和治疗。驱虫失败的，应查明原因，重新驱虫。</w:t>
            </w:r>
            <w:r>
              <w:rPr>
                <w:rFonts w:hint="eastAsia" w:ascii="仿宋_GB2312" w:hAnsi="仿宋_GB2312" w:eastAsia="仿宋_GB2312" w:cs="仿宋_GB2312"/>
                <w:lang w:eastAsia="zh-CN"/>
              </w:rPr>
              <w:t>”</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lang w:val="en-US" w:eastAsia="zh-CN"/>
              </w:rPr>
            </w:pPr>
            <w:bookmarkStart w:id="26" w:name="OLE_LINK23"/>
            <w:r>
              <w:rPr>
                <w:rFonts w:hint="eastAsia" w:ascii="仿宋_GB2312" w:hAnsi="仿宋_GB2312" w:eastAsia="仿宋_GB2312" w:cs="仿宋_GB2312"/>
                <w:lang w:val="en-US" w:eastAsia="zh-CN"/>
              </w:rPr>
              <w:t>鄂尔多斯市动物疫病预防控制中心/杨波</w:t>
            </w:r>
            <w:bookmarkEnd w:id="26"/>
          </w:p>
        </w:tc>
        <w:tc>
          <w:tcPr>
            <w:tcW w:w="825" w:type="dxa"/>
            <w:tcBorders>
              <w:lef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采纳</w:t>
            </w:r>
          </w:p>
        </w:tc>
        <w:tc>
          <w:tcPr>
            <w:tcW w:w="623" w:type="dxa"/>
            <w:vAlign w:val="center"/>
          </w:tcPr>
          <w:p>
            <w:pPr>
              <w:keepNext w:val="0"/>
              <w:keepLines w:val="0"/>
              <w:pageBreakBefore w:val="0"/>
              <w:kinsoku/>
              <w:wordWrap/>
              <w:overflowPunct/>
              <w:topLinePunct w:val="0"/>
              <w:bidi w:val="0"/>
              <w:adjustRightInd/>
              <w:spacing w:line="360" w:lineRule="auto"/>
              <w:jc w:val="both"/>
              <w:textAlignment w:val="auto"/>
              <w:rPr>
                <w:rFonts w:hint="eastAsia" w:ascii="仿宋_GB2312" w:hAnsi="仿宋_GB2312" w:eastAsia="仿宋_GB2312" w:cs="仿宋_GB2312"/>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7" w:hRule="atLeast"/>
        </w:trPr>
        <w:tc>
          <w:tcPr>
            <w:tcW w:w="494" w:type="dxa"/>
            <w:vAlign w:val="center"/>
          </w:tcPr>
          <w:p>
            <w:pPr>
              <w:keepNext w:val="0"/>
              <w:keepLines w:val="0"/>
              <w:pageBreakBefore w:val="0"/>
              <w:kinsoku/>
              <w:wordWrap/>
              <w:overflowPunct/>
              <w:topLinePunct w:val="0"/>
              <w:bidi w:val="0"/>
              <w:adjustRightInd/>
              <w:spacing w:line="36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16</w:t>
            </w:r>
          </w:p>
        </w:tc>
        <w:tc>
          <w:tcPr>
            <w:tcW w:w="859" w:type="dxa"/>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7.1.2新增</w:t>
            </w:r>
          </w:p>
        </w:tc>
        <w:tc>
          <w:tcPr>
            <w:tcW w:w="4721" w:type="dxa"/>
            <w:tcBorders>
              <w:right w:val="single" w:color="auto" w:sz="4" w:space="0"/>
            </w:tcBorders>
            <w:vAlign w:val="center"/>
          </w:tcPr>
          <w:p>
            <w:pPr>
              <w:pStyle w:val="13"/>
              <w:numPr>
                <w:ilvl w:val="3"/>
                <w:numId w:val="0"/>
              </w:numPr>
              <w:ind w:leftChars="0"/>
              <w:jc w:val="both"/>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新增内容：7.1.2 </w:t>
            </w:r>
            <w:r>
              <w:rPr>
                <w:rFonts w:hint="eastAsia" w:ascii="仿宋_GB2312" w:hAnsi="仿宋_GB2312" w:eastAsia="仿宋_GB2312" w:cs="仿宋_GB2312"/>
              </w:rPr>
              <w:t>消毒药物的使用应按照 GB/T 19526 执行。</w:t>
            </w:r>
          </w:p>
          <w:p>
            <w:pPr>
              <w:keepNext w:val="0"/>
              <w:keepLines w:val="0"/>
              <w:pageBreakBefore w:val="0"/>
              <w:kinsoku/>
              <w:wordWrap/>
              <w:overflowPunct/>
              <w:topLinePunct w:val="0"/>
              <w:bidi w:val="0"/>
              <w:adjustRightInd/>
              <w:snapToGrid/>
              <w:spacing w:line="400" w:lineRule="exact"/>
              <w:jc w:val="both"/>
              <w:textAlignment w:val="auto"/>
              <w:rPr>
                <w:rFonts w:hint="eastAsia" w:ascii="仿宋_GB2312" w:hAnsi="仿宋_GB2312" w:eastAsia="仿宋_GB2312" w:cs="仿宋_GB2312"/>
                <w:lang w:val="en-US" w:eastAsia="zh-CN"/>
              </w:rPr>
            </w:pP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鄂尔多斯市动物疫病预防控制中心/杨波</w:t>
            </w:r>
          </w:p>
        </w:tc>
        <w:tc>
          <w:tcPr>
            <w:tcW w:w="825" w:type="dxa"/>
            <w:tcBorders>
              <w:lef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采纳</w:t>
            </w:r>
          </w:p>
        </w:tc>
        <w:tc>
          <w:tcPr>
            <w:tcW w:w="623" w:type="dxa"/>
            <w:vAlign w:val="center"/>
          </w:tcPr>
          <w:p>
            <w:pPr>
              <w:keepNext w:val="0"/>
              <w:keepLines w:val="0"/>
              <w:pageBreakBefore w:val="0"/>
              <w:kinsoku/>
              <w:wordWrap/>
              <w:overflowPunct/>
              <w:topLinePunct w:val="0"/>
              <w:bidi w:val="0"/>
              <w:adjustRightInd/>
              <w:spacing w:line="360" w:lineRule="auto"/>
              <w:jc w:val="both"/>
              <w:textAlignment w:val="auto"/>
              <w:rPr>
                <w:rFonts w:hint="eastAsia" w:ascii="仿宋_GB2312" w:hAnsi="仿宋_GB2312" w:eastAsia="仿宋_GB2312" w:cs="仿宋_GB2312"/>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7" w:hRule="atLeast"/>
        </w:trPr>
        <w:tc>
          <w:tcPr>
            <w:tcW w:w="494" w:type="dxa"/>
            <w:vAlign w:val="center"/>
          </w:tcPr>
          <w:p>
            <w:pPr>
              <w:keepNext w:val="0"/>
              <w:keepLines w:val="0"/>
              <w:pageBreakBefore w:val="0"/>
              <w:kinsoku/>
              <w:wordWrap/>
              <w:overflowPunct/>
              <w:topLinePunct w:val="0"/>
              <w:bidi w:val="0"/>
              <w:adjustRightInd/>
              <w:spacing w:line="36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17</w:t>
            </w:r>
          </w:p>
        </w:tc>
        <w:tc>
          <w:tcPr>
            <w:tcW w:w="859" w:type="dxa"/>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7.2.2</w:t>
            </w:r>
          </w:p>
        </w:tc>
        <w:tc>
          <w:tcPr>
            <w:tcW w:w="4721" w:type="dxa"/>
            <w:tcBorders>
              <w:right w:val="single" w:color="auto" w:sz="4" w:space="0"/>
            </w:tcBorders>
            <w:vAlign w:val="center"/>
          </w:tcPr>
          <w:p>
            <w:pPr>
              <w:keepNext w:val="0"/>
              <w:keepLines w:val="0"/>
              <w:pageBreakBefore w:val="0"/>
              <w:kinsoku/>
              <w:wordWrap/>
              <w:overflowPunct/>
              <w:topLinePunct w:val="0"/>
              <w:bidi w:val="0"/>
              <w:adjustRightInd/>
              <w:snapToGrid/>
              <w:spacing w:line="400" w:lineRule="exact"/>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原文“驱虫后3 d内粪便应就地焚烧或深埋”</w:t>
            </w:r>
            <w:r>
              <w:rPr>
                <w:rFonts w:hint="eastAsia" w:ascii="仿宋_GB2312" w:hAnsi="仿宋_GB2312" w:eastAsia="仿宋_GB2312" w:cs="仿宋_GB2312"/>
                <w:b/>
                <w:bCs/>
                <w:lang w:val="en-US" w:eastAsia="zh-CN"/>
              </w:rPr>
              <w:t>改为</w:t>
            </w:r>
            <w:r>
              <w:rPr>
                <w:rFonts w:hint="eastAsia" w:ascii="仿宋_GB2312" w:hAnsi="仿宋_GB2312" w:eastAsia="仿宋_GB2312" w:cs="仿宋_GB2312"/>
                <w:lang w:val="en-US" w:eastAsia="zh-CN"/>
              </w:rPr>
              <w:t>“驱虫后3 d内排泄的粪便应就地焚烧或深埋。”</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lang w:val="en-US" w:eastAsia="zh-CN"/>
              </w:rPr>
            </w:pPr>
            <w:bookmarkStart w:id="27" w:name="OLE_LINK18"/>
            <w:r>
              <w:rPr>
                <w:rFonts w:hint="eastAsia" w:ascii="仿宋_GB2312" w:hAnsi="仿宋_GB2312" w:eastAsia="仿宋_GB2312" w:cs="仿宋_GB2312"/>
                <w:lang w:val="en-US" w:eastAsia="zh-CN"/>
              </w:rPr>
              <w:t>乌兰陶勒盖镇综合保障与技术推广中心/额尔德木图</w:t>
            </w:r>
            <w:bookmarkEnd w:id="27"/>
          </w:p>
        </w:tc>
        <w:tc>
          <w:tcPr>
            <w:tcW w:w="825" w:type="dxa"/>
            <w:tcBorders>
              <w:lef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采纳</w:t>
            </w:r>
          </w:p>
        </w:tc>
        <w:tc>
          <w:tcPr>
            <w:tcW w:w="623" w:type="dxa"/>
            <w:vAlign w:val="center"/>
          </w:tcPr>
          <w:p>
            <w:pPr>
              <w:keepNext w:val="0"/>
              <w:keepLines w:val="0"/>
              <w:pageBreakBefore w:val="0"/>
              <w:kinsoku/>
              <w:wordWrap/>
              <w:overflowPunct/>
              <w:topLinePunct w:val="0"/>
              <w:bidi w:val="0"/>
              <w:adjustRightInd/>
              <w:spacing w:line="360" w:lineRule="auto"/>
              <w:jc w:val="both"/>
              <w:textAlignment w:val="auto"/>
              <w:rPr>
                <w:rFonts w:hint="eastAsia" w:ascii="仿宋_GB2312" w:hAnsi="仿宋_GB2312" w:eastAsia="仿宋_GB2312" w:cs="仿宋_GB2312"/>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7" w:hRule="atLeast"/>
        </w:trPr>
        <w:tc>
          <w:tcPr>
            <w:tcW w:w="494" w:type="dxa"/>
            <w:vAlign w:val="center"/>
          </w:tcPr>
          <w:p>
            <w:pPr>
              <w:keepNext w:val="0"/>
              <w:keepLines w:val="0"/>
              <w:pageBreakBefore w:val="0"/>
              <w:kinsoku/>
              <w:wordWrap/>
              <w:overflowPunct/>
              <w:topLinePunct w:val="0"/>
              <w:bidi w:val="0"/>
              <w:adjustRightInd/>
              <w:spacing w:line="36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18</w:t>
            </w:r>
          </w:p>
        </w:tc>
        <w:tc>
          <w:tcPr>
            <w:tcW w:w="859" w:type="dxa"/>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7.3尸体及废弃物处理</w:t>
            </w:r>
          </w:p>
        </w:tc>
        <w:tc>
          <w:tcPr>
            <w:tcW w:w="4721" w:type="dxa"/>
            <w:tcBorders>
              <w:right w:val="single" w:color="auto" w:sz="4" w:space="0"/>
            </w:tcBorders>
            <w:vAlign w:val="center"/>
          </w:tcPr>
          <w:p>
            <w:pPr>
              <w:pStyle w:val="13"/>
              <w:numPr>
                <w:ilvl w:val="3"/>
                <w:numId w:val="0"/>
              </w:numPr>
              <w:ind w:leftChars="0"/>
              <w:jc w:val="both"/>
              <w:rPr>
                <w:rFonts w:hint="eastAsia" w:ascii="仿宋_GB2312" w:hAnsi="仿宋_GB2312" w:eastAsia="仿宋_GB2312" w:cs="仿宋_GB2312"/>
                <w:lang w:val="en-US" w:eastAsia="zh-CN"/>
              </w:rPr>
            </w:pPr>
            <w:r>
              <w:rPr>
                <w:rFonts w:hint="eastAsia" w:ascii="仿宋_GB2312" w:hAnsi="仿宋_GB2312" w:eastAsia="仿宋_GB2312" w:cs="仿宋_GB2312"/>
                <w:color w:val="auto"/>
                <w:sz w:val="21"/>
                <w:szCs w:val="21"/>
                <w:lang w:val="en-US" w:eastAsia="zh-CN"/>
              </w:rPr>
              <w:t>原文“严禁未处理的病尸、废弃物，直接喂犬或随地抛掷。尸体及废弃物处理按GB 16548规定执行。”</w:t>
            </w:r>
            <w:r>
              <w:rPr>
                <w:rFonts w:hint="eastAsia" w:ascii="仿宋_GB2312" w:hAnsi="仿宋_GB2312" w:eastAsia="仿宋_GB2312" w:cs="仿宋_GB2312"/>
                <w:b/>
                <w:bCs/>
                <w:color w:val="auto"/>
                <w:sz w:val="21"/>
                <w:szCs w:val="21"/>
                <w:lang w:val="en-US" w:eastAsia="zh-CN"/>
              </w:rPr>
              <w:t>改为</w:t>
            </w:r>
            <w:r>
              <w:rPr>
                <w:rFonts w:hint="eastAsia" w:ascii="仿宋_GB2312" w:hAnsi="仿宋_GB2312" w:eastAsia="仿宋_GB2312" w:cs="仿宋_GB2312"/>
                <w:color w:val="auto"/>
                <w:sz w:val="21"/>
                <w:szCs w:val="21"/>
                <w:lang w:val="en-US" w:eastAsia="zh-CN"/>
              </w:rPr>
              <w:t>“7.3.1</w:t>
            </w:r>
            <w:r>
              <w:rPr>
                <w:rFonts w:hint="eastAsia" w:ascii="仿宋_GB2312" w:hAnsi="仿宋_GB2312" w:eastAsia="仿宋_GB2312" w:cs="仿宋_GB2312"/>
              </w:rPr>
              <w:t>不得将未处理的病尸、废弃物直接喂犬或随地抛掷。</w:t>
            </w:r>
            <w:r>
              <w:rPr>
                <w:rFonts w:hint="eastAsia" w:ascii="仿宋_GB2312" w:hAnsi="仿宋_GB2312" w:eastAsia="仿宋_GB2312" w:cs="仿宋_GB2312"/>
                <w:lang w:val="en-US" w:eastAsia="zh-CN"/>
              </w:rPr>
              <w:t>7.3.2</w:t>
            </w:r>
            <w:r>
              <w:rPr>
                <w:rFonts w:hint="eastAsia" w:ascii="仿宋_GB2312" w:hAnsi="仿宋_GB2312" w:eastAsia="仿宋_GB2312" w:cs="仿宋_GB2312"/>
              </w:rPr>
              <w:t>病害动物及尸体的处理按《病死及病害动物无害化处理技术规范》执行。</w:t>
            </w:r>
            <w:r>
              <w:rPr>
                <w:rFonts w:hint="eastAsia" w:ascii="仿宋_GB2312" w:hAnsi="仿宋_GB2312" w:eastAsia="仿宋_GB2312" w:cs="仿宋_GB2312"/>
                <w:lang w:val="en-US" w:eastAsia="zh-CN"/>
              </w:rPr>
              <w:t>7.3.3</w:t>
            </w:r>
            <w:r>
              <w:rPr>
                <w:rFonts w:hint="eastAsia" w:ascii="仿宋_GB2312" w:hAnsi="仿宋_GB2312" w:eastAsia="仿宋_GB2312" w:cs="仿宋_GB2312"/>
              </w:rPr>
              <w:t>废弃物及粪便按GB/T 36</w:t>
            </w:r>
            <w:r>
              <w:rPr>
                <w:rFonts w:hint="eastAsia" w:ascii="仿宋_GB2312" w:hAnsi="仿宋_GB2312" w:eastAsia="仿宋_GB2312" w:cs="仿宋_GB2312"/>
                <w:szCs w:val="22"/>
              </w:rPr>
              <w:t>195</w:t>
            </w:r>
            <w:r>
              <w:rPr>
                <w:rFonts w:hint="eastAsia" w:ascii="仿宋_GB2312" w:hAnsi="仿宋_GB2312" w:eastAsia="仿宋_GB2312" w:cs="仿宋_GB2312"/>
                <w:szCs w:val="22"/>
                <w:lang w:eastAsia="zh-CN"/>
              </w:rPr>
              <w:t>、</w:t>
            </w:r>
            <w:r>
              <w:rPr>
                <w:rFonts w:hint="eastAsia" w:ascii="仿宋_GB2312" w:hAnsi="仿宋_GB2312" w:eastAsia="仿宋_GB2312" w:cs="仿宋_GB2312"/>
                <w:szCs w:val="22"/>
              </w:rPr>
              <w:t>GB 18596的规定执行</w:t>
            </w:r>
            <w:r>
              <w:rPr>
                <w:rFonts w:hint="eastAsia" w:ascii="仿宋_GB2312" w:hAnsi="仿宋_GB2312" w:eastAsia="仿宋_GB2312" w:cs="仿宋_GB2312"/>
              </w:rPr>
              <w:t>。</w:t>
            </w:r>
            <w:r>
              <w:rPr>
                <w:rFonts w:hint="eastAsia" w:ascii="仿宋_GB2312" w:hAnsi="仿宋_GB2312" w:eastAsia="仿宋_GB2312" w:cs="仿宋_GB2312"/>
                <w:lang w:eastAsia="zh-CN"/>
              </w:rPr>
              <w:t>”</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lang w:val="en-US" w:eastAsia="zh-CN"/>
              </w:rPr>
            </w:pPr>
            <w:bookmarkStart w:id="28" w:name="OLE_LINK19"/>
            <w:r>
              <w:rPr>
                <w:rFonts w:hint="eastAsia" w:ascii="仿宋_GB2312" w:hAnsi="仿宋_GB2312" w:eastAsia="仿宋_GB2312" w:cs="仿宋_GB2312"/>
                <w:lang w:val="en-US" w:eastAsia="zh-CN"/>
              </w:rPr>
              <w:t>乌审旗农牧局/额尔德尼布拉格</w:t>
            </w:r>
            <w:bookmarkEnd w:id="28"/>
          </w:p>
        </w:tc>
        <w:tc>
          <w:tcPr>
            <w:tcW w:w="825" w:type="dxa"/>
            <w:tcBorders>
              <w:lef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采纳</w:t>
            </w:r>
          </w:p>
        </w:tc>
        <w:tc>
          <w:tcPr>
            <w:tcW w:w="623" w:type="dxa"/>
            <w:vAlign w:val="center"/>
          </w:tcPr>
          <w:p>
            <w:pPr>
              <w:keepNext w:val="0"/>
              <w:keepLines w:val="0"/>
              <w:pageBreakBefore w:val="0"/>
              <w:kinsoku/>
              <w:wordWrap/>
              <w:overflowPunct/>
              <w:topLinePunct w:val="0"/>
              <w:bidi w:val="0"/>
              <w:adjustRightInd/>
              <w:spacing w:line="360" w:lineRule="auto"/>
              <w:jc w:val="both"/>
              <w:textAlignment w:val="auto"/>
              <w:rPr>
                <w:rFonts w:hint="eastAsia" w:ascii="仿宋_GB2312" w:hAnsi="仿宋_GB2312" w:eastAsia="仿宋_GB2312" w:cs="仿宋_GB2312"/>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7" w:hRule="atLeast"/>
        </w:trPr>
        <w:tc>
          <w:tcPr>
            <w:tcW w:w="494" w:type="dxa"/>
            <w:vAlign w:val="center"/>
          </w:tcPr>
          <w:p>
            <w:pPr>
              <w:keepNext w:val="0"/>
              <w:keepLines w:val="0"/>
              <w:pageBreakBefore w:val="0"/>
              <w:kinsoku/>
              <w:wordWrap/>
              <w:overflowPunct/>
              <w:topLinePunct w:val="0"/>
              <w:bidi w:val="0"/>
              <w:adjustRightInd/>
              <w:spacing w:line="36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19</w:t>
            </w:r>
          </w:p>
        </w:tc>
        <w:tc>
          <w:tcPr>
            <w:tcW w:w="859" w:type="dxa"/>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8.2.2.1</w:t>
            </w:r>
          </w:p>
        </w:tc>
        <w:tc>
          <w:tcPr>
            <w:tcW w:w="4721" w:type="dxa"/>
            <w:tcBorders>
              <w:right w:val="single" w:color="auto" w:sz="4" w:space="0"/>
            </w:tcBorders>
            <w:vAlign w:val="center"/>
          </w:tcPr>
          <w:p>
            <w:pPr>
              <w:pStyle w:val="13"/>
              <w:numPr>
                <w:ilvl w:val="3"/>
                <w:numId w:val="0"/>
              </w:numPr>
              <w:ind w:leftChars="0"/>
              <w:jc w:val="both"/>
              <w:rPr>
                <w:rFonts w:hint="eastAsia" w:ascii="仿宋_GB2312" w:hAnsi="仿宋_GB2312" w:eastAsia="仿宋_GB2312" w:cs="仿宋_GB2312"/>
              </w:rPr>
            </w:pPr>
            <w:r>
              <w:rPr>
                <w:rFonts w:hint="eastAsia" w:ascii="仿宋_GB2312" w:hAnsi="仿宋_GB2312" w:eastAsia="仿宋_GB2312" w:cs="仿宋_GB2312"/>
                <w:sz w:val="21"/>
                <w:szCs w:val="21"/>
                <w:lang w:val="en-US" w:eastAsia="zh-CN"/>
              </w:rPr>
              <w:t>新增内容：“</w:t>
            </w:r>
            <w:r>
              <w:rPr>
                <w:rFonts w:hint="eastAsia" w:ascii="仿宋_GB2312" w:hAnsi="仿宋_GB2312" w:eastAsia="仿宋_GB2312" w:cs="仿宋_GB2312"/>
              </w:rPr>
              <w:t>按照GB/T 25169规定的方法，</w:t>
            </w:r>
            <w:r>
              <w:rPr>
                <w:rFonts w:hint="eastAsia" w:ascii="仿宋_GB2312" w:hAnsi="仿宋_GB2312" w:eastAsia="仿宋_GB2312" w:cs="仿宋_GB2312"/>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bidi w:val="0"/>
              <w:adjustRightInd/>
              <w:snapToGrid/>
              <w:spacing w:line="400" w:lineRule="exact"/>
              <w:jc w:val="both"/>
              <w:textAlignment w:val="auto"/>
              <w:rPr>
                <w:rFonts w:hint="eastAsia" w:ascii="仿宋_GB2312" w:hAnsi="仿宋_GB2312" w:eastAsia="仿宋_GB2312" w:cs="仿宋_GB2312"/>
                <w:lang w:val="en-US" w:eastAsia="zh-CN"/>
              </w:rPr>
            </w:pP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lang w:val="en-US" w:eastAsia="zh-CN"/>
              </w:rPr>
            </w:pPr>
            <w:bookmarkStart w:id="29" w:name="OLE_LINK22"/>
            <w:r>
              <w:rPr>
                <w:rFonts w:hint="eastAsia" w:ascii="仿宋_GB2312" w:hAnsi="仿宋_GB2312" w:eastAsia="仿宋_GB2312" w:cs="仿宋_GB2312"/>
                <w:lang w:val="en-US" w:eastAsia="zh-CN"/>
              </w:rPr>
              <w:t>内蒙古农业大学/哈斯苏荣</w:t>
            </w:r>
            <w:bookmarkEnd w:id="29"/>
          </w:p>
        </w:tc>
        <w:tc>
          <w:tcPr>
            <w:tcW w:w="825" w:type="dxa"/>
            <w:tcBorders>
              <w:lef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采纳</w:t>
            </w:r>
          </w:p>
        </w:tc>
        <w:tc>
          <w:tcPr>
            <w:tcW w:w="623" w:type="dxa"/>
            <w:vAlign w:val="center"/>
          </w:tcPr>
          <w:p>
            <w:pPr>
              <w:keepNext w:val="0"/>
              <w:keepLines w:val="0"/>
              <w:pageBreakBefore w:val="0"/>
              <w:kinsoku/>
              <w:wordWrap/>
              <w:overflowPunct/>
              <w:topLinePunct w:val="0"/>
              <w:bidi w:val="0"/>
              <w:adjustRightInd/>
              <w:spacing w:line="360" w:lineRule="auto"/>
              <w:jc w:val="both"/>
              <w:textAlignment w:val="auto"/>
              <w:rPr>
                <w:rFonts w:hint="eastAsia" w:ascii="仿宋_GB2312" w:hAnsi="仿宋_GB2312" w:eastAsia="仿宋_GB2312" w:cs="仿宋_GB2312"/>
                <w:lang w:val="en-US" w:eastAsia="zh-CN"/>
              </w:rPr>
            </w:pPr>
          </w:p>
        </w:tc>
      </w:tr>
      <w:bookmarkEnd w:id="14"/>
    </w:tbl>
    <w:p>
      <w:pPr>
        <w:keepNext w:val="0"/>
        <w:keepLines w:val="0"/>
        <w:pageBreakBefore w:val="0"/>
        <w:kinsoku/>
        <w:wordWrap/>
        <w:overflowPunct/>
        <w:topLinePunct w:val="0"/>
        <w:bidi w:val="0"/>
        <w:adjustRightInd/>
        <w:spacing w:line="360" w:lineRule="auto"/>
        <w:textAlignment w:val="auto"/>
        <w:rPr>
          <w:rFonts w:hint="eastAsia"/>
          <w:lang w:val="en-US" w:eastAsia="zh-CN"/>
        </w:rPr>
      </w:pPr>
    </w:p>
    <w:p>
      <w:pPr>
        <w:keepNext w:val="0"/>
        <w:keepLines w:val="0"/>
        <w:pageBreakBefore w:val="0"/>
        <w:kinsoku/>
        <w:wordWrap/>
        <w:overflowPunct/>
        <w:topLinePunct w:val="0"/>
        <w:bidi w:val="0"/>
        <w:adjustRightInd/>
        <w:spacing w:line="360" w:lineRule="auto"/>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2"/>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14"/>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Yzk3OGJlMzA4YTk0NmUyMzQxNGQ3ZjY1MzAyOTEifQ=="/>
    <w:docVar w:name="KSO_WPS_MARK_KEY" w:val="1418d04e-4610-45ea-95f4-9fe3fb9a0819"/>
  </w:docVars>
  <w:rsids>
    <w:rsidRoot w:val="47771C06"/>
    <w:rsid w:val="0045068D"/>
    <w:rsid w:val="00C9010C"/>
    <w:rsid w:val="010C08CF"/>
    <w:rsid w:val="022D7139"/>
    <w:rsid w:val="026301A3"/>
    <w:rsid w:val="02DF40D4"/>
    <w:rsid w:val="03251B48"/>
    <w:rsid w:val="035E69F2"/>
    <w:rsid w:val="044A72BF"/>
    <w:rsid w:val="047E2D04"/>
    <w:rsid w:val="04EF2EE5"/>
    <w:rsid w:val="04FA23F6"/>
    <w:rsid w:val="05101498"/>
    <w:rsid w:val="051A6029"/>
    <w:rsid w:val="05646625"/>
    <w:rsid w:val="072443FA"/>
    <w:rsid w:val="07822C2F"/>
    <w:rsid w:val="07BE7FB6"/>
    <w:rsid w:val="08336639"/>
    <w:rsid w:val="08504A71"/>
    <w:rsid w:val="08E623EC"/>
    <w:rsid w:val="096C0E1E"/>
    <w:rsid w:val="09CC43AB"/>
    <w:rsid w:val="0A2A65A4"/>
    <w:rsid w:val="0A63480F"/>
    <w:rsid w:val="0C1E0F5B"/>
    <w:rsid w:val="0C242E82"/>
    <w:rsid w:val="0C8D517A"/>
    <w:rsid w:val="0CC2231B"/>
    <w:rsid w:val="0CD0343C"/>
    <w:rsid w:val="0CFC7628"/>
    <w:rsid w:val="0D6F2B8A"/>
    <w:rsid w:val="0DE76FB0"/>
    <w:rsid w:val="0E672E73"/>
    <w:rsid w:val="0ECF1B03"/>
    <w:rsid w:val="0FA508FE"/>
    <w:rsid w:val="0FAD5D35"/>
    <w:rsid w:val="106556B8"/>
    <w:rsid w:val="1087172B"/>
    <w:rsid w:val="10B84E0B"/>
    <w:rsid w:val="10E45A56"/>
    <w:rsid w:val="110834AB"/>
    <w:rsid w:val="115147F3"/>
    <w:rsid w:val="12376BF8"/>
    <w:rsid w:val="125E1F09"/>
    <w:rsid w:val="12A1020F"/>
    <w:rsid w:val="13267BAC"/>
    <w:rsid w:val="138F5B6C"/>
    <w:rsid w:val="13926F9C"/>
    <w:rsid w:val="14175F12"/>
    <w:rsid w:val="143F2A37"/>
    <w:rsid w:val="14587FDA"/>
    <w:rsid w:val="14916BF5"/>
    <w:rsid w:val="155526A4"/>
    <w:rsid w:val="1585202A"/>
    <w:rsid w:val="168D6ED6"/>
    <w:rsid w:val="16E64B9D"/>
    <w:rsid w:val="171526C8"/>
    <w:rsid w:val="171C405E"/>
    <w:rsid w:val="17356756"/>
    <w:rsid w:val="18676A72"/>
    <w:rsid w:val="18C022BC"/>
    <w:rsid w:val="1912156B"/>
    <w:rsid w:val="1A2518F4"/>
    <w:rsid w:val="1AA9561D"/>
    <w:rsid w:val="1B8E69A0"/>
    <w:rsid w:val="1C680FFC"/>
    <w:rsid w:val="1C8D21A7"/>
    <w:rsid w:val="1CE4334E"/>
    <w:rsid w:val="1CF07A18"/>
    <w:rsid w:val="1DA361DF"/>
    <w:rsid w:val="1DBF4003"/>
    <w:rsid w:val="1DCE6F1F"/>
    <w:rsid w:val="1E081C9C"/>
    <w:rsid w:val="1E246569"/>
    <w:rsid w:val="1E677695"/>
    <w:rsid w:val="1E8A0BC3"/>
    <w:rsid w:val="1EBB39FC"/>
    <w:rsid w:val="1ED817B5"/>
    <w:rsid w:val="200B0A58"/>
    <w:rsid w:val="202D1E6F"/>
    <w:rsid w:val="20AD4C50"/>
    <w:rsid w:val="21D56888"/>
    <w:rsid w:val="22035185"/>
    <w:rsid w:val="220B252C"/>
    <w:rsid w:val="22D031E4"/>
    <w:rsid w:val="22DF058E"/>
    <w:rsid w:val="22FB2896"/>
    <w:rsid w:val="23CE091D"/>
    <w:rsid w:val="24955323"/>
    <w:rsid w:val="253F0C89"/>
    <w:rsid w:val="254E594F"/>
    <w:rsid w:val="26B37156"/>
    <w:rsid w:val="27743E5C"/>
    <w:rsid w:val="27C501F0"/>
    <w:rsid w:val="27DF7433"/>
    <w:rsid w:val="28256015"/>
    <w:rsid w:val="28545833"/>
    <w:rsid w:val="2A30284C"/>
    <w:rsid w:val="2A9F5367"/>
    <w:rsid w:val="2AAF4744"/>
    <w:rsid w:val="2B8C7900"/>
    <w:rsid w:val="2C3026B5"/>
    <w:rsid w:val="2D1911FC"/>
    <w:rsid w:val="2D1D1538"/>
    <w:rsid w:val="2DB16319"/>
    <w:rsid w:val="2DEC2F5D"/>
    <w:rsid w:val="2E224824"/>
    <w:rsid w:val="2E6D5A10"/>
    <w:rsid w:val="2F251DAE"/>
    <w:rsid w:val="2F35535F"/>
    <w:rsid w:val="2F586256"/>
    <w:rsid w:val="31880943"/>
    <w:rsid w:val="31983106"/>
    <w:rsid w:val="31A614DB"/>
    <w:rsid w:val="31FF7247"/>
    <w:rsid w:val="32F62E2B"/>
    <w:rsid w:val="3326291B"/>
    <w:rsid w:val="33F308A0"/>
    <w:rsid w:val="34184AEB"/>
    <w:rsid w:val="343306BB"/>
    <w:rsid w:val="346E4626"/>
    <w:rsid w:val="349D49F2"/>
    <w:rsid w:val="35033C89"/>
    <w:rsid w:val="35301F5E"/>
    <w:rsid w:val="3578742F"/>
    <w:rsid w:val="35A40D5B"/>
    <w:rsid w:val="35DB5D4C"/>
    <w:rsid w:val="366706CB"/>
    <w:rsid w:val="378554F0"/>
    <w:rsid w:val="37A82667"/>
    <w:rsid w:val="39067E20"/>
    <w:rsid w:val="399A6427"/>
    <w:rsid w:val="39AD28AA"/>
    <w:rsid w:val="3AF11CF1"/>
    <w:rsid w:val="3B0A2863"/>
    <w:rsid w:val="3B0B7169"/>
    <w:rsid w:val="3B964350"/>
    <w:rsid w:val="3C7B3D8F"/>
    <w:rsid w:val="3C8648EC"/>
    <w:rsid w:val="3CE74591"/>
    <w:rsid w:val="3CE83955"/>
    <w:rsid w:val="3D392483"/>
    <w:rsid w:val="3D885980"/>
    <w:rsid w:val="3D8C22BE"/>
    <w:rsid w:val="3D966854"/>
    <w:rsid w:val="3DD975B3"/>
    <w:rsid w:val="3E8B5DF0"/>
    <w:rsid w:val="3E9E122C"/>
    <w:rsid w:val="3EC60DBE"/>
    <w:rsid w:val="3EEB49AE"/>
    <w:rsid w:val="3F2A100E"/>
    <w:rsid w:val="3F310862"/>
    <w:rsid w:val="404E6A4B"/>
    <w:rsid w:val="40651A4F"/>
    <w:rsid w:val="40850059"/>
    <w:rsid w:val="41491545"/>
    <w:rsid w:val="41632A28"/>
    <w:rsid w:val="423A6CA8"/>
    <w:rsid w:val="42D97C9D"/>
    <w:rsid w:val="433550B3"/>
    <w:rsid w:val="435B54FE"/>
    <w:rsid w:val="436A6EE2"/>
    <w:rsid w:val="439A7212"/>
    <w:rsid w:val="446C1BA8"/>
    <w:rsid w:val="44AF2722"/>
    <w:rsid w:val="45A079B7"/>
    <w:rsid w:val="45A404E3"/>
    <w:rsid w:val="46762B76"/>
    <w:rsid w:val="47676750"/>
    <w:rsid w:val="47771C06"/>
    <w:rsid w:val="47953F28"/>
    <w:rsid w:val="48952121"/>
    <w:rsid w:val="49CB39B5"/>
    <w:rsid w:val="4B385209"/>
    <w:rsid w:val="4BE85AAC"/>
    <w:rsid w:val="4C4851D4"/>
    <w:rsid w:val="4D24422F"/>
    <w:rsid w:val="4D5801D8"/>
    <w:rsid w:val="4D783C4E"/>
    <w:rsid w:val="4DBF2A2C"/>
    <w:rsid w:val="4DE5713C"/>
    <w:rsid w:val="4E511135"/>
    <w:rsid w:val="4E5C0F0A"/>
    <w:rsid w:val="4EC15312"/>
    <w:rsid w:val="4F934642"/>
    <w:rsid w:val="4FFF13F2"/>
    <w:rsid w:val="50025796"/>
    <w:rsid w:val="50175011"/>
    <w:rsid w:val="5179188A"/>
    <w:rsid w:val="52132187"/>
    <w:rsid w:val="527860C3"/>
    <w:rsid w:val="52DB23D5"/>
    <w:rsid w:val="52F843E4"/>
    <w:rsid w:val="52FC4B82"/>
    <w:rsid w:val="532A19B3"/>
    <w:rsid w:val="54084272"/>
    <w:rsid w:val="540B4436"/>
    <w:rsid w:val="541E155D"/>
    <w:rsid w:val="544D6750"/>
    <w:rsid w:val="54B726CE"/>
    <w:rsid w:val="553C75EC"/>
    <w:rsid w:val="5542450B"/>
    <w:rsid w:val="56D36917"/>
    <w:rsid w:val="57390F23"/>
    <w:rsid w:val="57E13ADA"/>
    <w:rsid w:val="585066A3"/>
    <w:rsid w:val="586A0346"/>
    <w:rsid w:val="5895526A"/>
    <w:rsid w:val="58D1519F"/>
    <w:rsid w:val="58EA6C02"/>
    <w:rsid w:val="5A18592C"/>
    <w:rsid w:val="5AAD2803"/>
    <w:rsid w:val="5AF4209E"/>
    <w:rsid w:val="5BB41482"/>
    <w:rsid w:val="5C9A055B"/>
    <w:rsid w:val="5D411FEE"/>
    <w:rsid w:val="5DBD6286"/>
    <w:rsid w:val="5E491387"/>
    <w:rsid w:val="5E7B7567"/>
    <w:rsid w:val="5E8C2F8B"/>
    <w:rsid w:val="5EAB1C9A"/>
    <w:rsid w:val="5EEC42D7"/>
    <w:rsid w:val="5EF26DE6"/>
    <w:rsid w:val="5F912F61"/>
    <w:rsid w:val="5FE724EE"/>
    <w:rsid w:val="60A97A92"/>
    <w:rsid w:val="60C912A1"/>
    <w:rsid w:val="60D82547"/>
    <w:rsid w:val="610C1E51"/>
    <w:rsid w:val="610D12AB"/>
    <w:rsid w:val="61332FB4"/>
    <w:rsid w:val="616D37CA"/>
    <w:rsid w:val="63587BDE"/>
    <w:rsid w:val="636F6A7C"/>
    <w:rsid w:val="63AC2EF8"/>
    <w:rsid w:val="64ED6E97"/>
    <w:rsid w:val="652E0010"/>
    <w:rsid w:val="654C046A"/>
    <w:rsid w:val="657053F4"/>
    <w:rsid w:val="65B575E7"/>
    <w:rsid w:val="65D16278"/>
    <w:rsid w:val="66F564EC"/>
    <w:rsid w:val="6752255E"/>
    <w:rsid w:val="67862B67"/>
    <w:rsid w:val="67B33D4A"/>
    <w:rsid w:val="67CA2BC4"/>
    <w:rsid w:val="681B78C7"/>
    <w:rsid w:val="686E42C5"/>
    <w:rsid w:val="69293D04"/>
    <w:rsid w:val="694A2E82"/>
    <w:rsid w:val="69DD7E7E"/>
    <w:rsid w:val="6A3F04CB"/>
    <w:rsid w:val="6A5707EE"/>
    <w:rsid w:val="6A8032BC"/>
    <w:rsid w:val="6B1914B5"/>
    <w:rsid w:val="6C7E3F4E"/>
    <w:rsid w:val="6CA300AC"/>
    <w:rsid w:val="6D301CC9"/>
    <w:rsid w:val="6DC3232C"/>
    <w:rsid w:val="6E2B3A27"/>
    <w:rsid w:val="6E323916"/>
    <w:rsid w:val="6EDE4AD0"/>
    <w:rsid w:val="6FAB6CF6"/>
    <w:rsid w:val="6FB55B0A"/>
    <w:rsid w:val="703C37B6"/>
    <w:rsid w:val="708F3E6D"/>
    <w:rsid w:val="71751DBE"/>
    <w:rsid w:val="71E56A14"/>
    <w:rsid w:val="73036C53"/>
    <w:rsid w:val="733B55DA"/>
    <w:rsid w:val="73CC6535"/>
    <w:rsid w:val="7478161C"/>
    <w:rsid w:val="74C34F44"/>
    <w:rsid w:val="74FC08CA"/>
    <w:rsid w:val="75836290"/>
    <w:rsid w:val="758D22CF"/>
    <w:rsid w:val="75C51F2D"/>
    <w:rsid w:val="760D27DD"/>
    <w:rsid w:val="76D8241E"/>
    <w:rsid w:val="771C3C90"/>
    <w:rsid w:val="77CB70D5"/>
    <w:rsid w:val="7923273B"/>
    <w:rsid w:val="795310F0"/>
    <w:rsid w:val="79691E89"/>
    <w:rsid w:val="7A7414C7"/>
    <w:rsid w:val="7A9E69FE"/>
    <w:rsid w:val="7C155ED3"/>
    <w:rsid w:val="7C716D5B"/>
    <w:rsid w:val="7C7C44BA"/>
    <w:rsid w:val="7C9E75E3"/>
    <w:rsid w:val="7DBF66D1"/>
    <w:rsid w:val="7E7F32E8"/>
    <w:rsid w:val="7EF27BD2"/>
    <w:rsid w:val="7EF83F3F"/>
    <w:rsid w:val="7F202E83"/>
    <w:rsid w:val="7F7F7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6">
    <w:name w:val="Hyperlink"/>
    <w:basedOn w:val="5"/>
    <w:qFormat/>
    <w:uiPriority w:val="0"/>
    <w:rPr>
      <w:color w:val="0000FF"/>
      <w:u w:val="single"/>
    </w:rPr>
  </w:style>
  <w:style w:type="paragraph" w:customStyle="1" w:styleId="7">
    <w:name w:val="Table Text"/>
    <w:basedOn w:val="1"/>
    <w:semiHidden/>
    <w:qFormat/>
    <w:uiPriority w:val="0"/>
    <w:rPr>
      <w:rFonts w:ascii="仿宋" w:hAnsi="仿宋" w:eastAsia="仿宋" w:cs="仿宋"/>
      <w:sz w:val="24"/>
      <w:szCs w:val="24"/>
      <w:lang w:val="en-US" w:eastAsia="en-US" w:bidi="ar-SA"/>
    </w:rPr>
  </w:style>
  <w:style w:type="table" w:customStyle="1" w:styleId="8">
    <w:name w:val="Table Normal"/>
    <w:semiHidden/>
    <w:unhideWhenUsed/>
    <w:qFormat/>
    <w:uiPriority w:val="0"/>
    <w:tblPr>
      <w:tblLayout w:type="fixed"/>
      <w:tblCellMar>
        <w:top w:w="0" w:type="dxa"/>
        <w:left w:w="0" w:type="dxa"/>
        <w:bottom w:w="0" w:type="dxa"/>
        <w:right w:w="0" w:type="dxa"/>
      </w:tblCellMar>
    </w:tblPr>
  </w:style>
  <w:style w:type="paragraph" w:customStyle="1" w:styleId="9">
    <w:name w:val="章标题"/>
    <w:next w:val="10"/>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宋体"/>
      <w:kern w:val="2"/>
      <w:sz w:val="21"/>
      <w:szCs w:val="22"/>
      <w:lang w:val="en-US" w:eastAsia="zh-CN" w:bidi="ar-SA"/>
    </w:rPr>
  </w:style>
  <w:style w:type="paragraph" w:customStyle="1" w:styleId="1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
    <w:name w:val="标准文件_章标题"/>
    <w:next w:val="11"/>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3">
    <w:name w:val="标准文件_二级无标题"/>
    <w:basedOn w:val="14"/>
    <w:qFormat/>
    <w:uiPriority w:val="0"/>
    <w:pPr>
      <w:spacing w:before="0" w:beforeLines="0" w:after="0" w:afterLines="0"/>
      <w:outlineLvl w:val="9"/>
    </w:pPr>
    <w:rPr>
      <w:rFonts w:ascii="宋体" w:eastAsia="宋体"/>
    </w:rPr>
  </w:style>
  <w:style w:type="paragraph" w:customStyle="1" w:styleId="14">
    <w:name w:val="标准文件_二级条标题"/>
    <w:next w:val="11"/>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6583</Words>
  <Characters>7021</Characters>
  <Lines>1</Lines>
  <Paragraphs>1</Paragraphs>
  <TotalTime>1</TotalTime>
  <ScaleCrop>false</ScaleCrop>
  <LinksUpToDate>false</LinksUpToDate>
  <CharactersWithSpaces>7107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2025-04-16T10:27:00Z</dcterms:created>
  <dc:creator>小藏 ᠽᠠᠨᠳᠠᠷ᠎ᠠ</dc:creator>
  <cp:lastModifiedBy>小藏 ᠽᠠᠨᠳᠠᠷ᠎ᠠ</cp:lastModifiedBy>
  <cp:lastPrinted>2025-04-22T00:47:00Z</cp:lastPrinted>
  <dcterms:modified xsi:type="dcterms:W3CDTF">2025-04-22T02:34:53Z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eyJoZGlkIjoiNmQyY2QwOTQ5OTQxZmFiM2UxNTA1Nzk4YTI2NjAyMzIiLCJ1c2VySWQiOiIzMDQ5MjAwODAifQ==</vt:lpwstr>
  </property>
  <property fmtid="{D5CDD505-2E9C-101B-9397-08002B2CF9AE}" pid="4" name="ICV">
    <vt:lpwstr>DB83F4D0A955454CB4DE6D018CD8EA79_13</vt:lpwstr>
  </property>
</Properties>
</file>