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AE8E6B">
      <w:pPr>
        <w:widowControl w:val="0"/>
        <w:pBdr>
          <w:top w:val="none" w:color="auto" w:sz="0" w:space="1"/>
          <w:left w:val="none" w:color="auto" w:sz="0" w:space="4"/>
          <w:bottom w:val="single" w:color="auto" w:sz="4" w:space="1"/>
          <w:right w:val="none" w:color="auto" w:sz="0" w:space="4"/>
          <w:between w:val="none" w:color="auto" w:sz="0" w:space="0"/>
        </w:pBdr>
        <w:jc w:val="left"/>
        <w:outlineLvl w:val="9"/>
        <w:rPr>
          <w:rFonts w:hint="eastAsia" w:ascii="微软雅黑" w:hAnsi="微软雅黑" w:eastAsia="微软雅黑" w:cs="微软雅黑"/>
          <w:b/>
          <w:bCs/>
          <w:spacing w:val="-10"/>
          <w:kern w:val="2"/>
          <w:sz w:val="24"/>
          <w:szCs w:val="24"/>
          <w:lang w:val="en-US" w:eastAsia="zh-CN" w:bidi="ar-SA"/>
        </w:rPr>
      </w:pPr>
      <w:bookmarkStart w:id="0" w:name="_Toc27477"/>
      <w:r>
        <w:rPr>
          <w:rFonts w:hint="eastAsia" w:ascii="宋体" w:hAnsi="宋体" w:eastAsia="宋体" w:cs="宋体"/>
          <w:b/>
          <w:bCs/>
          <w:spacing w:val="-10"/>
          <w:kern w:val="2"/>
          <w:sz w:val="24"/>
          <w:szCs w:val="24"/>
          <w:lang w:val="en-US" w:eastAsia="zh-CN" w:bidi="ar-SA"/>
        </w:rPr>
        <w:t xml:space="preserve">ICS </w:t>
      </w:r>
      <w:r>
        <w:rPr>
          <w:rFonts w:hint="eastAsia" w:ascii="微软雅黑" w:hAnsi="微软雅黑" w:eastAsia="微软雅黑" w:cs="微软雅黑"/>
          <w:b/>
          <w:bCs/>
          <w:spacing w:val="-10"/>
          <w:kern w:val="2"/>
          <w:sz w:val="24"/>
          <w:szCs w:val="24"/>
          <w:lang w:val="en-US" w:eastAsia="zh-CN" w:bidi="ar-SA"/>
        </w:rPr>
        <w:t xml:space="preserve">✕✕.✕✕   </w:t>
      </w:r>
    </w:p>
    <w:p w14:paraId="37F51434">
      <w:pPr>
        <w:widowControl w:val="0"/>
        <w:pBdr>
          <w:top w:val="none" w:color="auto" w:sz="0" w:space="1"/>
          <w:left w:val="none" w:color="auto" w:sz="0" w:space="4"/>
          <w:bottom w:val="single" w:color="auto" w:sz="4" w:space="1"/>
          <w:right w:val="none" w:color="auto" w:sz="0" w:space="4"/>
          <w:between w:val="none" w:color="auto" w:sz="0" w:space="0"/>
        </w:pBdr>
        <w:jc w:val="right"/>
        <w:rPr>
          <w:rFonts w:hint="default" w:ascii="微软雅黑" w:hAnsi="微软雅黑" w:eastAsia="微软雅黑" w:cs="微软雅黑"/>
          <w:b/>
          <w:bCs/>
          <w:spacing w:val="-10"/>
          <w:kern w:val="2"/>
          <w:sz w:val="52"/>
          <w:szCs w:val="52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spacing w:val="-10"/>
          <w:kern w:val="2"/>
          <w:sz w:val="24"/>
          <w:szCs w:val="24"/>
          <w:lang w:val="en-US" w:eastAsia="zh-CN" w:bidi="ar-SA"/>
        </w:rPr>
        <w:t xml:space="preserve">                                                </w:t>
      </w:r>
      <w:r>
        <w:rPr>
          <w:rFonts w:hint="eastAsia" w:ascii="微软雅黑" w:hAnsi="微软雅黑" w:eastAsia="微软雅黑" w:cs="微软雅黑"/>
          <w:b/>
          <w:bCs/>
          <w:spacing w:val="-10"/>
          <w:kern w:val="2"/>
          <w:sz w:val="52"/>
          <w:szCs w:val="52"/>
          <w:lang w:val="en-US" w:eastAsia="zh-CN" w:bidi="ar-SA"/>
        </w:rPr>
        <w:t xml:space="preserve">  DB1506</w:t>
      </w:r>
    </w:p>
    <w:p w14:paraId="7E73B848">
      <w:pPr>
        <w:widowControl w:val="0"/>
        <w:pBdr>
          <w:top w:val="none" w:color="auto" w:sz="0" w:space="1"/>
          <w:left w:val="none" w:color="auto" w:sz="0" w:space="4"/>
          <w:bottom w:val="single" w:color="auto" w:sz="4" w:space="1"/>
          <w:right w:val="none" w:color="auto" w:sz="0" w:space="4"/>
          <w:between w:val="none" w:color="auto" w:sz="0" w:space="0"/>
        </w:pBdr>
        <w:jc w:val="distribute"/>
        <w:outlineLvl w:val="9"/>
        <w:rPr>
          <w:rFonts w:hint="eastAsia" w:ascii="宋体" w:hAnsi="宋体" w:eastAsia="宋体" w:cs="宋体"/>
          <w:b/>
          <w:bCs/>
          <w:spacing w:val="-10"/>
          <w:kern w:val="2"/>
          <w:sz w:val="44"/>
          <w:szCs w:val="4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spacing w:val="-10"/>
          <w:kern w:val="2"/>
          <w:sz w:val="44"/>
          <w:szCs w:val="44"/>
          <w:lang w:val="en-US" w:eastAsia="zh-CN" w:bidi="ar-SA"/>
        </w:rPr>
        <w:t>鄂尔多斯市地方标准</w:t>
      </w:r>
    </w:p>
    <w:p w14:paraId="64AFDFD0">
      <w:pPr>
        <w:widowControl w:val="0"/>
        <w:pBdr>
          <w:top w:val="none" w:color="auto" w:sz="0" w:space="1"/>
          <w:left w:val="none" w:color="auto" w:sz="0" w:space="4"/>
          <w:bottom w:val="single" w:color="auto" w:sz="4" w:space="1"/>
          <w:right w:val="none" w:color="auto" w:sz="0" w:space="4"/>
          <w:between w:val="none" w:color="auto" w:sz="0" w:space="0"/>
        </w:pBdr>
        <w:jc w:val="right"/>
        <w:outlineLvl w:val="9"/>
        <w:rPr>
          <w:rFonts w:hint="eastAsia" w:ascii="黑体" w:hAnsi="黑体" w:eastAsia="黑体" w:cs="黑体"/>
          <w:b/>
          <w:bCs/>
          <w:spacing w:val="-10"/>
          <w:kern w:val="2"/>
          <w:sz w:val="44"/>
          <w:szCs w:val="4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spacing w:val="-10"/>
          <w:kern w:val="2"/>
          <w:sz w:val="44"/>
          <w:szCs w:val="44"/>
          <w:lang w:val="en-US" w:eastAsia="zh-CN" w:bidi="ar-SA"/>
        </w:rPr>
        <w:t xml:space="preserve">     </w:t>
      </w:r>
      <w:r>
        <w:rPr>
          <w:rFonts w:hint="eastAsia" w:ascii="黑体" w:hAnsi="黑体" w:eastAsia="黑体" w:cs="黑体"/>
          <w:b/>
          <w:bCs/>
          <w:spacing w:val="-10"/>
          <w:kern w:val="2"/>
          <w:sz w:val="44"/>
          <w:szCs w:val="44"/>
          <w:lang w:val="en-US" w:eastAsia="zh-CN" w:bidi="ar-SA"/>
        </w:rPr>
        <w:t>DB1506/T ✕✕✕✕-✕✕✕✕</w:t>
      </w:r>
    </w:p>
    <w:p w14:paraId="4461DAC5">
      <w:pPr>
        <w:keepNext w:val="0"/>
        <w:keepLines w:val="0"/>
        <w:widowControl/>
        <w:suppressLineNumbers w:val="0"/>
        <w:jc w:val="both"/>
        <w:outlineLvl w:val="9"/>
        <w:rPr>
          <w:rFonts w:hint="eastAsia" w:ascii="宋体" w:hAnsi="宋体" w:eastAsia="宋体" w:cs="宋体"/>
          <w:b/>
          <w:bCs/>
          <w:spacing w:val="-10"/>
          <w:kern w:val="2"/>
          <w:sz w:val="44"/>
          <w:szCs w:val="44"/>
          <w:lang w:val="en-US" w:eastAsia="zh-CN" w:bidi="ar-SA"/>
        </w:rPr>
      </w:pPr>
    </w:p>
    <w:p w14:paraId="650A3493">
      <w:pPr>
        <w:keepNext w:val="0"/>
        <w:keepLines w:val="0"/>
        <w:widowControl/>
        <w:suppressLineNumbers w:val="0"/>
        <w:jc w:val="both"/>
        <w:outlineLvl w:val="9"/>
        <w:rPr>
          <w:rFonts w:hint="eastAsia" w:ascii="宋体" w:hAnsi="宋体" w:eastAsia="宋体" w:cs="宋体"/>
          <w:b/>
          <w:bCs/>
          <w:spacing w:val="-10"/>
          <w:kern w:val="2"/>
          <w:sz w:val="44"/>
          <w:szCs w:val="44"/>
          <w:lang w:val="en-US" w:eastAsia="zh-CN" w:bidi="ar-SA"/>
        </w:rPr>
      </w:pPr>
    </w:p>
    <w:p w14:paraId="4D8BEF5E">
      <w:pPr>
        <w:keepNext w:val="0"/>
        <w:keepLines w:val="0"/>
        <w:widowControl/>
        <w:suppressLineNumbers w:val="0"/>
        <w:jc w:val="both"/>
        <w:outlineLvl w:val="9"/>
        <w:rPr>
          <w:rFonts w:hint="eastAsia" w:ascii="宋体" w:hAnsi="宋体" w:eastAsia="宋体" w:cs="宋体"/>
          <w:b/>
          <w:bCs/>
          <w:spacing w:val="-10"/>
          <w:kern w:val="2"/>
          <w:sz w:val="44"/>
          <w:szCs w:val="44"/>
          <w:lang w:val="en-US" w:eastAsia="zh-CN" w:bidi="ar-SA"/>
        </w:rPr>
      </w:pPr>
    </w:p>
    <w:p w14:paraId="0F3B6CCB">
      <w:pPr>
        <w:keepNext w:val="0"/>
        <w:keepLines w:val="0"/>
        <w:widowControl/>
        <w:suppressLineNumbers w:val="0"/>
        <w:jc w:val="both"/>
        <w:outlineLvl w:val="9"/>
        <w:rPr>
          <w:rFonts w:hint="eastAsia" w:ascii="宋体" w:hAnsi="宋体" w:eastAsia="宋体" w:cs="宋体"/>
          <w:b/>
          <w:bCs/>
          <w:spacing w:val="-10"/>
          <w:kern w:val="2"/>
          <w:sz w:val="44"/>
          <w:szCs w:val="44"/>
          <w:lang w:val="en-US" w:eastAsia="zh-CN" w:bidi="ar-SA"/>
        </w:rPr>
      </w:pPr>
    </w:p>
    <w:p w14:paraId="033F0649">
      <w:pPr>
        <w:keepNext w:val="0"/>
        <w:keepLines w:val="0"/>
        <w:widowControl/>
        <w:suppressLineNumbers w:val="0"/>
        <w:jc w:val="both"/>
        <w:outlineLvl w:val="9"/>
        <w:rPr>
          <w:rFonts w:hint="eastAsia" w:ascii="宋体" w:hAnsi="宋体" w:eastAsia="宋体" w:cs="宋体"/>
          <w:b/>
          <w:bCs/>
          <w:spacing w:val="-10"/>
          <w:kern w:val="2"/>
          <w:sz w:val="44"/>
          <w:szCs w:val="44"/>
          <w:lang w:val="en-US" w:eastAsia="zh-CN" w:bidi="ar-SA"/>
        </w:rPr>
      </w:pPr>
    </w:p>
    <w:p w14:paraId="5AE7FC3C">
      <w:pPr>
        <w:keepNext w:val="0"/>
        <w:keepLines w:val="0"/>
        <w:widowControl/>
        <w:suppressLineNumbers w:val="0"/>
        <w:jc w:val="center"/>
        <w:outlineLvl w:val="9"/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spacing w:val="-10"/>
          <w:kern w:val="2"/>
          <w:sz w:val="44"/>
          <w:szCs w:val="44"/>
          <w:lang w:val="en-US" w:eastAsia="zh-CN" w:bidi="ar-SA"/>
        </w:rPr>
        <w:t>柠条青贮发酵技术规程（征求意见稿）</w:t>
      </w:r>
    </w:p>
    <w:p w14:paraId="1D6D35FE">
      <w:pPr>
        <w:jc w:val="center"/>
        <w:outlineLvl w:val="9"/>
        <w:rPr>
          <w:rFonts w:hint="default" w:ascii="Times New Roman" w:hAnsi="Times New Roman" w:eastAsia="宋体" w:cs="Times New Roman"/>
          <w:b/>
          <w:bCs/>
          <w:spacing w:val="-10"/>
          <w:kern w:val="2"/>
          <w:sz w:val="30"/>
          <w:szCs w:val="30"/>
          <w:lang w:val="en-US" w:eastAsia="zh-CN" w:bidi="ar-SA"/>
        </w:rPr>
      </w:pPr>
      <w:r>
        <w:rPr>
          <w:rFonts w:hint="default" w:ascii="Times New Roman" w:hAnsi="Times New Roman" w:eastAsia="宋体" w:cs="Times New Roman"/>
          <w:sz w:val="30"/>
          <w:szCs w:val="30"/>
          <w:lang w:val="en-US" w:eastAsia="zh-CN"/>
        </w:rPr>
        <w:t>C</w:t>
      </w:r>
      <w:r>
        <w:rPr>
          <w:rFonts w:hint="default" w:ascii="Times New Roman" w:hAnsi="Times New Roman" w:eastAsia="宋体" w:cs="Times New Roman"/>
          <w:sz w:val="30"/>
          <w:szCs w:val="30"/>
        </w:rPr>
        <w:t xml:space="preserve">ode of </w:t>
      </w:r>
      <w:r>
        <w:rPr>
          <w:rFonts w:hint="default" w:ascii="Times New Roman" w:hAnsi="Times New Roman" w:eastAsia="宋体" w:cs="Times New Roman"/>
          <w:sz w:val="30"/>
          <w:szCs w:val="30"/>
          <w:lang w:val="en-US" w:eastAsia="zh-CN"/>
        </w:rPr>
        <w:t>p</w:t>
      </w:r>
      <w:r>
        <w:rPr>
          <w:rFonts w:hint="default" w:ascii="Times New Roman" w:hAnsi="Times New Roman" w:eastAsia="宋体" w:cs="Times New Roman"/>
          <w:sz w:val="30"/>
          <w:szCs w:val="30"/>
        </w:rPr>
        <w:t xml:space="preserve">ractice for </w:t>
      </w:r>
      <w:r>
        <w:rPr>
          <w:rFonts w:hint="default" w:ascii="Times New Roman" w:hAnsi="Times New Roman" w:eastAsia="宋体" w:cs="Times New Roman"/>
          <w:sz w:val="30"/>
          <w:szCs w:val="30"/>
          <w:lang w:val="en-US" w:eastAsia="zh-CN"/>
        </w:rPr>
        <w:t>m</w:t>
      </w:r>
      <w:r>
        <w:rPr>
          <w:rFonts w:hint="default" w:ascii="Times New Roman" w:hAnsi="Times New Roman" w:eastAsia="宋体" w:cs="Times New Roman"/>
          <w:sz w:val="30"/>
          <w:szCs w:val="30"/>
        </w:rPr>
        <w:t xml:space="preserve">aking </w:t>
      </w:r>
      <w:r>
        <w:rPr>
          <w:rFonts w:hint="default" w:ascii="Times New Roman" w:hAnsi="Times New Roman" w:eastAsia="宋体" w:cs="Times New Roman"/>
          <w:sz w:val="30"/>
          <w:szCs w:val="30"/>
          <w:lang w:val="en-US" w:eastAsia="zh-CN"/>
        </w:rPr>
        <w:t>f</w:t>
      </w:r>
      <w:r>
        <w:rPr>
          <w:rFonts w:hint="default" w:ascii="Times New Roman" w:hAnsi="Times New Roman" w:eastAsia="宋体" w:cs="Times New Roman"/>
          <w:sz w:val="30"/>
          <w:szCs w:val="30"/>
        </w:rPr>
        <w:t>erment</w:t>
      </w:r>
      <w:r>
        <w:rPr>
          <w:rFonts w:hint="default" w:ascii="Times New Roman" w:hAnsi="Times New Roman" w:eastAsia="宋体" w:cs="Times New Roman"/>
          <w:sz w:val="30"/>
          <w:szCs w:val="30"/>
          <w:lang w:val="en-US" w:eastAsia="zh-CN"/>
        </w:rPr>
        <w:t>ed</w:t>
      </w:r>
      <w:r>
        <w:rPr>
          <w:rFonts w:hint="default" w:ascii="Times New Roman" w:hAnsi="Times New Roman" w:eastAsia="宋体" w:cs="Times New Roman"/>
          <w:sz w:val="30"/>
          <w:szCs w:val="30"/>
        </w:rPr>
        <w:t xml:space="preserve"> of </w:t>
      </w:r>
      <w:r>
        <w:rPr>
          <w:rFonts w:hint="default" w:ascii="Times New Roman" w:hAnsi="Times New Roman" w:eastAsia="宋体" w:cs="Times New Roman"/>
          <w:i/>
          <w:iCs/>
          <w:sz w:val="30"/>
          <w:szCs w:val="30"/>
        </w:rPr>
        <w:t xml:space="preserve">Caragana korshinskii </w:t>
      </w:r>
      <w:r>
        <w:rPr>
          <w:rFonts w:hint="default" w:ascii="Times New Roman" w:hAnsi="Times New Roman" w:eastAsia="宋体" w:cs="Times New Roman"/>
          <w:sz w:val="30"/>
          <w:szCs w:val="30"/>
        </w:rPr>
        <w:t>silage</w:t>
      </w:r>
    </w:p>
    <w:p w14:paraId="09E7EEC7">
      <w:pPr>
        <w:jc w:val="left"/>
        <w:rPr>
          <w:rFonts w:hint="eastAsia" w:ascii="宋体" w:hAnsi="宋体" w:eastAsia="宋体" w:cs="宋体"/>
          <w:b/>
          <w:bCs/>
          <w:spacing w:val="-10"/>
          <w:kern w:val="2"/>
          <w:sz w:val="44"/>
          <w:szCs w:val="44"/>
          <w:lang w:val="en-US" w:eastAsia="zh-CN" w:bidi="ar-SA"/>
        </w:rPr>
      </w:pPr>
    </w:p>
    <w:p w14:paraId="58CBB693">
      <w:pPr>
        <w:jc w:val="left"/>
        <w:rPr>
          <w:rFonts w:hint="eastAsia" w:ascii="宋体" w:hAnsi="宋体" w:eastAsia="宋体" w:cs="宋体"/>
          <w:b/>
          <w:bCs/>
          <w:spacing w:val="-10"/>
          <w:kern w:val="2"/>
          <w:sz w:val="44"/>
          <w:szCs w:val="44"/>
          <w:lang w:val="en-US" w:eastAsia="zh-CN" w:bidi="ar-SA"/>
        </w:rPr>
      </w:pPr>
    </w:p>
    <w:p w14:paraId="5D3E7DBB">
      <w:pPr>
        <w:jc w:val="left"/>
        <w:rPr>
          <w:rFonts w:hint="eastAsia" w:ascii="宋体" w:hAnsi="宋体" w:eastAsia="宋体" w:cs="宋体"/>
          <w:b/>
          <w:bCs/>
          <w:spacing w:val="-10"/>
          <w:kern w:val="2"/>
          <w:sz w:val="44"/>
          <w:szCs w:val="44"/>
          <w:lang w:val="en-US" w:eastAsia="zh-CN" w:bidi="ar-SA"/>
        </w:rPr>
      </w:pPr>
    </w:p>
    <w:p w14:paraId="5F1D02D3">
      <w:pPr>
        <w:jc w:val="left"/>
        <w:rPr>
          <w:rFonts w:hint="eastAsia" w:ascii="宋体" w:hAnsi="宋体" w:eastAsia="宋体" w:cs="宋体"/>
          <w:b/>
          <w:bCs/>
          <w:spacing w:val="-10"/>
          <w:kern w:val="2"/>
          <w:sz w:val="44"/>
          <w:szCs w:val="44"/>
          <w:lang w:val="en-US" w:eastAsia="zh-CN" w:bidi="ar-SA"/>
        </w:rPr>
      </w:pPr>
    </w:p>
    <w:p w14:paraId="641EFC85">
      <w:pPr>
        <w:jc w:val="left"/>
        <w:rPr>
          <w:rFonts w:hint="eastAsia" w:ascii="宋体" w:hAnsi="宋体" w:eastAsia="宋体" w:cs="宋体"/>
          <w:b/>
          <w:bCs/>
          <w:spacing w:val="-10"/>
          <w:kern w:val="2"/>
          <w:sz w:val="44"/>
          <w:szCs w:val="44"/>
          <w:lang w:val="en-US" w:eastAsia="zh-CN" w:bidi="ar-SA"/>
        </w:rPr>
      </w:pPr>
    </w:p>
    <w:p w14:paraId="602097DD">
      <w:pPr>
        <w:jc w:val="left"/>
        <w:rPr>
          <w:rFonts w:hint="eastAsia" w:ascii="宋体" w:hAnsi="宋体" w:eastAsia="宋体" w:cs="宋体"/>
          <w:b/>
          <w:bCs/>
          <w:spacing w:val="-10"/>
          <w:kern w:val="2"/>
          <w:sz w:val="44"/>
          <w:szCs w:val="44"/>
          <w:lang w:val="en-US" w:eastAsia="zh-CN" w:bidi="ar-SA"/>
        </w:rPr>
      </w:pPr>
    </w:p>
    <w:p w14:paraId="14495C14">
      <w:pPr>
        <w:widowControl w:val="0"/>
        <w:pBdr>
          <w:top w:val="none" w:color="auto" w:sz="0" w:space="1"/>
          <w:left w:val="none" w:color="auto" w:sz="0" w:space="4"/>
          <w:bottom w:val="single" w:color="auto" w:sz="4" w:space="1"/>
          <w:right w:val="none" w:color="auto" w:sz="0" w:space="4"/>
          <w:between w:val="none" w:color="auto" w:sz="0" w:space="0"/>
        </w:pBdr>
        <w:jc w:val="left"/>
        <w:rPr>
          <w:rFonts w:hint="eastAsia" w:ascii="宋体" w:hAnsi="宋体" w:eastAsia="宋体" w:cs="宋体"/>
          <w:b/>
          <w:bCs/>
          <w:spacing w:val="-10"/>
          <w:kern w:val="2"/>
          <w:sz w:val="44"/>
          <w:szCs w:val="44"/>
          <w:lang w:val="en-US" w:eastAsia="zh-CN" w:bidi="ar-SA"/>
        </w:rPr>
      </w:pPr>
    </w:p>
    <w:p w14:paraId="3BE40710">
      <w:pPr>
        <w:jc w:val="center"/>
        <w:outlineLvl w:val="9"/>
        <w:rPr>
          <w:rFonts w:hint="eastAsia" w:ascii="宋体" w:hAnsi="宋体" w:eastAsia="宋体" w:cs="宋体"/>
          <w:b/>
          <w:bCs/>
          <w:spacing w:val="-1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spacing w:val="-10"/>
          <w:kern w:val="2"/>
          <w:sz w:val="32"/>
          <w:szCs w:val="32"/>
          <w:lang w:val="en-US" w:eastAsia="zh-CN" w:bidi="ar-SA"/>
        </w:rPr>
        <w:t>鄂尔多斯市市场监督管理局发</w:t>
      </w:r>
    </w:p>
    <w:p w14:paraId="03CADF49">
      <w:pPr>
        <w:jc w:val="left"/>
        <w:rPr>
          <w:rFonts w:hint="eastAsia" w:ascii="宋体" w:hAnsi="宋体" w:eastAsia="宋体" w:cs="宋体"/>
          <w:b/>
          <w:bCs/>
          <w:spacing w:val="-10"/>
          <w:kern w:val="2"/>
          <w:sz w:val="44"/>
          <w:szCs w:val="44"/>
          <w:lang w:val="en-US" w:eastAsia="zh-CN" w:bidi="ar-SA"/>
        </w:rPr>
      </w:pPr>
    </w:p>
    <w:bookmarkEnd w:id="0"/>
    <w:p w14:paraId="5CBD91B3">
      <w:pPr>
        <w:spacing w:before="0" w:beforeLines="0" w:after="0" w:afterLines="0" w:line="240" w:lineRule="auto"/>
        <w:ind w:left="0" w:leftChars="0" w:right="0" w:rightChars="0" w:firstLine="0" w:firstLineChars="0"/>
        <w:jc w:val="center"/>
        <w:rPr>
          <w:rFonts w:ascii="宋体" w:hAnsi="宋体" w:eastAsia="宋体" w:cstheme="minorBidi"/>
          <w:kern w:val="2"/>
          <w:sz w:val="21"/>
          <w:szCs w:val="24"/>
          <w:lang w:val="en-US" w:eastAsia="zh-CN" w:bidi="ar-SA"/>
        </w:rPr>
      </w:pPr>
    </w:p>
    <w:sdt>
      <w:sdtPr>
        <w:rPr>
          <w:rFonts w:ascii="宋体" w:hAnsi="宋体" w:eastAsia="宋体" w:cstheme="minorBidi"/>
          <w:kern w:val="2"/>
          <w:sz w:val="21"/>
          <w:szCs w:val="24"/>
          <w:lang w:val="en-US" w:eastAsia="zh-CN" w:bidi="ar-SA"/>
        </w:rPr>
        <w:id w:val="147472268"/>
        <w15:color w:val="DBDBDB"/>
        <w:docPartObj>
          <w:docPartGallery w:val="Table of Contents"/>
          <w:docPartUnique/>
        </w:docPartObj>
      </w:sdtPr>
      <w:sdtEndPr>
        <w:rPr>
          <w:rFonts w:ascii="宋体" w:hAnsi="宋体" w:eastAsia="宋体" w:cstheme="minorBidi"/>
          <w:b/>
          <w:kern w:val="2"/>
          <w:sz w:val="21"/>
          <w:szCs w:val="24"/>
          <w:lang w:val="en-US" w:eastAsia="zh-CN" w:bidi="ar-SA"/>
        </w:rPr>
      </w:sdtEndPr>
      <w:sdtContent>
        <w:p w14:paraId="2947ED33"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  <w:rPr>
              <w:sz w:val="24"/>
              <w:szCs w:val="32"/>
            </w:rPr>
          </w:pPr>
          <w:r>
            <w:rPr>
              <w:rFonts w:ascii="宋体" w:hAnsi="宋体" w:eastAsia="宋体"/>
              <w:sz w:val="24"/>
              <w:szCs w:val="32"/>
            </w:rPr>
            <w:t>目录</w:t>
          </w:r>
        </w:p>
        <w:p w14:paraId="3CB1191D">
          <w:pPr>
            <w:pStyle w:val="3"/>
            <w:tabs>
              <w:tab w:val="right" w:leader="dot" w:pos="8306"/>
            </w:tabs>
          </w:pPr>
          <w:r>
            <w:fldChar w:fldCharType="begin"/>
          </w:r>
          <w:r>
            <w:instrText xml:space="preserve">TOC \o "1-2" \h \u </w:instrText>
          </w:r>
          <w:r>
            <w:fldChar w:fldCharType="separate"/>
          </w:r>
          <w:r>
            <w:fldChar w:fldCharType="begin"/>
          </w:r>
          <w:r>
            <w:instrText xml:space="preserve"> HYPERLINK \l _Toc20892 </w:instrText>
          </w:r>
          <w:r>
            <w:fldChar w:fldCharType="separate"/>
          </w:r>
          <w:r>
            <w:rPr>
              <w:rFonts w:hint="eastAsia" w:ascii="黑体" w:hAnsi="黑体" w:eastAsia="黑体" w:cs="黑体"/>
              <w:kern w:val="0"/>
              <w:szCs w:val="32"/>
              <w:lang w:val="en-US" w:eastAsia="zh-CN" w:bidi="ar"/>
            </w:rPr>
            <w:t>前言</w:t>
          </w:r>
          <w:r>
            <w:tab/>
          </w:r>
          <w:r>
            <w:fldChar w:fldCharType="begin"/>
          </w:r>
          <w:r>
            <w:instrText xml:space="preserve"> PAGEREF _Toc20892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 w14:paraId="782BA72F">
          <w:pPr>
            <w:pStyle w:val="3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_Toc6016 </w:instrText>
          </w:r>
          <w:r>
            <w:fldChar w:fldCharType="separate"/>
          </w:r>
          <w:r>
            <w:rPr>
              <w:rFonts w:hint="eastAsia" w:ascii="黑体" w:hAnsi="黑体" w:eastAsia="黑体" w:cs="黑体"/>
              <w:kern w:val="0"/>
              <w:szCs w:val="28"/>
              <w:lang w:val="en-US" w:eastAsia="zh-CN" w:bidi="ar"/>
            </w:rPr>
            <w:t>1范围</w:t>
          </w:r>
          <w:r>
            <w:tab/>
          </w:r>
          <w:r>
            <w:fldChar w:fldCharType="begin"/>
          </w:r>
          <w:r>
            <w:instrText xml:space="preserve"> PAGEREF _Toc6016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 w14:paraId="4791D04D">
          <w:pPr>
            <w:pStyle w:val="3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_Toc18190 </w:instrText>
          </w:r>
          <w:r>
            <w:fldChar w:fldCharType="separate"/>
          </w:r>
          <w:r>
            <w:rPr>
              <w:rFonts w:hint="eastAsia" w:ascii="黑体" w:hAnsi="黑体" w:eastAsia="黑体" w:cs="黑体"/>
              <w:kern w:val="0"/>
              <w:szCs w:val="28"/>
              <w:lang w:val="en-US" w:eastAsia="zh-CN" w:bidi="ar"/>
            </w:rPr>
            <w:t>2规范性引用文件</w:t>
          </w:r>
          <w:r>
            <w:tab/>
          </w:r>
          <w:r>
            <w:fldChar w:fldCharType="begin"/>
          </w:r>
          <w:r>
            <w:instrText xml:space="preserve"> PAGEREF _Toc18190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 w14:paraId="7D5A87E6">
          <w:pPr>
            <w:pStyle w:val="3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_Toc20710 </w:instrText>
          </w:r>
          <w:r>
            <w:fldChar w:fldCharType="separate"/>
          </w:r>
          <w:r>
            <w:rPr>
              <w:rFonts w:hint="eastAsia" w:ascii="黑体" w:hAnsi="黑体" w:eastAsia="黑体" w:cs="黑体"/>
              <w:kern w:val="0"/>
              <w:szCs w:val="28"/>
              <w:lang w:val="en-US" w:eastAsia="zh-CN" w:bidi="ar"/>
            </w:rPr>
            <w:t>3术语和定义</w:t>
          </w:r>
          <w:r>
            <w:tab/>
          </w:r>
          <w:r>
            <w:fldChar w:fldCharType="begin"/>
          </w:r>
          <w:r>
            <w:instrText xml:space="preserve"> PAGEREF _Toc20710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 w14:paraId="6C4BDD47">
          <w:pPr>
            <w:pStyle w:val="4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_Toc21826 </w:instrText>
          </w:r>
          <w:r>
            <w:fldChar w:fldCharType="separate"/>
          </w:r>
          <w:r>
            <w:rPr>
              <w:rFonts w:hint="eastAsia" w:ascii="黑体" w:hAnsi="黑体" w:eastAsia="黑体" w:cs="黑体"/>
              <w:kern w:val="0"/>
              <w:szCs w:val="28"/>
              <w:lang w:val="en-US" w:eastAsia="zh-CN" w:bidi="ar"/>
            </w:rPr>
            <w:t>3.1 柠条</w:t>
          </w:r>
          <w:r>
            <w:tab/>
          </w:r>
          <w:r>
            <w:fldChar w:fldCharType="begin"/>
          </w:r>
          <w:r>
            <w:instrText xml:space="preserve"> PAGEREF _Toc21826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 w14:paraId="370214FB">
          <w:pPr>
            <w:pStyle w:val="4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_Toc24627 </w:instrText>
          </w:r>
          <w:r>
            <w:fldChar w:fldCharType="separate"/>
          </w:r>
          <w:r>
            <w:rPr>
              <w:rFonts w:hint="eastAsia" w:ascii="黑体" w:hAnsi="黑体" w:eastAsia="黑体" w:cs="黑体"/>
              <w:kern w:val="0"/>
              <w:szCs w:val="28"/>
              <w:lang w:val="en-US" w:eastAsia="zh-CN" w:bidi="ar"/>
            </w:rPr>
            <w:t>3.2 青贮技术</w:t>
          </w:r>
          <w:r>
            <w:tab/>
          </w:r>
          <w:r>
            <w:fldChar w:fldCharType="begin"/>
          </w:r>
          <w:r>
            <w:instrText xml:space="preserve"> PAGEREF _Toc24627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 w14:paraId="0B5A4E4E">
          <w:pPr>
            <w:pStyle w:val="4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_Toc15937 </w:instrText>
          </w:r>
          <w:r>
            <w:fldChar w:fldCharType="separate"/>
          </w:r>
          <w:r>
            <w:rPr>
              <w:rFonts w:hint="eastAsia" w:ascii="黑体" w:hAnsi="黑体" w:eastAsia="黑体" w:cs="黑体"/>
              <w:kern w:val="0"/>
              <w:szCs w:val="28"/>
              <w:lang w:val="en-US" w:eastAsia="zh-CN" w:bidi="ar"/>
            </w:rPr>
            <w:t>3.3 青贮饲料</w:t>
          </w:r>
          <w:r>
            <w:tab/>
          </w:r>
          <w:r>
            <w:fldChar w:fldCharType="begin"/>
          </w:r>
          <w:r>
            <w:instrText xml:space="preserve"> PAGEREF _Toc15937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 w14:paraId="2DBE35A2">
          <w:pPr>
            <w:pStyle w:val="4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_Toc4774 </w:instrText>
          </w:r>
          <w:r>
            <w:fldChar w:fldCharType="separate"/>
          </w:r>
          <w:r>
            <w:rPr>
              <w:rFonts w:hint="eastAsia" w:ascii="黑体" w:hAnsi="黑体" w:eastAsia="黑体" w:cs="黑体"/>
              <w:kern w:val="0"/>
              <w:szCs w:val="28"/>
              <w:lang w:val="en-US" w:eastAsia="zh-CN" w:bidi="ar"/>
            </w:rPr>
            <w:t>3.4 青贮设施</w:t>
          </w:r>
          <w:r>
            <w:tab/>
          </w:r>
          <w:r>
            <w:fldChar w:fldCharType="begin"/>
          </w:r>
          <w:r>
            <w:instrText xml:space="preserve"> PAGEREF _Toc4774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 w14:paraId="2C2ACE91">
          <w:pPr>
            <w:pStyle w:val="4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_Toc18495 </w:instrText>
          </w:r>
          <w:r>
            <w:fldChar w:fldCharType="separate"/>
          </w:r>
          <w:r>
            <w:rPr>
              <w:rFonts w:hint="eastAsia" w:ascii="黑体" w:hAnsi="黑体" w:eastAsia="黑体" w:cs="黑体"/>
              <w:kern w:val="0"/>
              <w:szCs w:val="28"/>
              <w:lang w:val="en-US" w:eastAsia="zh-CN" w:bidi="ar"/>
            </w:rPr>
            <w:t>3.5 发酵菌剂</w:t>
          </w:r>
          <w:r>
            <w:tab/>
          </w:r>
          <w:r>
            <w:fldChar w:fldCharType="begin"/>
          </w:r>
          <w:r>
            <w:instrText xml:space="preserve"> PAGEREF _Toc18495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 w14:paraId="13C1150E">
          <w:pPr>
            <w:pStyle w:val="4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_Toc21447 </w:instrText>
          </w:r>
          <w:r>
            <w:fldChar w:fldCharType="separate"/>
          </w:r>
          <w:r>
            <w:rPr>
              <w:rFonts w:hint="eastAsia" w:ascii="黑体" w:hAnsi="黑体" w:eastAsia="黑体" w:cs="黑体"/>
              <w:kern w:val="0"/>
              <w:szCs w:val="28"/>
              <w:lang w:val="en-US" w:eastAsia="zh-CN" w:bidi="ar"/>
            </w:rPr>
            <w:t>3.6 有效活菌数</w:t>
          </w:r>
          <w:r>
            <w:tab/>
          </w:r>
          <w:r>
            <w:fldChar w:fldCharType="begin"/>
          </w:r>
          <w:r>
            <w:instrText xml:space="preserve"> PAGEREF _Toc21447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 w14:paraId="69DE6B7D">
          <w:pPr>
            <w:pStyle w:val="4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_Toc7715 </w:instrText>
          </w:r>
          <w:r>
            <w:fldChar w:fldCharType="separate"/>
          </w:r>
          <w:r>
            <w:rPr>
              <w:rFonts w:hint="eastAsia" w:ascii="黑体" w:hAnsi="黑体" w:eastAsia="黑体" w:cs="黑体"/>
              <w:kern w:val="0"/>
              <w:szCs w:val="28"/>
              <w:lang w:val="en-US" w:eastAsia="zh-CN" w:bidi="ar"/>
            </w:rPr>
            <w:t>3.7 开窖有氧变质</w:t>
          </w:r>
          <w:r>
            <w:tab/>
          </w:r>
          <w:r>
            <w:fldChar w:fldCharType="begin"/>
          </w:r>
          <w:r>
            <w:instrText xml:space="preserve"> PAGEREF _Toc7715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 w14:paraId="1E716189">
          <w:pPr>
            <w:pStyle w:val="3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_Toc25185 </w:instrText>
          </w:r>
          <w:r>
            <w:fldChar w:fldCharType="separate"/>
          </w:r>
          <w:r>
            <w:rPr>
              <w:rFonts w:hint="eastAsia" w:ascii="黑体" w:hAnsi="黑体" w:eastAsia="黑体" w:cs="黑体"/>
              <w:kern w:val="0"/>
              <w:szCs w:val="28"/>
              <w:lang w:val="en-US" w:eastAsia="zh-CN" w:bidi="ar"/>
            </w:rPr>
            <w:t>4 生产技术要求</w:t>
          </w:r>
          <w:r>
            <w:tab/>
          </w:r>
          <w:r>
            <w:fldChar w:fldCharType="begin"/>
          </w:r>
          <w:r>
            <w:instrText xml:space="preserve"> PAGEREF _Toc25185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 w14:paraId="0B7DA37E">
          <w:pPr>
            <w:pStyle w:val="4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_Toc11556 </w:instrText>
          </w:r>
          <w:r>
            <w:fldChar w:fldCharType="separate"/>
          </w:r>
          <w:r>
            <w:rPr>
              <w:rFonts w:hint="eastAsia" w:ascii="黑体" w:hAnsi="黑体" w:eastAsia="黑体" w:cs="黑体"/>
              <w:kern w:val="0"/>
              <w:szCs w:val="28"/>
              <w:lang w:val="en-US" w:eastAsia="zh-CN" w:bidi="ar"/>
            </w:rPr>
            <w:t>4.1 存贮地点要求</w:t>
          </w:r>
          <w:r>
            <w:tab/>
          </w:r>
          <w:r>
            <w:fldChar w:fldCharType="begin"/>
          </w:r>
          <w:r>
            <w:instrText xml:space="preserve"> PAGEREF _Toc11556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 w14:paraId="4ECDF1D9">
          <w:pPr>
            <w:pStyle w:val="4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_Toc16922 </w:instrText>
          </w:r>
          <w:r>
            <w:fldChar w:fldCharType="separate"/>
          </w:r>
          <w:r>
            <w:rPr>
              <w:rFonts w:hint="eastAsia" w:ascii="黑体" w:hAnsi="黑体" w:eastAsia="黑体" w:cs="黑体"/>
              <w:kern w:val="0"/>
              <w:szCs w:val="28"/>
              <w:lang w:val="en-US" w:eastAsia="zh-CN" w:bidi="ar"/>
            </w:rPr>
            <w:t>4.2 设施要求</w:t>
          </w:r>
          <w:r>
            <w:tab/>
          </w:r>
          <w:r>
            <w:fldChar w:fldCharType="begin"/>
          </w:r>
          <w:r>
            <w:instrText xml:space="preserve"> PAGEREF _Toc16922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 w14:paraId="00F22D5F">
          <w:pPr>
            <w:pStyle w:val="4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_Toc12397 </w:instrText>
          </w:r>
          <w:r>
            <w:fldChar w:fldCharType="separate"/>
          </w:r>
          <w:r>
            <w:rPr>
              <w:rFonts w:hint="eastAsia" w:ascii="黑体" w:hAnsi="黑体" w:eastAsia="黑体" w:cs="黑体"/>
              <w:kern w:val="0"/>
              <w:szCs w:val="28"/>
              <w:lang w:val="en-US" w:eastAsia="zh-CN" w:bidi="ar"/>
            </w:rPr>
            <w:t>4.3 加工设备要求</w:t>
          </w:r>
          <w:r>
            <w:tab/>
          </w:r>
          <w:r>
            <w:fldChar w:fldCharType="begin"/>
          </w:r>
          <w:r>
            <w:instrText xml:space="preserve"> PAGEREF _Toc12397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 w14:paraId="1F32D274">
          <w:pPr>
            <w:pStyle w:val="4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_Toc30470 </w:instrText>
          </w:r>
          <w:r>
            <w:fldChar w:fldCharType="separate"/>
          </w:r>
          <w:r>
            <w:rPr>
              <w:rFonts w:hint="eastAsia" w:ascii="黑体" w:hAnsi="黑体" w:eastAsia="黑体" w:cs="黑体"/>
              <w:kern w:val="0"/>
              <w:szCs w:val="28"/>
              <w:lang w:val="en-US" w:eastAsia="zh-CN" w:bidi="ar"/>
            </w:rPr>
            <w:t>4.3.1 饲料饲草加工机械</w:t>
          </w:r>
          <w:r>
            <w:tab/>
          </w:r>
          <w:r>
            <w:fldChar w:fldCharType="begin"/>
          </w:r>
          <w:r>
            <w:instrText xml:space="preserve"> PAGEREF _Toc30470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 w14:paraId="5A90021E">
          <w:pPr>
            <w:pStyle w:val="4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_Toc25332 </w:instrText>
          </w:r>
          <w:r>
            <w:fldChar w:fldCharType="separate"/>
          </w:r>
          <w:r>
            <w:rPr>
              <w:rFonts w:hint="eastAsia" w:ascii="黑体" w:hAnsi="黑体" w:eastAsia="黑体" w:cs="黑体"/>
              <w:kern w:val="0"/>
              <w:szCs w:val="28"/>
              <w:lang w:val="en-US" w:eastAsia="zh-CN" w:bidi="ar"/>
            </w:rPr>
            <w:t>4.3.2 混合机械</w:t>
          </w:r>
          <w:r>
            <w:tab/>
          </w:r>
          <w:r>
            <w:fldChar w:fldCharType="begin"/>
          </w:r>
          <w:r>
            <w:instrText xml:space="preserve"> PAGEREF _Toc25332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 w14:paraId="3AC96A18">
          <w:pPr>
            <w:pStyle w:val="4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_Toc17070 </w:instrText>
          </w:r>
          <w:r>
            <w:fldChar w:fldCharType="separate"/>
          </w:r>
          <w:r>
            <w:rPr>
              <w:rFonts w:hint="eastAsia" w:ascii="黑体" w:hAnsi="黑体" w:eastAsia="黑体" w:cs="黑体"/>
              <w:kern w:val="0"/>
              <w:szCs w:val="28"/>
              <w:lang w:val="en-US" w:eastAsia="zh-CN" w:bidi="ar"/>
            </w:rPr>
            <w:t>4.3.3 打捆、裹包、装袋设备</w:t>
          </w:r>
          <w:r>
            <w:tab/>
          </w:r>
          <w:r>
            <w:fldChar w:fldCharType="begin"/>
          </w:r>
          <w:r>
            <w:instrText xml:space="preserve"> PAGEREF _Toc17070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 w14:paraId="24344E7F">
          <w:pPr>
            <w:pStyle w:val="3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_Toc20703 </w:instrText>
          </w:r>
          <w:r>
            <w:fldChar w:fldCharType="separate"/>
          </w:r>
          <w:r>
            <w:rPr>
              <w:rFonts w:hint="eastAsia" w:ascii="黑体" w:hAnsi="黑体" w:eastAsia="黑体" w:cs="黑体"/>
              <w:kern w:val="0"/>
              <w:szCs w:val="28"/>
              <w:lang w:val="en-US" w:eastAsia="zh-CN" w:bidi="ar"/>
            </w:rPr>
            <w:t>5 备料要求</w:t>
          </w:r>
          <w:r>
            <w:tab/>
          </w:r>
          <w:r>
            <w:fldChar w:fldCharType="begin"/>
          </w:r>
          <w:r>
            <w:instrText xml:space="preserve"> PAGEREF _Toc20703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 w14:paraId="420C9076">
          <w:pPr>
            <w:pStyle w:val="4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_Toc5723 </w:instrText>
          </w:r>
          <w:r>
            <w:fldChar w:fldCharType="separate"/>
          </w:r>
          <w:r>
            <w:rPr>
              <w:rFonts w:hint="eastAsia" w:ascii="黑体" w:hAnsi="黑体" w:eastAsia="黑体" w:cs="黑体"/>
              <w:kern w:val="0"/>
              <w:szCs w:val="28"/>
              <w:lang w:val="en-US" w:eastAsia="zh-CN" w:bidi="ar"/>
            </w:rPr>
            <w:t>5.1收获</w:t>
          </w:r>
          <w:r>
            <w:tab/>
          </w:r>
          <w:r>
            <w:fldChar w:fldCharType="begin"/>
          </w:r>
          <w:r>
            <w:instrText xml:space="preserve"> PAGEREF _Toc5723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 w14:paraId="60EF3CFC">
          <w:pPr>
            <w:pStyle w:val="4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_Toc19755 </w:instrText>
          </w:r>
          <w:r>
            <w:fldChar w:fldCharType="separate"/>
          </w:r>
          <w:r>
            <w:rPr>
              <w:rFonts w:hint="eastAsia" w:ascii="黑体" w:hAnsi="黑体" w:eastAsia="黑体" w:cs="黑体"/>
              <w:kern w:val="0"/>
              <w:szCs w:val="28"/>
              <w:lang w:val="en-US" w:eastAsia="zh-CN" w:bidi="ar"/>
            </w:rPr>
            <w:t>5.2 揉丝粉碎</w:t>
          </w:r>
          <w:r>
            <w:tab/>
          </w:r>
          <w:r>
            <w:fldChar w:fldCharType="begin"/>
          </w:r>
          <w:r>
            <w:instrText xml:space="preserve"> PAGEREF _Toc19755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 w14:paraId="0750105E">
          <w:pPr>
            <w:pStyle w:val="4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_Toc19620 </w:instrText>
          </w:r>
          <w:r>
            <w:fldChar w:fldCharType="separate"/>
          </w:r>
          <w:r>
            <w:rPr>
              <w:rFonts w:hint="eastAsia" w:ascii="黑体" w:hAnsi="黑体" w:eastAsia="黑体" w:cs="黑体"/>
              <w:kern w:val="0"/>
              <w:szCs w:val="28"/>
              <w:lang w:val="en-US" w:eastAsia="zh-CN" w:bidi="ar"/>
            </w:rPr>
            <w:t>5.3 水分调节</w:t>
          </w:r>
          <w:r>
            <w:tab/>
          </w:r>
          <w:r>
            <w:fldChar w:fldCharType="begin"/>
          </w:r>
          <w:r>
            <w:instrText xml:space="preserve"> PAGEREF _Toc19620 \h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fldChar w:fldCharType="end"/>
          </w:r>
        </w:p>
        <w:p w14:paraId="37BE375D">
          <w:pPr>
            <w:pStyle w:val="3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_Toc30064 </w:instrText>
          </w:r>
          <w:r>
            <w:fldChar w:fldCharType="separate"/>
          </w:r>
          <w:r>
            <w:rPr>
              <w:rFonts w:hint="eastAsia" w:ascii="黑体" w:hAnsi="黑体" w:eastAsia="黑体" w:cs="黑体"/>
              <w:kern w:val="0"/>
              <w:szCs w:val="28"/>
              <w:lang w:val="en-US" w:eastAsia="zh-CN" w:bidi="ar"/>
            </w:rPr>
            <w:t>6 装填</w:t>
          </w:r>
          <w:r>
            <w:tab/>
          </w:r>
          <w:r>
            <w:fldChar w:fldCharType="begin"/>
          </w:r>
          <w:r>
            <w:instrText xml:space="preserve"> PAGEREF _Toc30064 \h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fldChar w:fldCharType="end"/>
          </w:r>
        </w:p>
        <w:p w14:paraId="241C98B7">
          <w:pPr>
            <w:pStyle w:val="4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_Toc3221 </w:instrText>
          </w:r>
          <w:r>
            <w:fldChar w:fldCharType="separate"/>
          </w:r>
          <w:r>
            <w:rPr>
              <w:rFonts w:hint="eastAsia" w:ascii="黑体" w:hAnsi="黑体" w:eastAsia="黑体" w:cs="黑体"/>
              <w:kern w:val="0"/>
              <w:szCs w:val="28"/>
              <w:lang w:val="en-US" w:eastAsia="zh-CN" w:bidi="ar"/>
            </w:rPr>
            <w:t>6.1窖贮装填</w:t>
          </w:r>
          <w:r>
            <w:tab/>
          </w:r>
          <w:r>
            <w:fldChar w:fldCharType="begin"/>
          </w:r>
          <w:r>
            <w:instrText xml:space="preserve"> PAGEREF _Toc3221 \h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fldChar w:fldCharType="end"/>
          </w:r>
        </w:p>
        <w:p w14:paraId="13C519C6">
          <w:pPr>
            <w:pStyle w:val="4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_Toc15614 </w:instrText>
          </w:r>
          <w:r>
            <w:fldChar w:fldCharType="separate"/>
          </w:r>
          <w:r>
            <w:rPr>
              <w:rFonts w:hint="eastAsia" w:ascii="黑体" w:hAnsi="黑体" w:eastAsia="黑体" w:cs="黑体"/>
              <w:kern w:val="0"/>
              <w:szCs w:val="28"/>
              <w:lang w:val="en-US" w:eastAsia="zh-CN" w:bidi="ar"/>
            </w:rPr>
            <w:t>6.2裹包（装袋）青贮</w:t>
          </w:r>
          <w:r>
            <w:tab/>
          </w:r>
          <w:r>
            <w:fldChar w:fldCharType="begin"/>
          </w:r>
          <w:r>
            <w:instrText xml:space="preserve"> PAGEREF _Toc15614 \h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fldChar w:fldCharType="end"/>
          </w:r>
        </w:p>
        <w:p w14:paraId="1356A185">
          <w:pPr>
            <w:pStyle w:val="3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_Toc423 </w:instrText>
          </w:r>
          <w:r>
            <w:fldChar w:fldCharType="separate"/>
          </w:r>
          <w:r>
            <w:rPr>
              <w:rFonts w:hint="eastAsia" w:ascii="黑体" w:hAnsi="黑体" w:eastAsia="黑体" w:cs="黑体"/>
              <w:kern w:val="0"/>
              <w:szCs w:val="28"/>
              <w:lang w:val="en-US" w:eastAsia="zh-CN" w:bidi="ar"/>
            </w:rPr>
            <w:t>7 压实</w:t>
          </w:r>
          <w:r>
            <w:tab/>
          </w:r>
          <w:r>
            <w:fldChar w:fldCharType="begin"/>
          </w:r>
          <w:r>
            <w:instrText xml:space="preserve"> PAGEREF _Toc423 \h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fldChar w:fldCharType="end"/>
          </w:r>
        </w:p>
        <w:p w14:paraId="7C2B6FB4">
          <w:pPr>
            <w:pStyle w:val="4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_Toc16934 </w:instrText>
          </w:r>
          <w:r>
            <w:fldChar w:fldCharType="separate"/>
          </w:r>
          <w:r>
            <w:rPr>
              <w:rFonts w:hint="eastAsia" w:ascii="黑体" w:hAnsi="黑体" w:eastAsia="黑体" w:cs="黑体"/>
              <w:kern w:val="0"/>
              <w:szCs w:val="28"/>
              <w:lang w:val="en-US" w:eastAsia="zh-CN" w:bidi="ar"/>
            </w:rPr>
            <w:t>7.1窖贮压实</w:t>
          </w:r>
          <w:r>
            <w:tab/>
          </w:r>
          <w:r>
            <w:fldChar w:fldCharType="begin"/>
          </w:r>
          <w:r>
            <w:instrText xml:space="preserve"> PAGEREF _Toc16934 \h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fldChar w:fldCharType="end"/>
          </w:r>
        </w:p>
        <w:p w14:paraId="40723BC2">
          <w:pPr>
            <w:pStyle w:val="4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_Toc32741 </w:instrText>
          </w:r>
          <w:r>
            <w:fldChar w:fldCharType="separate"/>
          </w:r>
          <w:r>
            <w:rPr>
              <w:rFonts w:hint="eastAsia" w:ascii="黑体" w:hAnsi="黑体" w:eastAsia="黑体" w:cs="黑体"/>
              <w:kern w:val="0"/>
              <w:szCs w:val="28"/>
              <w:lang w:val="en-US" w:eastAsia="zh-CN" w:bidi="ar"/>
            </w:rPr>
            <w:t>7.2 打捆压实</w:t>
          </w:r>
          <w:r>
            <w:tab/>
          </w:r>
          <w:r>
            <w:fldChar w:fldCharType="begin"/>
          </w:r>
          <w:r>
            <w:instrText xml:space="preserve"> PAGEREF _Toc32741 \h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fldChar w:fldCharType="end"/>
          </w:r>
        </w:p>
        <w:p w14:paraId="01930E0E">
          <w:pPr>
            <w:pStyle w:val="3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_Toc16553 </w:instrText>
          </w:r>
          <w:r>
            <w:fldChar w:fldCharType="separate"/>
          </w:r>
          <w:r>
            <w:rPr>
              <w:rFonts w:hint="eastAsia" w:ascii="黑体" w:hAnsi="黑体" w:eastAsia="黑体" w:cs="黑体"/>
              <w:kern w:val="0"/>
              <w:szCs w:val="28"/>
              <w:lang w:val="en-US" w:eastAsia="zh-CN" w:bidi="ar"/>
            </w:rPr>
            <w:t>8 质量控制</w:t>
          </w:r>
          <w:r>
            <w:tab/>
          </w:r>
          <w:r>
            <w:fldChar w:fldCharType="begin"/>
          </w:r>
          <w:r>
            <w:instrText xml:space="preserve"> PAGEREF _Toc16553 \h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fldChar w:fldCharType="end"/>
          </w:r>
        </w:p>
        <w:p w14:paraId="2E297DD8">
          <w:pPr>
            <w:pStyle w:val="3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_Toc26953 </w:instrText>
          </w:r>
          <w:r>
            <w:fldChar w:fldCharType="separate"/>
          </w:r>
          <w:r>
            <w:rPr>
              <w:rFonts w:hint="eastAsia" w:ascii="黑体" w:hAnsi="黑体" w:eastAsia="黑体" w:cs="黑体"/>
              <w:kern w:val="0"/>
              <w:szCs w:val="28"/>
              <w:lang w:val="en-US" w:eastAsia="zh-CN" w:bidi="ar"/>
            </w:rPr>
            <w:t>9 品质评价</w:t>
          </w:r>
          <w:r>
            <w:tab/>
          </w:r>
          <w:r>
            <w:fldChar w:fldCharType="begin"/>
          </w:r>
          <w:r>
            <w:instrText xml:space="preserve"> PAGEREF _Toc26953 \h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fldChar w:fldCharType="end"/>
          </w:r>
        </w:p>
        <w:p w14:paraId="6EEDF3A8">
          <w:pPr>
            <w:pStyle w:val="4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_Toc25558 </w:instrText>
          </w:r>
          <w:r>
            <w:fldChar w:fldCharType="separate"/>
          </w:r>
          <w:r>
            <w:rPr>
              <w:rFonts w:hint="eastAsia" w:ascii="黑体" w:hAnsi="黑体" w:eastAsia="黑体" w:cs="黑体"/>
              <w:kern w:val="0"/>
              <w:szCs w:val="28"/>
              <w:lang w:val="en-US" w:eastAsia="zh-CN" w:bidi="ar"/>
            </w:rPr>
            <w:t>9.1 上等青贮饲料</w:t>
          </w:r>
          <w:r>
            <w:tab/>
          </w:r>
          <w:r>
            <w:fldChar w:fldCharType="begin"/>
          </w:r>
          <w:r>
            <w:instrText xml:space="preserve"> PAGEREF _Toc25558 \h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fldChar w:fldCharType="end"/>
          </w:r>
        </w:p>
        <w:p w14:paraId="231FE768">
          <w:pPr>
            <w:pStyle w:val="4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_Toc14167 </w:instrText>
          </w:r>
          <w:r>
            <w:fldChar w:fldCharType="separate"/>
          </w:r>
          <w:r>
            <w:rPr>
              <w:rFonts w:hint="eastAsia" w:ascii="黑体" w:hAnsi="黑体" w:eastAsia="黑体" w:cs="黑体"/>
              <w:kern w:val="0"/>
              <w:szCs w:val="28"/>
              <w:lang w:val="en-US" w:eastAsia="zh-CN" w:bidi="ar"/>
            </w:rPr>
            <w:t>9.2 中等青贮饲料</w:t>
          </w:r>
          <w:r>
            <w:tab/>
          </w:r>
          <w:r>
            <w:fldChar w:fldCharType="begin"/>
          </w:r>
          <w:r>
            <w:instrText xml:space="preserve"> PAGEREF _Toc14167 \h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fldChar w:fldCharType="end"/>
          </w:r>
        </w:p>
        <w:p w14:paraId="2BB8E475">
          <w:pPr>
            <w:pStyle w:val="4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_Toc21004 </w:instrText>
          </w:r>
          <w:r>
            <w:fldChar w:fldCharType="separate"/>
          </w:r>
          <w:r>
            <w:rPr>
              <w:rFonts w:hint="eastAsia" w:ascii="黑体" w:hAnsi="黑体" w:eastAsia="黑体" w:cs="黑体"/>
              <w:kern w:val="0"/>
              <w:szCs w:val="28"/>
              <w:lang w:val="en-US" w:eastAsia="zh-CN" w:bidi="ar"/>
            </w:rPr>
            <w:t>9.3 劣等青贮饲料</w:t>
          </w:r>
          <w:r>
            <w:tab/>
          </w:r>
          <w:r>
            <w:fldChar w:fldCharType="begin"/>
          </w:r>
          <w:r>
            <w:instrText xml:space="preserve"> PAGEREF _Toc21004 \h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fldChar w:fldCharType="end"/>
          </w:r>
        </w:p>
        <w:p w14:paraId="68FCDCBA">
          <w:pPr>
            <w:pStyle w:val="3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_Toc26164 </w:instrText>
          </w:r>
          <w:r>
            <w:fldChar w:fldCharType="separate"/>
          </w:r>
          <w:r>
            <w:rPr>
              <w:rFonts w:hint="eastAsia" w:ascii="黑体" w:hAnsi="黑体" w:eastAsia="黑体" w:cs="黑体"/>
              <w:kern w:val="0"/>
              <w:szCs w:val="28"/>
              <w:lang w:val="en-US" w:eastAsia="zh-CN" w:bidi="ar"/>
            </w:rPr>
            <w:t>10饲喂</w:t>
          </w:r>
          <w:r>
            <w:tab/>
          </w:r>
          <w:r>
            <w:fldChar w:fldCharType="begin"/>
          </w:r>
          <w:r>
            <w:instrText xml:space="preserve"> PAGEREF _Toc26164 \h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fldChar w:fldCharType="end"/>
          </w:r>
        </w:p>
        <w:p w14:paraId="770BF62B">
          <w:pPr>
            <w:pStyle w:val="4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_Toc20757 </w:instrText>
          </w:r>
          <w:r>
            <w:fldChar w:fldCharType="separate"/>
          </w:r>
          <w:r>
            <w:rPr>
              <w:rFonts w:hint="eastAsia" w:ascii="黑体" w:hAnsi="黑体" w:eastAsia="黑体" w:cs="黑体"/>
              <w:kern w:val="0"/>
              <w:szCs w:val="28"/>
              <w:lang w:val="en-US" w:eastAsia="zh-CN" w:bidi="ar"/>
            </w:rPr>
            <w:t>10.1开封饲喂</w:t>
          </w:r>
          <w:r>
            <w:tab/>
          </w:r>
          <w:r>
            <w:fldChar w:fldCharType="begin"/>
          </w:r>
          <w:r>
            <w:instrText xml:space="preserve"> PAGEREF _Toc20757 \h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fldChar w:fldCharType="end"/>
          </w:r>
        </w:p>
        <w:p w14:paraId="22F9DD39">
          <w:pPr>
            <w:pStyle w:val="4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_Toc24020 </w:instrText>
          </w:r>
          <w:r>
            <w:fldChar w:fldCharType="separate"/>
          </w:r>
          <w:r>
            <w:rPr>
              <w:rFonts w:hint="eastAsia" w:ascii="黑体" w:hAnsi="黑体" w:eastAsia="黑体" w:cs="黑体"/>
              <w:kern w:val="0"/>
              <w:szCs w:val="28"/>
              <w:lang w:val="en-US" w:eastAsia="zh-CN" w:bidi="ar"/>
            </w:rPr>
            <w:t>10.2 取料</w:t>
          </w:r>
          <w:r>
            <w:tab/>
          </w:r>
          <w:r>
            <w:fldChar w:fldCharType="begin"/>
          </w:r>
          <w:r>
            <w:instrText xml:space="preserve"> PAGEREF _Toc24020 \h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fldChar w:fldCharType="end"/>
          </w:r>
        </w:p>
        <w:p w14:paraId="3922A881">
          <w:pPr>
            <w:pStyle w:val="4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_Toc17697 </w:instrText>
          </w:r>
          <w:r>
            <w:fldChar w:fldCharType="separate"/>
          </w:r>
          <w:r>
            <w:rPr>
              <w:rFonts w:hint="eastAsia" w:ascii="黑体" w:hAnsi="黑体" w:eastAsia="黑体" w:cs="黑体"/>
              <w:kern w:val="0"/>
              <w:szCs w:val="28"/>
              <w:lang w:val="en-US" w:eastAsia="zh-CN" w:bidi="ar"/>
            </w:rPr>
            <w:t>10.3 添加物</w:t>
          </w:r>
          <w:r>
            <w:tab/>
          </w:r>
          <w:r>
            <w:fldChar w:fldCharType="begin"/>
          </w:r>
          <w:r>
            <w:instrText xml:space="preserve"> PAGEREF _Toc17697 \h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fldChar w:fldCharType="end"/>
          </w:r>
        </w:p>
        <w:p w14:paraId="2A0F5DC1">
          <w:pPr>
            <w:rPr>
              <w:b/>
            </w:rPr>
          </w:pPr>
          <w:r>
            <w:fldChar w:fldCharType="end"/>
          </w:r>
        </w:p>
      </w:sdtContent>
    </w:sdt>
    <w:p w14:paraId="398FC78A">
      <w:pPr>
        <w:rPr>
          <w:b/>
        </w:rPr>
      </w:pPr>
    </w:p>
    <w:p w14:paraId="5E4F2E59">
      <w:pPr>
        <w:rPr>
          <w:b/>
        </w:rPr>
      </w:pPr>
    </w:p>
    <w:p w14:paraId="65B679B5">
      <w:pPr>
        <w:rPr>
          <w:b/>
        </w:rPr>
      </w:pPr>
    </w:p>
    <w:p w14:paraId="11CCF1CE">
      <w:pPr>
        <w:rPr>
          <w:b/>
        </w:rPr>
      </w:pPr>
    </w:p>
    <w:p w14:paraId="447749AE">
      <w:pPr>
        <w:keepNext w:val="0"/>
        <w:keepLines w:val="0"/>
        <w:widowControl/>
        <w:suppressLineNumbers w:val="0"/>
        <w:jc w:val="center"/>
        <w:outlineLvl w:val="9"/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spacing w:val="-10"/>
          <w:kern w:val="2"/>
          <w:sz w:val="44"/>
          <w:szCs w:val="44"/>
          <w:lang w:val="en-US" w:eastAsia="zh-CN" w:bidi="ar-SA"/>
        </w:rPr>
        <w:t>柠条微生物青贮发酵技术规程（征求意见稿）</w:t>
      </w:r>
    </w:p>
    <w:p w14:paraId="2369A443">
      <w:pPr>
        <w:jc w:val="center"/>
        <w:outlineLvl w:val="9"/>
        <w:rPr>
          <w:rFonts w:hint="default" w:ascii="Times New Roman" w:hAnsi="Times New Roman" w:eastAsia="宋体" w:cs="Times New Roman"/>
          <w:b/>
          <w:bCs/>
          <w:spacing w:val="-10"/>
          <w:kern w:val="2"/>
          <w:sz w:val="30"/>
          <w:szCs w:val="30"/>
          <w:lang w:val="en-US" w:eastAsia="zh-CN" w:bidi="ar-SA"/>
        </w:rPr>
      </w:pPr>
      <w:r>
        <w:rPr>
          <w:rFonts w:hint="default" w:ascii="Times New Roman" w:hAnsi="Times New Roman" w:eastAsia="宋体" w:cs="Times New Roman"/>
          <w:sz w:val="30"/>
          <w:szCs w:val="30"/>
          <w:lang w:val="en-US" w:eastAsia="zh-CN"/>
        </w:rPr>
        <w:t>C</w:t>
      </w:r>
      <w:r>
        <w:rPr>
          <w:rFonts w:hint="default" w:ascii="Times New Roman" w:hAnsi="Times New Roman" w:eastAsia="宋体" w:cs="Times New Roman"/>
          <w:sz w:val="30"/>
          <w:szCs w:val="30"/>
        </w:rPr>
        <w:t xml:space="preserve">ode of </w:t>
      </w:r>
      <w:r>
        <w:rPr>
          <w:rFonts w:hint="default" w:ascii="Times New Roman" w:hAnsi="Times New Roman" w:eastAsia="宋体" w:cs="Times New Roman"/>
          <w:sz w:val="30"/>
          <w:szCs w:val="30"/>
          <w:lang w:val="en-US" w:eastAsia="zh-CN"/>
        </w:rPr>
        <w:t>p</w:t>
      </w:r>
      <w:r>
        <w:rPr>
          <w:rFonts w:hint="default" w:ascii="Times New Roman" w:hAnsi="Times New Roman" w:eastAsia="宋体" w:cs="Times New Roman"/>
          <w:sz w:val="30"/>
          <w:szCs w:val="30"/>
        </w:rPr>
        <w:t xml:space="preserve">ractice for </w:t>
      </w:r>
      <w:r>
        <w:rPr>
          <w:rFonts w:hint="default" w:ascii="Times New Roman" w:hAnsi="Times New Roman" w:eastAsia="宋体" w:cs="Times New Roman"/>
          <w:sz w:val="30"/>
          <w:szCs w:val="30"/>
          <w:lang w:val="en-US" w:eastAsia="zh-CN"/>
        </w:rPr>
        <w:t>m</w:t>
      </w:r>
      <w:r>
        <w:rPr>
          <w:rFonts w:hint="default" w:ascii="Times New Roman" w:hAnsi="Times New Roman" w:eastAsia="宋体" w:cs="Times New Roman"/>
          <w:sz w:val="30"/>
          <w:szCs w:val="30"/>
        </w:rPr>
        <w:t xml:space="preserve">aking </w:t>
      </w:r>
      <w:r>
        <w:rPr>
          <w:rFonts w:hint="default" w:ascii="Times New Roman" w:hAnsi="Times New Roman" w:eastAsia="宋体" w:cs="Times New Roman"/>
          <w:sz w:val="30"/>
          <w:szCs w:val="30"/>
          <w:lang w:val="en-US" w:eastAsia="zh-CN"/>
        </w:rPr>
        <w:t>f</w:t>
      </w:r>
      <w:r>
        <w:rPr>
          <w:rFonts w:hint="default" w:ascii="Times New Roman" w:hAnsi="Times New Roman" w:eastAsia="宋体" w:cs="Times New Roman"/>
          <w:sz w:val="30"/>
          <w:szCs w:val="30"/>
        </w:rPr>
        <w:t>erment</w:t>
      </w:r>
      <w:r>
        <w:rPr>
          <w:rFonts w:hint="default" w:ascii="Times New Roman" w:hAnsi="Times New Roman" w:eastAsia="宋体" w:cs="Times New Roman"/>
          <w:sz w:val="30"/>
          <w:szCs w:val="30"/>
          <w:lang w:val="en-US" w:eastAsia="zh-CN"/>
        </w:rPr>
        <w:t>ed</w:t>
      </w:r>
      <w:r>
        <w:rPr>
          <w:rFonts w:hint="default" w:ascii="Times New Roman" w:hAnsi="Times New Roman" w:eastAsia="宋体" w:cs="Times New Roman"/>
          <w:sz w:val="30"/>
          <w:szCs w:val="30"/>
        </w:rPr>
        <w:t xml:space="preserve"> of </w:t>
      </w:r>
      <w:r>
        <w:rPr>
          <w:rFonts w:hint="default" w:ascii="Times New Roman" w:hAnsi="Times New Roman" w:eastAsia="宋体" w:cs="Times New Roman"/>
          <w:i/>
          <w:iCs/>
          <w:sz w:val="30"/>
          <w:szCs w:val="30"/>
        </w:rPr>
        <w:t xml:space="preserve">Caragana korshinskii </w:t>
      </w:r>
      <w:r>
        <w:rPr>
          <w:rFonts w:hint="default" w:ascii="Times New Roman" w:hAnsi="Times New Roman" w:eastAsia="宋体" w:cs="Times New Roman"/>
          <w:sz w:val="30"/>
          <w:szCs w:val="30"/>
        </w:rPr>
        <w:t>silage</w:t>
      </w:r>
    </w:p>
    <w:p w14:paraId="5443AFE3">
      <w:pPr>
        <w:keepNext w:val="0"/>
        <w:keepLines w:val="0"/>
        <w:widowControl/>
        <w:suppressLineNumbers w:val="0"/>
        <w:jc w:val="left"/>
        <w:outlineLvl w:val="0"/>
        <w:rPr>
          <w:rFonts w:hint="default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bookmarkStart w:id="1" w:name="_Toc20892"/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前言</w:t>
      </w:r>
      <w:bookmarkEnd w:id="1"/>
    </w:p>
    <w:p w14:paraId="0A231D61"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本标准按照GB/T1.1—2020给出的规则起草。 </w:t>
      </w:r>
    </w:p>
    <w:p w14:paraId="101A075A"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本标准由鄂尔多斯市农牧技术推广中心提出。 </w:t>
      </w:r>
    </w:p>
    <w:p w14:paraId="7483FEC3"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本标准由鄂尔多斯市标准化技术委员会归口。 </w:t>
      </w:r>
    </w:p>
    <w:p w14:paraId="3F3BE480"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本标准起草单位：鄂尔多斯市农牧技术推广中心、乌审旗农牧技术推广中心、乌审旗达希养殖专业合作社。 </w:t>
      </w:r>
    </w:p>
    <w:p w14:paraId="1FABA9D8"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本标准主要起草人: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张晓东</w:t>
      </w:r>
      <w:r>
        <w:rPr>
          <w:rFonts w:hint="default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、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哈斯牧仁</w:t>
      </w:r>
      <w:r>
        <w:rPr>
          <w:rFonts w:hint="default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、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苏磊、</w:t>
      </w:r>
      <w:bookmarkStart w:id="58" w:name="_GoBack"/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成海荣</w:t>
      </w:r>
      <w:r>
        <w:rPr>
          <w:rFonts w:hint="default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、</w:t>
      </w:r>
      <w:bookmarkEnd w:id="58"/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乌力吉、郭晓宇</w:t>
      </w:r>
      <w:r>
        <w:rPr>
          <w:rFonts w:hint="default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、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崔红霞</w:t>
      </w:r>
      <w:r>
        <w:rPr>
          <w:rFonts w:hint="default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、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张圆圆、武蓉、项敏</w:t>
      </w:r>
      <w:r>
        <w:rPr>
          <w:rFonts w:hint="default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、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米其德、乌云其其格、布日古德、哈斯鲁。</w:t>
      </w:r>
    </w:p>
    <w:p w14:paraId="248C3333"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outlineLvl w:val="0"/>
        <w:rPr>
          <w:rFonts w:hint="eastAsia" w:ascii="仿宋_GB2312" w:hAnsi="仿宋_GB2312" w:eastAsia="仿宋_GB2312" w:cs="仿宋_GB2312"/>
          <w:sz w:val="28"/>
          <w:szCs w:val="28"/>
        </w:rPr>
      </w:pPr>
      <w:bookmarkStart w:id="2" w:name="_Toc6016"/>
      <w:bookmarkStart w:id="3" w:name="_Toc30027"/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 w:bidi="ar"/>
        </w:rPr>
        <w:t>1范围</w:t>
      </w:r>
      <w:bookmarkEnd w:id="2"/>
      <w:bookmarkEnd w:id="3"/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 </w:t>
      </w:r>
    </w:p>
    <w:p w14:paraId="5B90785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本标准规定了柠条的贮前准备、原料、切碎、装填与压实、密封、贮后管理、取饲等技术要求。 </w:t>
      </w:r>
    </w:p>
    <w:p w14:paraId="47711D4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本标准适用于柠条青贮饲料的生产。 </w:t>
      </w:r>
    </w:p>
    <w:p w14:paraId="7E40E032"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outlineLvl w:val="0"/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 w:bidi="ar"/>
        </w:rPr>
      </w:pPr>
      <w:bookmarkStart w:id="4" w:name="_Toc18190"/>
      <w:bookmarkStart w:id="5" w:name="_Toc27293"/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 w:bidi="ar"/>
        </w:rPr>
        <w:t>2规范性引用文件</w:t>
      </w:r>
      <w:bookmarkEnd w:id="4"/>
      <w:bookmarkEnd w:id="5"/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 w:bidi="ar"/>
        </w:rPr>
        <w:t xml:space="preserve"> </w:t>
      </w:r>
    </w:p>
    <w:p w14:paraId="48ECCD6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下列文件对于本文件的应用是必不可少的。凡是注日期的引用文件，仅注日期的版本适用于本文件。凡是不注日期的引用文件，其最新版本(包括所有的修改单)适用于本文件。 </w:t>
      </w:r>
    </w:p>
    <w:p w14:paraId="4C5AF87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GB/T 10647  饲料工业术语</w:t>
      </w:r>
    </w:p>
    <w:p w14:paraId="11DC4A8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DB/T 22141-2008 饲料添加剂  复合酸化剂通用要求 </w:t>
      </w:r>
    </w:p>
    <w:p w14:paraId="3E71C35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DB/T 22142-2008 饲料添加剂  有机酸通用要求 </w:t>
      </w:r>
    </w:p>
    <w:p w14:paraId="40781F0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DB/T 22143-2008 饲料添加剂  无机酸通用要求  </w:t>
      </w:r>
    </w:p>
    <w:p w14:paraId="1505032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NY/T 1444-2007 微生物饲料添加剂技术通则</w:t>
      </w:r>
    </w:p>
    <w:p w14:paraId="72DD8E6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bookmarkStart w:id="6" w:name="_Toc13816"/>
      <w:r>
        <w:rPr>
          <w:rFonts w:hint="default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LY/T 2458-2015柠条锦鸡儿平茬技术规程</w:t>
      </w:r>
      <w:bookmarkEnd w:id="6"/>
    </w:p>
    <w:p w14:paraId="50F88FDC"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outlineLvl w:val="0"/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 w:bidi="ar"/>
        </w:rPr>
      </w:pPr>
      <w:bookmarkStart w:id="7" w:name="_Toc20710"/>
      <w:bookmarkStart w:id="8" w:name="_Toc25377"/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 w:bidi="ar"/>
        </w:rPr>
        <w:t>3术语和定义</w:t>
      </w:r>
      <w:bookmarkEnd w:id="7"/>
      <w:bookmarkEnd w:id="8"/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 w:bidi="ar"/>
        </w:rPr>
        <w:t xml:space="preserve"> </w:t>
      </w:r>
    </w:p>
    <w:p w14:paraId="7995E60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下列术语和定义适用于本文件。 </w:t>
      </w:r>
    </w:p>
    <w:p w14:paraId="0CFFA065"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outlineLvl w:val="1"/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 w:bidi="ar"/>
        </w:rPr>
      </w:pPr>
      <w:bookmarkStart w:id="9" w:name="_Toc14956"/>
      <w:bookmarkStart w:id="10" w:name="_Toc21826"/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 w:bidi="ar"/>
        </w:rPr>
        <w:t>3.1 柠条</w:t>
      </w:r>
      <w:bookmarkEnd w:id="9"/>
      <w:bookmarkEnd w:id="10"/>
    </w:p>
    <w:p w14:paraId="6D6214D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为豆科锦鸡儿属多年生落叶灌木饲用植物的俗称，别称有：柠条（宁夏），白柠条（内蒙古伊克昭盟），毛条（甘肃河西走廊），查干一哈日嘎纳（蒙），是指豆科锦鸡儿属的灌木植物，包括花、叶在内的地上部植株。 </w:t>
      </w:r>
    </w:p>
    <w:p w14:paraId="677CEE35"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outlineLvl w:val="1"/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 w:bidi="ar"/>
        </w:rPr>
      </w:pPr>
      <w:bookmarkStart w:id="11" w:name="_Toc24627"/>
      <w:bookmarkStart w:id="12" w:name="_Toc13030"/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 w:bidi="ar"/>
        </w:rPr>
        <w:t>3.2 青贮技术</w:t>
      </w:r>
      <w:bookmarkEnd w:id="11"/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 w:bidi="ar"/>
        </w:rPr>
        <w:t xml:space="preserve"> </w:t>
      </w:r>
      <w:bookmarkEnd w:id="12"/>
    </w:p>
    <w:p w14:paraId="002244D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系指将青绿饲草置于密封的青贮设施设备中，在厌氧环境下进行的以乳酸菌为主导的发酵过程，导致酸度下降抑制微生物的存活，使青绿饲料得以长期保存的饲草加工方法。 </w:t>
      </w:r>
    </w:p>
    <w:p w14:paraId="25C2D4ED"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outlineLvl w:val="1"/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 w:bidi="ar"/>
        </w:rPr>
      </w:pPr>
      <w:bookmarkStart w:id="13" w:name="_Toc15937"/>
      <w:bookmarkStart w:id="14" w:name="_Toc15958"/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 w:bidi="ar"/>
        </w:rPr>
        <w:t>3.3 青贮饲料</w:t>
      </w:r>
      <w:bookmarkEnd w:id="13"/>
      <w:bookmarkEnd w:id="14"/>
    </w:p>
    <w:p w14:paraId="1B4E0A1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经青贮加工后的饲草产品。 </w:t>
      </w:r>
    </w:p>
    <w:p w14:paraId="15B8CED3"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outlineLvl w:val="1"/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"/>
        </w:rPr>
      </w:pPr>
      <w:bookmarkStart w:id="15" w:name="_Toc4774"/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 w:bidi="ar"/>
        </w:rPr>
        <w:t>3.4 青贮设施</w:t>
      </w:r>
      <w:bookmarkEnd w:id="15"/>
    </w:p>
    <w:p w14:paraId="45F5596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饲草原料青贮时，为形成密封环境，有利于乳酸菌发酵，使用的各种设施设备。如：青贮窖、池、壕和塔或者利用拉伸膜包裹以及青贮专用塑料袋等。</w:t>
      </w:r>
    </w:p>
    <w:p w14:paraId="227C1252"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outlineLvl w:val="1"/>
        <w:rPr>
          <w:rFonts w:hint="default" w:ascii="黑体" w:hAnsi="黑体" w:eastAsia="黑体" w:cs="黑体"/>
          <w:color w:val="000000"/>
          <w:kern w:val="0"/>
          <w:sz w:val="28"/>
          <w:szCs w:val="28"/>
          <w:lang w:val="en-US" w:eastAsia="zh-CN" w:bidi="ar"/>
        </w:rPr>
      </w:pPr>
      <w:bookmarkStart w:id="16" w:name="_Toc5499"/>
      <w:bookmarkStart w:id="17" w:name="_Toc18495"/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 w:bidi="ar"/>
        </w:rPr>
        <w:t>3.</w:t>
      </w:r>
      <w:bookmarkEnd w:id="16"/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 w:bidi="ar"/>
        </w:rPr>
        <w:t>5 发酵菌剂</w:t>
      </w:r>
      <w:bookmarkEnd w:id="17"/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 w:bidi="ar"/>
        </w:rPr>
        <w:t xml:space="preserve"> </w:t>
      </w:r>
    </w:p>
    <w:p w14:paraId="0560195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用于改善青贮饲料发酵品质，减少养分损失添加的一种或一种以上的有益微生物菌剂。</w:t>
      </w:r>
    </w:p>
    <w:p w14:paraId="568CD2A7"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outlineLvl w:val="1"/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 w:bidi="ar"/>
        </w:rPr>
      </w:pPr>
      <w:bookmarkStart w:id="18" w:name="_Toc19090"/>
      <w:bookmarkStart w:id="19" w:name="_Toc21447"/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 w:bidi="ar"/>
        </w:rPr>
        <w:t>3.</w:t>
      </w:r>
      <w:bookmarkEnd w:id="18"/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 w:bidi="ar"/>
        </w:rPr>
        <w:t>6 有效活菌数</w:t>
      </w:r>
      <w:bookmarkEnd w:id="19"/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 w:bidi="ar"/>
        </w:rPr>
        <w:t xml:space="preserve">  </w:t>
      </w:r>
    </w:p>
    <w:p w14:paraId="785F4120"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   指青贮菌剂中含有的能够在青贮原料中大量繁殖，并对被贮的饲用原料发生发酵作用的活菌数量。</w:t>
      </w:r>
    </w:p>
    <w:p w14:paraId="7FC2CE69"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outlineLvl w:val="1"/>
        <w:rPr>
          <w:rFonts w:hint="default" w:ascii="黑体" w:hAnsi="黑体" w:eastAsia="黑体" w:cs="黑体"/>
          <w:color w:val="000000"/>
          <w:kern w:val="0"/>
          <w:sz w:val="28"/>
          <w:szCs w:val="28"/>
          <w:lang w:val="en-US" w:eastAsia="zh-CN" w:bidi="ar"/>
        </w:rPr>
      </w:pPr>
      <w:bookmarkStart w:id="20" w:name="_Toc14394"/>
      <w:bookmarkStart w:id="21" w:name="_Toc7715"/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 w:bidi="ar"/>
        </w:rPr>
        <w:t xml:space="preserve">3.7 </w:t>
      </w:r>
      <w:bookmarkEnd w:id="20"/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 w:bidi="ar"/>
        </w:rPr>
        <w:t>开窖有氧变质</w:t>
      </w:r>
      <w:bookmarkEnd w:id="21"/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 w:bidi="ar"/>
        </w:rPr>
        <w:t xml:space="preserve"> </w:t>
      </w:r>
    </w:p>
    <w:p w14:paraId="655E2C8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青贮饲料开窖取用过程中，暴露在空气中发生变质的现象。</w:t>
      </w:r>
    </w:p>
    <w:p w14:paraId="77D8C1B4"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outlineLvl w:val="0"/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 w:bidi="ar"/>
        </w:rPr>
      </w:pPr>
      <w:bookmarkStart w:id="22" w:name="_Toc2792"/>
      <w:bookmarkStart w:id="23" w:name="_Toc25185"/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 w:bidi="ar"/>
        </w:rPr>
        <w:t xml:space="preserve">4 </w:t>
      </w:r>
      <w:bookmarkEnd w:id="22"/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 w:bidi="ar"/>
        </w:rPr>
        <w:t>生产技术</w:t>
      </w:r>
      <w:bookmarkStart w:id="24" w:name="_Toc14490"/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 w:bidi="ar"/>
        </w:rPr>
        <w:t>要求</w:t>
      </w:r>
      <w:bookmarkEnd w:id="23"/>
    </w:p>
    <w:p w14:paraId="2B2E6F2E"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outlineLvl w:val="1"/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 w:bidi="ar"/>
        </w:rPr>
      </w:pPr>
      <w:bookmarkStart w:id="25" w:name="_Toc11556"/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 w:bidi="ar"/>
        </w:rPr>
        <w:t xml:space="preserve">4.1 </w:t>
      </w:r>
      <w:bookmarkEnd w:id="24"/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 w:bidi="ar"/>
        </w:rPr>
        <w:t>存贮地点要求</w:t>
      </w:r>
      <w:bookmarkEnd w:id="25"/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 w:bidi="ar"/>
        </w:rPr>
        <w:t xml:space="preserve"> </w:t>
      </w:r>
    </w:p>
    <w:p w14:paraId="099C500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选择地势高、向阳、排水良好、无污染源、取喂方便、以管理的地方。</w:t>
      </w:r>
    </w:p>
    <w:p w14:paraId="312E8334"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outlineLvl w:val="1"/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 w:bidi="ar"/>
        </w:rPr>
      </w:pPr>
      <w:bookmarkStart w:id="26" w:name="_Toc16922"/>
      <w:bookmarkStart w:id="27" w:name="_Toc5183"/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 w:bidi="ar"/>
        </w:rPr>
        <w:t>4.2 设施要求</w:t>
      </w:r>
      <w:bookmarkEnd w:id="26"/>
    </w:p>
    <w:p w14:paraId="4EDAC22B"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outlineLvl w:val="9"/>
        <w:rPr>
          <w:rFonts w:hint="default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    宜选用地上池或裹包进行青贮。青贮池要求坚固耐用、不透气、不漏水，便于机械化作业。</w:t>
      </w:r>
    </w:p>
    <w:p w14:paraId="34DB7059"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outlineLvl w:val="1"/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 w:bidi="ar"/>
        </w:rPr>
      </w:pPr>
      <w:bookmarkStart w:id="28" w:name="_Toc12397"/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 w:bidi="ar"/>
        </w:rPr>
        <w:t>4.3 加工设备要求</w:t>
      </w:r>
      <w:bookmarkEnd w:id="28"/>
    </w:p>
    <w:p w14:paraId="0BFC8A8F"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outlineLvl w:val="1"/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 w:bidi="ar"/>
        </w:rPr>
      </w:pPr>
      <w:bookmarkStart w:id="29" w:name="_Toc30470"/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 w:bidi="ar"/>
        </w:rPr>
        <w:t>4.3.1 饲料饲草加工机械</w:t>
      </w:r>
      <w:bookmarkEnd w:id="29"/>
    </w:p>
    <w:p w14:paraId="5D30BC7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根据柠条生长及饲草特点，选择适宜的收割机械，铡草揉搓粉碎机械。</w:t>
      </w:r>
    </w:p>
    <w:p w14:paraId="6ACCA60D"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outlineLvl w:val="1"/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 w:bidi="ar"/>
        </w:rPr>
      </w:pPr>
      <w:bookmarkStart w:id="30" w:name="_Toc25332"/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 w:bidi="ar"/>
        </w:rPr>
        <w:t>4.3.2 混合机械</w:t>
      </w:r>
      <w:bookmarkEnd w:id="30"/>
    </w:p>
    <w:p w14:paraId="2A17C11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根据产能、饲草发酵方式等选择相应规格的混合机械，混合均匀度应大于85%，对有液体饲料原料添加的还应配备喷液装置。</w:t>
      </w:r>
    </w:p>
    <w:p w14:paraId="1C217A92"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outlineLvl w:val="1"/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 w:bidi="ar"/>
        </w:rPr>
      </w:pPr>
      <w:bookmarkStart w:id="31" w:name="_Toc17070"/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 w:bidi="ar"/>
        </w:rPr>
        <w:t>4.3.3 打捆、裹包、装袋设备</w:t>
      </w:r>
      <w:bookmarkEnd w:id="31"/>
    </w:p>
    <w:p w14:paraId="6F72B3F3"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outlineLvl w:val="9"/>
        <w:rPr>
          <w:rFonts w:hint="default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 w:bidi="ar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根据产能、饲草发酵方式等选择相应规格的打捆、裹包一体机、真空封口机等设备。</w:t>
      </w:r>
    </w:p>
    <w:p w14:paraId="31051CCA"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outlineLvl w:val="0"/>
        <w:rPr>
          <w:rFonts w:hint="default" w:ascii="黑体" w:hAnsi="黑体" w:eastAsia="黑体" w:cs="黑体"/>
          <w:color w:val="000000"/>
          <w:kern w:val="0"/>
          <w:sz w:val="28"/>
          <w:szCs w:val="28"/>
          <w:lang w:val="en-US" w:eastAsia="zh-CN" w:bidi="ar"/>
        </w:rPr>
      </w:pPr>
      <w:bookmarkStart w:id="32" w:name="_Toc20703"/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 w:bidi="ar"/>
        </w:rPr>
        <w:t>5 备料要求</w:t>
      </w:r>
      <w:bookmarkEnd w:id="32"/>
    </w:p>
    <w:p w14:paraId="0BCC5E81"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outlineLvl w:val="1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bookmarkStart w:id="33" w:name="_Toc5723"/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 w:bidi="ar"/>
        </w:rPr>
        <w:t>5.1收获</w:t>
      </w:r>
      <w:bookmarkEnd w:id="27"/>
      <w:bookmarkEnd w:id="33"/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 </w:t>
      </w:r>
    </w:p>
    <w:p w14:paraId="6DD6FC5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选择盛花期或8月份的鲜</w:t>
      </w:r>
      <w:r>
        <w:rPr>
          <w:rFonts w:hint="default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柠条锦鸡儿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枝条按留茬 20cm 左右刈割。 </w:t>
      </w:r>
    </w:p>
    <w:p w14:paraId="5BD6C641"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outlineLvl w:val="1"/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 w:bidi="ar"/>
        </w:rPr>
      </w:pPr>
      <w:bookmarkStart w:id="34" w:name="_Toc19755"/>
      <w:bookmarkStart w:id="35" w:name="_Toc4433"/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 w:bidi="ar"/>
        </w:rPr>
        <w:t>5.2 揉丝粉碎</w:t>
      </w:r>
      <w:bookmarkEnd w:id="34"/>
    </w:p>
    <w:p w14:paraId="43B9A9D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可将新鲜柠条用铡切揉丝粉碎机械进行铡切、揉丝粉碎，其揉丝长度应在2～3 cm，细度不大于1.5mm，柠条一次性铡切粉碎成粗粉或草丝，枝条破碎率95%以上。</w:t>
      </w:r>
    </w:p>
    <w:p w14:paraId="122932B0"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outlineLvl w:val="1"/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 w:bidi="ar"/>
        </w:rPr>
      </w:pPr>
      <w:bookmarkStart w:id="36" w:name="_Toc19620"/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 w:bidi="ar"/>
        </w:rPr>
        <w:t>5.3 水分</w:t>
      </w:r>
      <w:bookmarkEnd w:id="35"/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 w:bidi="ar"/>
        </w:rPr>
        <w:t>调节</w:t>
      </w:r>
      <w:bookmarkEnd w:id="36"/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 w:bidi="ar"/>
        </w:rPr>
        <w:t xml:space="preserve"> </w:t>
      </w:r>
    </w:p>
    <w:p w14:paraId="30F2810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根据粉碎后草粉的含水量进行水分调节，青贮料的含水量控制在60 %～65 %为宜，用手握紧粉碎的草粉指缝有液体渗出而不滴为宜。草粉水分不足可加适量的水。可将发酵菌剂按照菌剂配比量溶水后一次性添加，机械搅拌3分钟至5分钟即可。如果原料水分过大，可在草粉中加入粉碎的干料，如：玉米面、麸皮、干草粉等。 </w:t>
      </w:r>
    </w:p>
    <w:p w14:paraId="388A3A82"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outlineLvl w:val="0"/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 w:bidi="ar"/>
        </w:rPr>
      </w:pPr>
      <w:bookmarkStart w:id="37" w:name="_Toc30064"/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 w:bidi="ar"/>
        </w:rPr>
        <w:t>6 装填</w:t>
      </w:r>
      <w:bookmarkEnd w:id="37"/>
    </w:p>
    <w:p w14:paraId="3216F6CD"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outlineLvl w:val="1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bookmarkStart w:id="38" w:name="_Toc3221"/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 w:bidi="ar"/>
        </w:rPr>
        <w:t>6.1窖贮装填</w:t>
      </w:r>
      <w:bookmarkEnd w:id="38"/>
    </w:p>
    <w:p w14:paraId="29ED74E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将粉碎后青贮原料装填入窖，窖内各部位装填厚度均匀。饲料装填过程中应防止雨淋、霉变、污染和鼠虫害。</w:t>
      </w:r>
    </w:p>
    <w:p w14:paraId="18C9EE22"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outlineLvl w:val="1"/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 w:bidi="ar"/>
        </w:rPr>
      </w:pPr>
      <w:bookmarkStart w:id="39" w:name="_Toc15614"/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 w:bidi="ar"/>
        </w:rPr>
        <w:t>6.2裹包（装袋）青贮</w:t>
      </w:r>
      <w:bookmarkEnd w:id="39"/>
    </w:p>
    <w:p w14:paraId="4DC598F0"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可选用以下方式裹包或装袋： </w:t>
      </w:r>
    </w:p>
    <w:p w14:paraId="758C72BB"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——将草捆置于裹包机，用青贮专用拉伸膜包裹 3～4 层，密封发酵； </w:t>
      </w:r>
    </w:p>
    <w:p w14:paraId="2A935CC4"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——将草捆直接装入青贮专用袋中，密封发酵； </w:t>
      </w:r>
    </w:p>
    <w:p w14:paraId="3062F5D0"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——将切碎的青贮原料直接装入青贮专用袋，边填装、边压实、装满后密封发酵。 </w:t>
      </w:r>
    </w:p>
    <w:p w14:paraId="397CE091"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outlineLvl w:val="0"/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 w:bidi="ar"/>
        </w:rPr>
      </w:pPr>
      <w:bookmarkStart w:id="40" w:name="_Toc1125"/>
      <w:bookmarkStart w:id="41" w:name="_Toc423"/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 w:bidi="ar"/>
        </w:rPr>
        <w:t>7 压实</w:t>
      </w:r>
      <w:bookmarkEnd w:id="40"/>
      <w:bookmarkEnd w:id="41"/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 w:bidi="ar"/>
        </w:rPr>
        <w:t xml:space="preserve"> </w:t>
      </w:r>
    </w:p>
    <w:p w14:paraId="34AEC357"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outlineLvl w:val="1"/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 w:bidi="ar"/>
        </w:rPr>
      </w:pPr>
      <w:bookmarkStart w:id="42" w:name="_Toc16934"/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 w:bidi="ar"/>
        </w:rPr>
        <w:t>7.1窖贮压实</w:t>
      </w:r>
      <w:bookmarkEnd w:id="42"/>
    </w:p>
    <w:p w14:paraId="37C5205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边装填入窖，边逐层压实，装填厚度达到 20 cm～30 cm 时，压实一次。由边缘向中心进行，注意四角与窖壁间隙的压实。大容积的青贮池类应用履带式拖拉机碾压，装填厚度达到 30 cm～50 cm 时，碾压一次，顶部压成圆拱形，高出边墙 50 cm～100 cm。 </w:t>
      </w:r>
    </w:p>
    <w:p w14:paraId="076F0C4B"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outlineLvl w:val="1"/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 w:bidi="ar"/>
        </w:rPr>
      </w:pPr>
      <w:bookmarkStart w:id="43" w:name="_Toc32741"/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 w:bidi="ar"/>
        </w:rPr>
        <w:t>7.2 打捆压实</w:t>
      </w:r>
      <w:bookmarkEnd w:id="43"/>
    </w:p>
    <w:p w14:paraId="2DB330FD"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     原料搅拌均匀后立即进行打捆密封，密度应在650kg/m3 以上。打捆后立即用6层以上拉伸膜裹包。 </w:t>
      </w:r>
    </w:p>
    <w:p w14:paraId="2E44A721"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outlineLvl w:val="0"/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 w:bidi="ar"/>
        </w:rPr>
      </w:pPr>
      <w:bookmarkStart w:id="44" w:name="_Toc22629"/>
      <w:bookmarkStart w:id="45" w:name="_Toc16553"/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 w:bidi="ar"/>
        </w:rPr>
        <w:t xml:space="preserve">8 </w:t>
      </w:r>
      <w:bookmarkEnd w:id="44"/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 w:bidi="ar"/>
        </w:rPr>
        <w:t>质量控制</w:t>
      </w:r>
      <w:bookmarkEnd w:id="45"/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 w:bidi="ar"/>
        </w:rPr>
        <w:t xml:space="preserve"> </w:t>
      </w:r>
    </w:p>
    <w:p w14:paraId="5661753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bookmarkStart w:id="46" w:name="_Toc6789"/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发酵完成后，取样、留样。制作好的柠条青贮料颜色呈褐绿色，叶脉清晰，质地柔软湿润，具有酸香味，无丁酸臭味，松散不分离，色泽与原料相似，pH值为3.8～4.6，干物质含量为 45%～55%，乳酸含量为3.5 %～7.3%。 </w:t>
      </w:r>
    </w:p>
    <w:bookmarkEnd w:id="46"/>
    <w:p w14:paraId="45B061DF"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outlineLvl w:val="0"/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 w:bidi="ar"/>
        </w:rPr>
      </w:pPr>
      <w:bookmarkStart w:id="47" w:name="_Toc26953"/>
      <w:bookmarkStart w:id="48" w:name="_Toc6637"/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 w:bidi="ar"/>
        </w:rPr>
        <w:t>9 品质评价</w:t>
      </w:r>
      <w:bookmarkEnd w:id="47"/>
    </w:p>
    <w:p w14:paraId="545306D8"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outlineLvl w:val="1"/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 w:bidi="ar"/>
        </w:rPr>
      </w:pPr>
      <w:bookmarkStart w:id="49" w:name="_Toc25558"/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 w:bidi="ar"/>
        </w:rPr>
        <w:t>9.1 上等青贮饲料</w:t>
      </w:r>
      <w:bookmarkEnd w:id="49"/>
    </w:p>
    <w:p w14:paraId="71CAD2E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颜色呈绿色或黄绿色，具有浓郁的酸香味，质地松软、疏松稍湿润，pH值为3.5～4.2。</w:t>
      </w:r>
    </w:p>
    <w:p w14:paraId="24DB236D"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outlineLvl w:val="1"/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 w:bidi="ar"/>
        </w:rPr>
      </w:pPr>
      <w:bookmarkStart w:id="50" w:name="_Toc14167"/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 w:bidi="ar"/>
        </w:rPr>
        <w:t>9.2 中等青贮饲料</w:t>
      </w:r>
      <w:bookmarkEnd w:id="50"/>
    </w:p>
    <w:p w14:paraId="6DFBA8C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颜色呈黄褐色或暗褐色，稍有酸味，质地稍干，pH值为4.3～5.0。</w:t>
      </w:r>
    </w:p>
    <w:p w14:paraId="10B6BA41"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outlineLvl w:val="1"/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 w:bidi="ar"/>
        </w:rPr>
      </w:pPr>
      <w:bookmarkStart w:id="51" w:name="_Toc21004"/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 w:bidi="ar"/>
        </w:rPr>
        <w:t>9.3 劣等青贮饲料</w:t>
      </w:r>
      <w:bookmarkEnd w:id="51"/>
    </w:p>
    <w:p w14:paraId="2FCBBD6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颜色呈黑褐色，有臭味，质地干松散，pH值大于5.0。劣等青贮不得饲喂牛羊。</w:t>
      </w:r>
    </w:p>
    <w:p w14:paraId="103E8677"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outlineLvl w:val="0"/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 w:bidi="ar"/>
        </w:rPr>
      </w:pPr>
      <w:bookmarkStart w:id="52" w:name="_Toc26164"/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 w:bidi="ar"/>
        </w:rPr>
        <w:t>10饲喂</w:t>
      </w:r>
      <w:bookmarkEnd w:id="48"/>
      <w:bookmarkEnd w:id="52"/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 w:bidi="ar"/>
        </w:rPr>
        <w:t xml:space="preserve">  </w:t>
      </w:r>
    </w:p>
    <w:p w14:paraId="4AE1620D"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outlineLvl w:val="1"/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 w:bidi="ar"/>
        </w:rPr>
      </w:pPr>
      <w:bookmarkStart w:id="53" w:name="_Toc20757"/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 w:bidi="ar"/>
        </w:rPr>
        <w:t>10.1开封饲喂</w:t>
      </w:r>
      <w:bookmarkEnd w:id="53"/>
    </w:p>
    <w:p w14:paraId="7A190F7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窖贮密封后30天后经检验合格后即可开封饲喂；裹包或装袋青贮3～4周即可饲喂，可与干草、精料混合后饲喂或直接饲喂。饲喂应由少到多，循序渐进。 </w:t>
      </w:r>
    </w:p>
    <w:p w14:paraId="28656D09"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outlineLvl w:val="1"/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 w:bidi="ar"/>
        </w:rPr>
      </w:pPr>
      <w:bookmarkStart w:id="54" w:name="_Toc24020"/>
      <w:bookmarkStart w:id="55" w:name="_Toc9432"/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 w:bidi="ar"/>
        </w:rPr>
        <w:t>10.2 取料</w:t>
      </w:r>
      <w:bookmarkEnd w:id="54"/>
      <w:bookmarkEnd w:id="55"/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 w:bidi="ar"/>
        </w:rPr>
        <w:t xml:space="preserve"> </w:t>
      </w:r>
    </w:p>
    <w:p w14:paraId="5A3A5AE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窖贮选用合适的青贮料切削装载机，沿青贮窖纵切面从上往下垂直切取，每日切取厚度在10 cm以上；裹包或装袋青贮打开后当日饲喂。 </w:t>
      </w:r>
    </w:p>
    <w:p w14:paraId="706DAA72"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outlineLvl w:val="1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bookmarkStart w:id="56" w:name="_Toc19753"/>
      <w:bookmarkStart w:id="57" w:name="_Toc17697"/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 w:bidi="ar"/>
        </w:rPr>
        <w:t>10.3 添加物</w:t>
      </w:r>
      <w:bookmarkEnd w:id="56"/>
      <w:bookmarkEnd w:id="57"/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 w:bidi="ar"/>
        </w:rPr>
        <w:t xml:space="preserve"> </w:t>
      </w:r>
    </w:p>
    <w:p w14:paraId="0222943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在精料补充料中加入1.5 %～2.0 %的小苏打，可防酸中毒，提高适口性。 </w:t>
      </w:r>
    </w:p>
    <w:p w14:paraId="15EF904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1MGI1NTAxZTUxMTE5Mjg1Y2QxNjJmZTgwMjA2MDgifQ=="/>
  </w:docVars>
  <w:rsids>
    <w:rsidRoot w:val="60BD7430"/>
    <w:rsid w:val="017A2AD8"/>
    <w:rsid w:val="106909BF"/>
    <w:rsid w:val="1D05033B"/>
    <w:rsid w:val="215146FF"/>
    <w:rsid w:val="27AA0E54"/>
    <w:rsid w:val="2DBD5C39"/>
    <w:rsid w:val="354249C5"/>
    <w:rsid w:val="36602AF0"/>
    <w:rsid w:val="501A1819"/>
    <w:rsid w:val="51D535C6"/>
    <w:rsid w:val="521F2A93"/>
    <w:rsid w:val="5E582FB6"/>
    <w:rsid w:val="60BD7430"/>
    <w:rsid w:val="64BC3B7E"/>
    <w:rsid w:val="6BD53205"/>
    <w:rsid w:val="6CB34462"/>
    <w:rsid w:val="6DE12FE0"/>
    <w:rsid w:val="7F206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1"/>
    <w:basedOn w:val="1"/>
    <w:next w:val="1"/>
    <w:qFormat/>
    <w:uiPriority w:val="0"/>
  </w:style>
  <w:style w:type="paragraph" w:styleId="4">
    <w:name w:val="toc 2"/>
    <w:basedOn w:val="1"/>
    <w:next w:val="1"/>
    <w:uiPriority w:val="0"/>
    <w:pPr>
      <w:ind w:left="420" w:leftChars="200"/>
    </w:pPr>
  </w:style>
  <w:style w:type="character" w:styleId="7">
    <w:name w:val="Emphasis"/>
    <w:basedOn w:val="6"/>
    <w:qFormat/>
    <w:uiPriority w:val="0"/>
    <w:rPr>
      <w:i/>
    </w:rPr>
  </w:style>
  <w:style w:type="paragraph" w:customStyle="1" w:styleId="8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9">
    <w:name w:val="WPSOffice手动目录 2"/>
    <w:qFormat/>
    <w:uiPriority w:val="0"/>
    <w:pPr>
      <w:ind w:leftChars="200"/>
    </w:pPr>
    <w:rPr>
      <w:rFonts w:ascii="Times New Roman" w:hAnsi="Times New Roman" w:eastAsia="宋体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2368</Words>
  <Characters>2746</Characters>
  <Lines>0</Lines>
  <Paragraphs>0</Paragraphs>
  <TotalTime>2</TotalTime>
  <ScaleCrop>false</ScaleCrop>
  <LinksUpToDate>false</LinksUpToDate>
  <CharactersWithSpaces>3092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2022-07-29T10:09:00Z</dcterms:created>
  <dc:creator>all the way</dc:creator>
  <cp:lastModifiedBy>all the way</cp:lastModifiedBy>
  <cp:lastPrinted>2022-08-01T07:31:00Z</cp:lastPrinted>
  <dcterms:modified xsi:type="dcterms:W3CDTF">2025-04-07T01:14:30Z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728F36545B1E44A5AD1D22E374F98A3A</vt:lpwstr>
  </property>
  <property fmtid="{D5CDD505-2E9C-101B-9397-08002B2CF9AE}" pid="4" name="KSOTemplateDocerSaveRecord">
    <vt:lpwstr>eyJoZGlkIjoiMjg1MGI1NTAxZTUxMTE5Mjg1Y2QxNjJmZTgwMjA2MDgiLCJ1c2VySWQiOiIyNDk5NzU5NDUifQ==</vt:lpwstr>
  </property>
</Properties>
</file>