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1506</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鄂尔多斯市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饲用燕麦种子滴灌高产技术规程</w:t>
      </w:r>
      <w:r>
        <w:t>     </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Technical regulations for high-yield drip irrigation of feed oat seeds</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鄂尔多斯市市场监督管理局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3360"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3360;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89"/>
        <w:spacing w:before="900" w:after="468"/>
      </w:pPr>
      <w:bookmarkStart w:id="21" w:name="BookMark2"/>
      <w:r>
        <w:rPr>
          <w:spacing w:val="320"/>
        </w:rPr>
        <w:t>前</w:t>
      </w:r>
      <w:r>
        <w:t>言</w:t>
      </w:r>
    </w:p>
    <w:p>
      <w:pPr>
        <w:pStyle w:val="56"/>
        <w:ind w:firstLine="420"/>
        <w:rPr>
          <w:rFonts w:hint="eastAsia"/>
        </w:rPr>
      </w:pPr>
      <w:r>
        <w:rPr>
          <w:rFonts w:hint="eastAsia"/>
        </w:rPr>
        <w:t>本文件按照GB/T 1.1—2020《标准化工作导则  第1部分：标准化文件的结构和起草规则》的规定起草。</w:t>
      </w:r>
    </w:p>
    <w:p>
      <w:pPr>
        <w:pStyle w:val="56"/>
        <w:ind w:firstLine="420"/>
        <w:rPr>
          <w:rFonts w:hint="eastAsia"/>
        </w:rPr>
      </w:pPr>
      <w:r>
        <w:rPr>
          <w:rFonts w:hint="eastAsia"/>
        </w:rPr>
        <w:t>本文件由鄂尔多斯市农牧局提出。</w:t>
      </w:r>
    </w:p>
    <w:p>
      <w:pPr>
        <w:pStyle w:val="56"/>
        <w:ind w:firstLine="420"/>
        <w:rPr>
          <w:rFonts w:hint="eastAsia"/>
        </w:rPr>
      </w:pPr>
      <w:r>
        <w:rPr>
          <w:rFonts w:hint="eastAsia"/>
        </w:rPr>
        <w:t>本文件由鄂尔多斯市农牧局归口。</w:t>
      </w:r>
    </w:p>
    <w:p>
      <w:pPr>
        <w:pStyle w:val="56"/>
        <w:ind w:firstLine="420"/>
        <w:rPr>
          <w:rFonts w:hint="eastAsia"/>
        </w:rPr>
      </w:pPr>
      <w:r>
        <w:rPr>
          <w:rFonts w:hint="eastAsia"/>
        </w:rPr>
        <w:t>本文件起草单位：鄂尔多斯市农牧业科学研究院、中国农业科学院草原研究所、内蒙古农业大学</w:t>
      </w:r>
    </w:p>
    <w:p>
      <w:pPr>
        <w:ind w:firstLine="420" w:firstLineChars="200"/>
      </w:pPr>
      <w:r>
        <w:rPr>
          <w:rFonts w:hint="eastAsia"/>
        </w:rPr>
        <w:t>本文件主要起草人：</w:t>
      </w:r>
      <w:r>
        <w:rPr>
          <w:rFonts w:hint="eastAsia" w:ascii="宋体" w:hAnsi="宋体"/>
        </w:rPr>
        <w:t>倪苗、余奕东、孔令</w:t>
      </w:r>
      <w:r>
        <w:rPr>
          <w:rFonts w:hint="eastAsia" w:ascii="宋体" w:hAnsi="宋体"/>
          <w:lang w:val="en-US" w:eastAsia="zh-CN"/>
        </w:rPr>
        <w:t>琪</w:t>
      </w:r>
      <w:r>
        <w:rPr>
          <w:rFonts w:hint="eastAsia" w:ascii="宋体" w:hAnsi="宋体"/>
        </w:rPr>
        <w:t>、叶文兴、董海娟、梁艳、刘光瑞、</w:t>
      </w:r>
      <w:r>
        <w:rPr>
          <w:rFonts w:hint="eastAsia" w:ascii="宋体" w:hAnsi="宋体" w:cs="宋体"/>
          <w:lang w:val="en-US" w:eastAsia="zh-CN"/>
        </w:rPr>
        <w:t>燕奕璇、王杰、</w:t>
      </w:r>
      <w:r>
        <w:rPr>
          <w:rFonts w:hint="eastAsia" w:ascii="宋体" w:hAnsi="宋体"/>
        </w:rPr>
        <w:t>刘和平、苏秦、孙</w:t>
      </w:r>
      <w:r>
        <w:rPr>
          <w:rFonts w:hint="eastAsia" w:ascii="宋体" w:hAnsi="宋体"/>
          <w:lang w:eastAsia="zh-CN"/>
        </w:rPr>
        <w:t>余卓</w:t>
      </w:r>
      <w:r>
        <w:rPr>
          <w:rFonts w:hint="eastAsia" w:ascii="宋体" w:hAnsi="宋体"/>
        </w:rPr>
        <w:t>、</w:t>
      </w:r>
      <w:r>
        <w:rPr>
          <w:rFonts w:hint="eastAsia" w:ascii="宋体" w:hAnsi="宋体"/>
          <w:lang w:eastAsia="zh-CN"/>
        </w:rPr>
        <w:t>田彦军、</w:t>
      </w:r>
      <w:bookmarkStart w:id="45" w:name="_GoBack"/>
      <w:bookmarkEnd w:id="45"/>
      <w:r>
        <w:rPr>
          <w:rFonts w:hint="eastAsia" w:ascii="宋体" w:hAnsi="宋体"/>
        </w:rPr>
        <w:t>高志军、常国有、刘小燕、赵国庆、朱利华、王石清、项敏、</w:t>
      </w:r>
      <w:r>
        <w:rPr>
          <w:rFonts w:hint="eastAsia" w:ascii="宋体" w:hAnsi="宋体" w:cs="宋体"/>
          <w:lang w:val="en-US" w:eastAsia="zh-CN"/>
        </w:rPr>
        <w:t>石富、孙凤舞、</w:t>
      </w:r>
      <w:r>
        <w:rPr>
          <w:rFonts w:hint="eastAsia" w:ascii="宋体" w:hAnsi="宋体"/>
        </w:rPr>
        <w:t>张圆圆、旦真措、王少卿。</w:t>
      </w:r>
    </w:p>
    <w:p>
      <w:pPr>
        <w:pStyle w:val="56"/>
        <w:ind w:firstLine="420"/>
        <w:rPr>
          <w:rFonts w:hint="eastAsia"/>
        </w:rPr>
      </w:pPr>
    </w:p>
    <w:p>
      <w:pPr>
        <w:pStyle w:val="56"/>
        <w:ind w:firstLine="420"/>
      </w:pPr>
    </w:p>
    <w:p>
      <w:pPr>
        <w:pStyle w:val="56"/>
        <w:ind w:firstLine="420"/>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p>
    <w:bookmarkEnd w:id="21"/>
    <w:p>
      <w:pPr>
        <w:spacing w:line="20" w:lineRule="exact"/>
        <w:jc w:val="center"/>
        <w:rPr>
          <w:rFonts w:ascii="黑体" w:hAnsi="黑体" w:eastAsia="黑体"/>
          <w:sz w:val="32"/>
          <w:szCs w:val="32"/>
        </w:rPr>
      </w:pPr>
      <w:bookmarkStart w:id="22" w:name="BookMark4"/>
    </w:p>
    <w:p>
      <w:pPr>
        <w:spacing w:line="20" w:lineRule="exact"/>
        <w:jc w:val="center"/>
        <w:rPr>
          <w:rFonts w:ascii="黑体" w:hAnsi="黑体" w:eastAsia="黑体"/>
          <w:sz w:val="32"/>
          <w:szCs w:val="32"/>
        </w:rPr>
      </w:pPr>
    </w:p>
    <w:sdt>
      <w:sdtPr>
        <w:tag w:val="NEW_STAND_NAME"/>
        <w:id w:val="595910757"/>
        <w:lock w:val="sdtLocked"/>
        <w:placeholder>
          <w:docPart w:val="A22067663B2D4972A48CB10EA1F7FE4A"/>
        </w:placeholder>
      </w:sdtPr>
      <w:sdtEndPr>
        <w:rPr>
          <w:rFonts w:ascii="Times New Roman" w:hAnsi="Times New Roman"/>
        </w:rPr>
      </w:sdtEndPr>
      <w:sdtContent>
        <w:p>
          <w:pPr>
            <w:pStyle w:val="177"/>
            <w:spacing w:before="312" w:beforeLines="100" w:after="686" w:afterLines="220"/>
            <w:rPr>
              <w:rFonts w:ascii="Times New Roman" w:hAnsi="Times New Roman"/>
            </w:rPr>
          </w:pPr>
          <w:bookmarkStart w:id="23" w:name="NEW_STAND_NAME"/>
          <w:r>
            <w:rPr>
              <w:rFonts w:ascii="Times New Roman" w:hAnsi="Times New Roman"/>
            </w:rPr>
            <w:t>饲用燕麦种子滴灌高产技术规程     </w:t>
          </w:r>
        </w:p>
      </w:sdtContent>
    </w:sdt>
    <w:bookmarkEnd w:id="23"/>
    <w:p>
      <w:pPr>
        <w:pStyle w:val="104"/>
        <w:spacing w:before="312" w:after="312"/>
        <w:rPr>
          <w:rFonts w:ascii="Times New Roman"/>
        </w:rPr>
      </w:pPr>
      <w:bookmarkStart w:id="24" w:name="_Toc24884218"/>
      <w:bookmarkStart w:id="25" w:name="_Toc17233325"/>
      <w:bookmarkStart w:id="26" w:name="_Toc17233333"/>
      <w:bookmarkStart w:id="27" w:name="_Toc26986771"/>
      <w:bookmarkStart w:id="28" w:name="_Toc26986530"/>
      <w:bookmarkStart w:id="29" w:name="_Toc26718930"/>
      <w:bookmarkStart w:id="30" w:name="_Toc24884211"/>
      <w:bookmarkStart w:id="31" w:name="_Toc26648465"/>
      <w:bookmarkStart w:id="32" w:name="_Toc97191423"/>
      <w:r>
        <w:rPr>
          <w:rFonts w:ascii="Times New Roman"/>
        </w:rPr>
        <w:t>范围</w:t>
      </w:r>
      <w:bookmarkEnd w:id="24"/>
      <w:bookmarkEnd w:id="25"/>
      <w:bookmarkEnd w:id="26"/>
      <w:bookmarkEnd w:id="27"/>
      <w:bookmarkEnd w:id="28"/>
      <w:bookmarkEnd w:id="29"/>
      <w:bookmarkEnd w:id="30"/>
      <w:bookmarkEnd w:id="31"/>
      <w:bookmarkEnd w:id="32"/>
    </w:p>
    <w:p>
      <w:pPr>
        <w:pStyle w:val="56"/>
        <w:ind w:firstLine="420"/>
        <w:rPr>
          <w:rFonts w:ascii="Times New Roman"/>
        </w:rPr>
      </w:pPr>
      <w:bookmarkStart w:id="33" w:name="_Toc26648466"/>
      <w:bookmarkStart w:id="34" w:name="_Toc24884212"/>
      <w:bookmarkStart w:id="35" w:name="_Toc17233326"/>
      <w:bookmarkStart w:id="36" w:name="_Toc24884219"/>
      <w:bookmarkStart w:id="37" w:name="_Toc17233334"/>
      <w:r>
        <w:rPr>
          <w:rFonts w:ascii="Times New Roman"/>
        </w:rPr>
        <w:t>本标准规定了鄂尔多斯市饲用燕麦种子滴灌高效生产的术语和定义、播前准备、隔离、播种、生产管理、收获与清选、贮藏等技术内容。</w:t>
      </w:r>
    </w:p>
    <w:p>
      <w:pPr>
        <w:pStyle w:val="56"/>
        <w:ind w:firstLine="420"/>
        <w:rPr>
          <w:rFonts w:ascii="Times New Roman"/>
        </w:rPr>
      </w:pPr>
      <w:r>
        <w:rPr>
          <w:rFonts w:ascii="Times New Roman"/>
        </w:rPr>
        <w:t>本标准适用于鄂尔多斯市滴灌条件下饲用燕麦种子生产。</w:t>
      </w:r>
    </w:p>
    <w:p>
      <w:pPr>
        <w:pStyle w:val="104"/>
        <w:spacing w:before="312" w:after="312"/>
        <w:rPr>
          <w:rFonts w:ascii="Times New Roman"/>
        </w:rPr>
      </w:pPr>
      <w:bookmarkStart w:id="38" w:name="_Toc97191424"/>
      <w:bookmarkStart w:id="39" w:name="_Toc26986772"/>
      <w:bookmarkStart w:id="40" w:name="_Toc26986531"/>
      <w:bookmarkStart w:id="41" w:name="_Toc26718931"/>
      <w:r>
        <w:rPr>
          <w:rFonts w:ascii="Times New Roman"/>
        </w:rPr>
        <w:t>规范性引用文件</w:t>
      </w:r>
      <w:bookmarkEnd w:id="33"/>
      <w:bookmarkEnd w:id="34"/>
      <w:bookmarkEnd w:id="35"/>
      <w:bookmarkEnd w:id="36"/>
      <w:bookmarkEnd w:id="37"/>
      <w:bookmarkEnd w:id="38"/>
      <w:bookmarkEnd w:id="39"/>
      <w:bookmarkEnd w:id="40"/>
      <w:bookmarkEnd w:id="41"/>
    </w:p>
    <w:sdt>
      <w:sdtPr>
        <w:rPr>
          <w:rFonts w:ascii="Times New Roman"/>
        </w:rPr>
        <w:id w:val="715848253"/>
        <w:placeholder>
          <w:docPart w:val="549958E7E54048A4B2C88831A431D4E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ascii="Times New Roman"/>
        </w:rPr>
      </w:sdtEndPr>
      <w:sdtContent>
        <w:p>
          <w:pPr>
            <w:pStyle w:val="56"/>
            <w:ind w:firstLine="42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rPr>
          <w:rFonts w:ascii="Times New Roman"/>
        </w:rPr>
      </w:pPr>
      <w:r>
        <w:rPr>
          <w:rFonts w:ascii="Times New Roman"/>
        </w:rPr>
        <w:t>GB 4404.4 粮食作物种子 第4部分：燕麦</w:t>
      </w:r>
    </w:p>
    <w:p>
      <w:pPr>
        <w:pStyle w:val="56"/>
        <w:ind w:firstLine="420"/>
        <w:rPr>
          <w:rFonts w:ascii="Times New Roman"/>
        </w:rPr>
      </w:pPr>
      <w:r>
        <w:rPr>
          <w:rFonts w:ascii="Times New Roman"/>
        </w:rPr>
        <w:t>GB 6142 禾本科草种子质量分级</w:t>
      </w:r>
    </w:p>
    <w:p>
      <w:pPr>
        <w:pStyle w:val="56"/>
        <w:ind w:firstLine="420"/>
        <w:rPr>
          <w:rFonts w:ascii="Times New Roman"/>
        </w:rPr>
      </w:pPr>
      <w:r>
        <w:rPr>
          <w:rFonts w:ascii="Times New Roman"/>
        </w:rPr>
        <w:t xml:space="preserve">GB 5084 农田灌溉水质标准 </w:t>
      </w:r>
    </w:p>
    <w:p>
      <w:pPr>
        <w:pStyle w:val="56"/>
        <w:ind w:firstLine="420"/>
        <w:rPr>
          <w:rFonts w:ascii="Times New Roman"/>
        </w:rPr>
      </w:pPr>
      <w:r>
        <w:rPr>
          <w:rFonts w:ascii="Times New Roman"/>
        </w:rPr>
        <w:t>GB/T 50485 微灌工程技术标准</w:t>
      </w:r>
    </w:p>
    <w:p>
      <w:pPr>
        <w:pStyle w:val="56"/>
        <w:ind w:firstLine="420"/>
        <w:rPr>
          <w:rFonts w:ascii="Times New Roman"/>
        </w:rPr>
      </w:pPr>
      <w:r>
        <w:rPr>
          <w:rFonts w:ascii="Times New Roman"/>
        </w:rPr>
        <w:t xml:space="preserve">NY/T 496 肥料合理使用准则 通则 </w:t>
      </w:r>
    </w:p>
    <w:p>
      <w:pPr>
        <w:pStyle w:val="56"/>
        <w:ind w:firstLine="420"/>
        <w:rPr>
          <w:rFonts w:ascii="Times New Roman"/>
        </w:rPr>
      </w:pPr>
      <w:r>
        <w:rPr>
          <w:rFonts w:ascii="Times New Roman"/>
        </w:rPr>
        <w:t>NY/T 1276 农药安全使用规范 总则</w:t>
      </w:r>
    </w:p>
    <w:p>
      <w:pPr>
        <w:pStyle w:val="56"/>
        <w:ind w:firstLine="420"/>
        <w:rPr>
          <w:rFonts w:ascii="Times New Roman"/>
        </w:rPr>
      </w:pPr>
      <w:r>
        <w:rPr>
          <w:rFonts w:ascii="Times New Roman"/>
        </w:rPr>
        <w:t>NY/T 1235 牧草与草坪草种子清选技术规程</w:t>
      </w:r>
    </w:p>
    <w:p>
      <w:pPr>
        <w:pStyle w:val="56"/>
        <w:ind w:firstLine="420"/>
        <w:rPr>
          <w:rFonts w:ascii="Times New Roman"/>
        </w:rPr>
      </w:pPr>
      <w:r>
        <w:rPr>
          <w:rFonts w:ascii="Times New Roman"/>
        </w:rPr>
        <w:t>NY/T 1577 草籽包装与标识</w:t>
      </w:r>
    </w:p>
    <w:p>
      <w:pPr>
        <w:pStyle w:val="56"/>
        <w:ind w:firstLine="420"/>
        <w:rPr>
          <w:rFonts w:ascii="Times New Roman"/>
        </w:rPr>
      </w:pPr>
      <w:r>
        <w:rPr>
          <w:rFonts w:ascii="Times New Roman"/>
        </w:rPr>
        <w:t>GB/T 7415 农作物种子贮藏</w:t>
      </w:r>
    </w:p>
    <w:p>
      <w:pPr>
        <w:pStyle w:val="56"/>
        <w:ind w:firstLine="420"/>
        <w:rPr>
          <w:rFonts w:ascii="Times New Roman"/>
        </w:rPr>
      </w:pPr>
      <w:r>
        <w:rPr>
          <w:rFonts w:ascii="Times New Roman"/>
        </w:rPr>
        <w:t>DB15/T 3156 燕麦田杂草绿色防控技术规程</w:t>
      </w:r>
    </w:p>
    <w:p>
      <w:pPr>
        <w:pStyle w:val="104"/>
        <w:spacing w:before="312" w:after="312"/>
        <w:rPr>
          <w:rFonts w:ascii="Times New Roman"/>
        </w:rPr>
      </w:pPr>
      <w:bookmarkStart w:id="42" w:name="_Toc97191425"/>
      <w:r>
        <w:rPr>
          <w:rFonts w:ascii="Times New Roman"/>
          <w:szCs w:val="21"/>
        </w:rPr>
        <w:t>术语和定义</w:t>
      </w:r>
      <w:bookmarkEnd w:id="42"/>
    </w:p>
    <w:sdt>
      <w:sdtPr>
        <w:rPr>
          <w:rFonts w:ascii="Times New Roman"/>
        </w:rPr>
        <w:id w:val="-1909835108"/>
        <w:placeholder>
          <w:docPart w:val="F55EBA20D01C4C89BD9A415686C43DD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ascii="Times New Roman"/>
        </w:rPr>
      </w:sdtEndPr>
      <w:sdtContent>
        <w:p>
          <w:pPr>
            <w:pStyle w:val="56"/>
            <w:ind w:firstLine="420"/>
            <w:rPr>
              <w:rFonts w:ascii="Times New Roman"/>
            </w:rPr>
          </w:pPr>
          <w:bookmarkStart w:id="43" w:name="_Toc26986532"/>
          <w:bookmarkEnd w:id="43"/>
          <w:r>
            <w:rPr>
              <w:rFonts w:ascii="Times New Roman"/>
            </w:rPr>
            <w:t>下列术语和定义适用于本文件。</w:t>
          </w:r>
        </w:p>
      </w:sdtContent>
    </w:sdt>
    <w:p>
      <w:pPr>
        <w:widowControl/>
        <w:spacing w:line="360" w:lineRule="auto"/>
        <w:jc w:val="left"/>
        <w:rPr>
          <w:rFonts w:ascii="Times New Roman" w:hAnsi="Times New Roman"/>
          <w:b/>
          <w:bCs/>
          <w:sz w:val="24"/>
          <w:szCs w:val="24"/>
        </w:rPr>
      </w:pPr>
      <w:r>
        <w:rPr>
          <w:rFonts w:ascii="Times New Roman" w:hAnsi="Times New Roman"/>
          <w:b/>
          <w:bCs/>
          <w:kern w:val="0"/>
        </w:rPr>
        <w:t xml:space="preserve">3.1 滴灌 drip </w:t>
      </w:r>
      <w:r>
        <w:rPr>
          <w:rFonts w:ascii="Times New Roman" w:hAnsi="Times New Roman"/>
          <w:b/>
          <w:bCs/>
          <w:sz w:val="24"/>
          <w:szCs w:val="24"/>
        </w:rPr>
        <w:t>irrigation</w:t>
      </w:r>
    </w:p>
    <w:p>
      <w:pPr>
        <w:pStyle w:val="13"/>
        <w:spacing w:line="360" w:lineRule="auto"/>
        <w:ind w:firstLine="420" w:firstLineChars="200"/>
        <w:rPr>
          <w:rFonts w:ascii="Times New Roman" w:hAnsi="Times New Roman"/>
        </w:rPr>
      </w:pPr>
      <w:r>
        <w:rPr>
          <w:rFonts w:ascii="Times New Roman" w:hAnsi="Times New Roman"/>
        </w:rPr>
        <w:t>利用专门灌溉设备，灌溉水以水滴状流出而浸润植物根区土壤的灌水方法。</w:t>
      </w:r>
    </w:p>
    <w:p>
      <w:pPr>
        <w:pStyle w:val="13"/>
        <w:spacing w:line="360" w:lineRule="auto"/>
        <w:rPr>
          <w:rFonts w:ascii="Times New Roman" w:hAnsi="Times New Roman"/>
          <w:b/>
          <w:bCs/>
          <w:kern w:val="0"/>
        </w:rPr>
      </w:pPr>
      <w:r>
        <w:rPr>
          <w:rFonts w:ascii="Times New Roman" w:hAnsi="Times New Roman"/>
          <w:b/>
          <w:bCs/>
          <w:kern w:val="0"/>
        </w:rPr>
        <w:t>3.2 水肥一体化integrated management of water and fertilizer</w:t>
      </w:r>
    </w:p>
    <w:p>
      <w:pPr>
        <w:pStyle w:val="13"/>
        <w:spacing w:line="360" w:lineRule="auto"/>
        <w:ind w:firstLine="420" w:firstLineChars="200"/>
        <w:rPr>
          <w:rFonts w:ascii="Times New Roman" w:hAnsi="Times New Roman"/>
          <w:kern w:val="0"/>
        </w:rPr>
      </w:pPr>
      <w:r>
        <w:rPr>
          <w:rFonts w:ascii="Times New Roman" w:hAnsi="Times New Roman"/>
          <w:kern w:val="0"/>
        </w:rPr>
        <w:t>利用管道灌溉系统，将肥料溶解在水中，同时进行灌溉与施肥，适时、适量地满足农作物对水分和</w:t>
      </w:r>
    </w:p>
    <w:p>
      <w:pPr>
        <w:pStyle w:val="13"/>
        <w:spacing w:line="360" w:lineRule="auto"/>
        <w:rPr>
          <w:rFonts w:ascii="Times New Roman" w:hAnsi="Times New Roman"/>
          <w:kern w:val="0"/>
        </w:rPr>
      </w:pPr>
      <w:r>
        <w:rPr>
          <w:rFonts w:ascii="Times New Roman" w:hAnsi="Times New Roman"/>
          <w:kern w:val="0"/>
        </w:rPr>
        <w:t>养分的需求，实现水肥同步管理和合理利用的节水农业技术。</w:t>
      </w:r>
    </w:p>
    <w:p>
      <w:pPr>
        <w:widowControl/>
        <w:spacing w:line="480" w:lineRule="atLeast"/>
        <w:jc w:val="left"/>
        <w:rPr>
          <w:rFonts w:ascii="Times New Roman" w:hAnsi="Times New Roman"/>
          <w:color w:val="000000"/>
          <w:kern w:val="0"/>
        </w:rPr>
      </w:pPr>
      <w:r>
        <w:rPr>
          <w:rFonts w:ascii="Times New Roman" w:hAnsi="Times New Roman" w:eastAsia="黑体"/>
          <w:kern w:val="0"/>
        </w:rPr>
        <w:t>4 播前准备</w:t>
      </w:r>
      <w:r>
        <w:rPr>
          <w:rFonts w:ascii="Times New Roman" w:hAnsi="Times New Roman"/>
          <w:color w:val="000000"/>
          <w:kern w:val="0"/>
        </w:rPr>
        <w:t xml:space="preserve"> </w:t>
      </w:r>
    </w:p>
    <w:p>
      <w:pPr>
        <w:pStyle w:val="13"/>
        <w:rPr>
          <w:rFonts w:ascii="Times New Roman" w:hAnsi="Times New Roman" w:eastAsia="黑体"/>
          <w:kern w:val="0"/>
        </w:rPr>
      </w:pPr>
      <w:r>
        <w:rPr>
          <w:rFonts w:ascii="Times New Roman" w:hAnsi="Times New Roman" w:eastAsia="黑体"/>
          <w:kern w:val="0"/>
        </w:rPr>
        <w:t>4.1 选地</w:t>
      </w:r>
    </w:p>
    <w:p>
      <w:pPr>
        <w:widowControl/>
        <w:spacing w:line="480" w:lineRule="atLeast"/>
        <w:ind w:firstLine="420"/>
        <w:jc w:val="left"/>
        <w:rPr>
          <w:rFonts w:ascii="Times New Roman" w:hAnsi="Times New Roman"/>
          <w:color w:val="000000"/>
          <w:kern w:val="0"/>
        </w:rPr>
      </w:pPr>
      <w:r>
        <w:rPr>
          <w:rFonts w:ascii="Times New Roman" w:hAnsi="Times New Roman"/>
          <w:color w:val="000000"/>
          <w:kern w:val="0"/>
        </w:rPr>
        <w:t>选择地势平坦、耕作层深厚疏松、排水良好、肥力中等、pH值5.5⁓8、有灌溉条件的地块。</w:t>
      </w:r>
    </w:p>
    <w:p>
      <w:pPr>
        <w:widowControl/>
        <w:spacing w:line="480" w:lineRule="atLeast"/>
        <w:jc w:val="left"/>
        <w:rPr>
          <w:rFonts w:ascii="Times New Roman" w:hAnsi="Times New Roman" w:eastAsia="黑体"/>
          <w:kern w:val="0"/>
        </w:rPr>
      </w:pPr>
      <w:r>
        <w:rPr>
          <w:rFonts w:ascii="Times New Roman" w:hAnsi="Times New Roman" w:eastAsia="黑体"/>
          <w:kern w:val="0"/>
        </w:rPr>
        <w:t>4.2 整地</w:t>
      </w:r>
    </w:p>
    <w:p>
      <w:pPr>
        <w:widowControl/>
        <w:spacing w:line="480" w:lineRule="atLeast"/>
        <w:ind w:firstLine="420"/>
        <w:jc w:val="left"/>
        <w:rPr>
          <w:rFonts w:ascii="Times New Roman" w:hAnsi="Times New Roman"/>
          <w:color w:val="000000"/>
          <w:kern w:val="0"/>
        </w:rPr>
      </w:pPr>
      <w:r>
        <w:rPr>
          <w:rFonts w:ascii="Times New Roman" w:hAnsi="Times New Roman"/>
          <w:color w:val="000000"/>
          <w:kern w:val="0"/>
        </w:rPr>
        <w:t>秋季深耕25⁓30 cm或春季浅耕10 cm,播前精细整地，彻底清除杂草，整平影响播种的凹凸地段，整好后镇压。</w:t>
      </w:r>
    </w:p>
    <w:p>
      <w:pPr>
        <w:widowControl/>
        <w:spacing w:line="480" w:lineRule="atLeast"/>
        <w:jc w:val="left"/>
        <w:rPr>
          <w:rFonts w:ascii="Times New Roman" w:hAnsi="Times New Roman" w:eastAsia="黑体"/>
          <w:kern w:val="0"/>
        </w:rPr>
      </w:pPr>
      <w:r>
        <w:rPr>
          <w:rFonts w:ascii="Times New Roman" w:hAnsi="Times New Roman" w:eastAsia="黑体"/>
          <w:kern w:val="0"/>
        </w:rPr>
        <w:t>4.3 底肥</w:t>
      </w:r>
    </w:p>
    <w:p>
      <w:pPr>
        <w:pStyle w:val="13"/>
        <w:ind w:firstLine="420" w:firstLineChars="200"/>
        <w:rPr>
          <w:rFonts w:ascii="Times New Roman" w:hAnsi="Times New Roman"/>
          <w:kern w:val="0"/>
        </w:rPr>
      </w:pPr>
      <w:r>
        <w:rPr>
          <w:rFonts w:ascii="Times New Roman" w:hAnsi="Times New Roman"/>
          <w:kern w:val="0"/>
        </w:rPr>
        <w:t>一般施腐熟农家肥22.5⁓37.5</w:t>
      </w:r>
      <w:r>
        <w:rPr>
          <w:rFonts w:ascii="Times New Roman" w:hAnsi="Times New Roman"/>
        </w:rPr>
        <w:t xml:space="preserve"> </w:t>
      </w:r>
      <w:r>
        <w:rPr>
          <w:rFonts w:ascii="Times New Roman" w:hAnsi="Times New Roman"/>
          <w:kern w:val="0"/>
        </w:rPr>
        <w:t>t/hm²。</w:t>
      </w:r>
    </w:p>
    <w:p>
      <w:pPr>
        <w:widowControl/>
        <w:spacing w:line="480" w:lineRule="atLeast"/>
        <w:jc w:val="left"/>
        <w:rPr>
          <w:rFonts w:ascii="Times New Roman" w:hAnsi="Times New Roman" w:eastAsia="黑体"/>
          <w:kern w:val="0"/>
        </w:rPr>
      </w:pPr>
      <w:r>
        <w:rPr>
          <w:rFonts w:ascii="Times New Roman" w:hAnsi="Times New Roman" w:eastAsia="黑体"/>
          <w:kern w:val="0"/>
        </w:rPr>
        <w:t>4.4 滴灌系统</w:t>
      </w:r>
    </w:p>
    <w:p>
      <w:pPr>
        <w:pStyle w:val="13"/>
        <w:spacing w:line="360" w:lineRule="auto"/>
        <w:ind w:firstLine="420" w:firstLineChars="200"/>
        <w:rPr>
          <w:rFonts w:ascii="Times New Roman" w:hAnsi="Times New Roman"/>
        </w:rPr>
      </w:pPr>
      <w:r>
        <w:rPr>
          <w:rFonts w:ascii="Times New Roman" w:hAnsi="Times New Roman"/>
          <w:kern w:val="0"/>
        </w:rPr>
        <w:t>滴灌系统由水源工程、首部枢纽、输配水管网和滴灌灌水器等部分组成，滴灌系统布置应符合</w:t>
      </w:r>
      <w:r>
        <w:rPr>
          <w:rFonts w:ascii="Times New Roman" w:hAnsi="Times New Roman"/>
        </w:rPr>
        <w:t>GBT50485 要求。</w:t>
      </w:r>
    </w:p>
    <w:p>
      <w:pPr>
        <w:pStyle w:val="13"/>
        <w:spacing w:line="360" w:lineRule="auto"/>
        <w:rPr>
          <w:rFonts w:ascii="Times New Roman" w:hAnsi="Times New Roman" w:eastAsia="黑体"/>
          <w:kern w:val="0"/>
        </w:rPr>
      </w:pPr>
      <w:r>
        <w:rPr>
          <w:rFonts w:ascii="Times New Roman" w:hAnsi="Times New Roman" w:eastAsia="黑体"/>
          <w:kern w:val="0"/>
        </w:rPr>
        <w:t>5 隔离</w:t>
      </w:r>
    </w:p>
    <w:p>
      <w:pPr>
        <w:pStyle w:val="13"/>
        <w:spacing w:line="360" w:lineRule="auto"/>
        <w:ind w:firstLine="420" w:firstLineChars="200"/>
        <w:rPr>
          <w:rFonts w:ascii="Times New Roman" w:hAnsi="Times New Roman"/>
        </w:rPr>
      </w:pPr>
      <w:r>
        <w:rPr>
          <w:rFonts w:ascii="Times New Roman" w:hAnsi="Times New Roman"/>
        </w:rPr>
        <w:t>燕麦是自花授粉作物，为防止天然杂交，应保证饲用燕麦种子田四围10 m以内不得种植其他品种的燕麦。</w:t>
      </w:r>
    </w:p>
    <w:p>
      <w:pPr>
        <w:widowControl/>
        <w:spacing w:line="480" w:lineRule="atLeast"/>
        <w:jc w:val="left"/>
        <w:rPr>
          <w:rFonts w:ascii="Times New Roman" w:hAnsi="Times New Roman" w:eastAsia="黑体"/>
          <w:kern w:val="0"/>
        </w:rPr>
      </w:pPr>
      <w:r>
        <w:rPr>
          <w:rFonts w:ascii="Times New Roman" w:hAnsi="Times New Roman" w:eastAsia="黑体"/>
          <w:kern w:val="0"/>
        </w:rPr>
        <w:t>6 播种</w:t>
      </w:r>
    </w:p>
    <w:p>
      <w:pPr>
        <w:widowControl/>
        <w:spacing w:line="480" w:lineRule="atLeast"/>
        <w:jc w:val="left"/>
        <w:rPr>
          <w:rFonts w:ascii="Times New Roman" w:hAnsi="Times New Roman"/>
          <w:b/>
          <w:bCs/>
          <w:color w:val="000000"/>
          <w:kern w:val="0"/>
        </w:rPr>
      </w:pPr>
      <w:r>
        <w:rPr>
          <w:rFonts w:ascii="Times New Roman" w:hAnsi="Times New Roman"/>
          <w:b/>
          <w:bCs/>
          <w:color w:val="000000"/>
          <w:kern w:val="0"/>
        </w:rPr>
        <w:t xml:space="preserve">6.1 播种时间 </w:t>
      </w:r>
    </w:p>
    <w:p>
      <w:pPr>
        <w:widowControl/>
        <w:spacing w:line="360" w:lineRule="auto"/>
        <w:ind w:firstLine="420" w:firstLineChars="200"/>
        <w:rPr>
          <w:rFonts w:ascii="Times New Roman" w:hAnsi="Times New Roman"/>
          <w:color w:val="FF0000"/>
          <w:kern w:val="0"/>
        </w:rPr>
      </w:pPr>
      <w:r>
        <w:rPr>
          <w:rFonts w:ascii="Times New Roman" w:hAnsi="Times New Roman"/>
          <w:kern w:val="0"/>
        </w:rPr>
        <w:t>饲用燕麦种子田可选择春播或夏播，根据品种的生育期及土地利用情况适时播种。燕麦种子在土壤解冻5</w:t>
      </w:r>
      <w:r>
        <w:rPr>
          <w:rFonts w:ascii="Times New Roman" w:hAnsi="Times New Roman"/>
          <w:color w:val="000000"/>
          <w:kern w:val="0"/>
        </w:rPr>
        <w:t>⁓</w:t>
      </w:r>
      <w:r>
        <w:rPr>
          <w:rFonts w:ascii="Times New Roman" w:hAnsi="Times New Roman"/>
          <w:kern w:val="0"/>
        </w:rPr>
        <w:t>10 cm、地温达3</w:t>
      </w:r>
      <w:r>
        <w:rPr>
          <w:rFonts w:ascii="Times New Roman" w:hAnsi="Times New Roman"/>
          <w:color w:val="000000"/>
          <w:kern w:val="0"/>
        </w:rPr>
        <w:t>⁓</w:t>
      </w:r>
      <w:r>
        <w:rPr>
          <w:rFonts w:ascii="Times New Roman" w:hAnsi="Times New Roman"/>
          <w:kern w:val="0"/>
        </w:rPr>
        <w:t>4 ℃即可发芽。</w:t>
      </w:r>
    </w:p>
    <w:p>
      <w:pPr>
        <w:widowControl/>
        <w:spacing w:line="360" w:lineRule="auto"/>
        <w:jc w:val="left"/>
        <w:rPr>
          <w:rFonts w:ascii="Times New Roman" w:hAnsi="Times New Roman"/>
        </w:rPr>
      </w:pPr>
      <w:r>
        <w:rPr>
          <w:rFonts w:ascii="Times New Roman" w:hAnsi="Times New Roman"/>
          <w:b/>
          <w:bCs/>
          <w:color w:val="000000"/>
          <w:kern w:val="0"/>
        </w:rPr>
        <w:t>6.2 播种量</w:t>
      </w:r>
      <w:r>
        <w:rPr>
          <w:rFonts w:ascii="Times New Roman" w:hAnsi="Times New Roman" w:eastAsia="仿宋_GB2312"/>
          <w:sz w:val="24"/>
          <w:szCs w:val="24"/>
        </w:rPr>
        <w:t xml:space="preserve"> </w:t>
      </w:r>
    </w:p>
    <w:p>
      <w:pPr>
        <w:pStyle w:val="13"/>
        <w:spacing w:line="360" w:lineRule="auto"/>
        <w:ind w:firstLine="420" w:firstLineChars="200"/>
        <w:rPr>
          <w:rFonts w:ascii="Times New Roman" w:hAnsi="Times New Roman"/>
        </w:rPr>
      </w:pPr>
      <w:r>
        <w:rPr>
          <w:rFonts w:ascii="Times New Roman" w:hAnsi="Times New Roman"/>
        </w:rPr>
        <w:t>播种量根据种子发芽率确定，一般为120 kg/hm²⁓ 150 kg/hm²。</w:t>
      </w:r>
    </w:p>
    <w:p>
      <w:pPr>
        <w:widowControl/>
        <w:spacing w:line="360" w:lineRule="auto"/>
        <w:jc w:val="left"/>
        <w:rPr>
          <w:rFonts w:ascii="Times New Roman" w:hAnsi="Times New Roman" w:eastAsia="黑体"/>
          <w:kern w:val="0"/>
        </w:rPr>
      </w:pPr>
      <w:r>
        <w:rPr>
          <w:rFonts w:ascii="Times New Roman" w:hAnsi="Times New Roman"/>
          <w:b/>
          <w:bCs/>
          <w:color w:val="000000"/>
          <w:kern w:val="0"/>
        </w:rPr>
        <w:t>6.3播种方法</w:t>
      </w:r>
      <w:r>
        <w:rPr>
          <w:rFonts w:ascii="Times New Roman" w:hAnsi="Times New Roman" w:eastAsia="黑体"/>
          <w:kern w:val="0"/>
        </w:rPr>
        <w:t xml:space="preserve"> </w:t>
      </w:r>
    </w:p>
    <w:p>
      <w:pPr>
        <w:widowControl/>
        <w:spacing w:line="360" w:lineRule="auto"/>
        <w:ind w:firstLine="420" w:firstLineChars="200"/>
        <w:jc w:val="left"/>
        <w:rPr>
          <w:rFonts w:ascii="Times New Roman" w:hAnsi="Times New Roman"/>
          <w:kern w:val="0"/>
        </w:rPr>
      </w:pPr>
      <w:r>
        <w:rPr>
          <w:rFonts w:ascii="Times New Roman" w:hAnsi="Times New Roman"/>
          <w:kern w:val="0"/>
        </w:rPr>
        <w:t>可采用滴灌播种一体机在播种的同时铺设滴灌带，滴灌带间距30</w:t>
      </w:r>
      <w:r>
        <w:rPr>
          <w:rFonts w:ascii="Times New Roman" w:hAnsi="Times New Roman"/>
        </w:rPr>
        <w:t>⁓</w:t>
      </w:r>
      <w:r>
        <w:rPr>
          <w:rFonts w:ascii="Times New Roman" w:hAnsi="Times New Roman"/>
          <w:kern w:val="0"/>
        </w:rPr>
        <w:t>40 cm，沙土稍近，粘壤土稍远。燕麦行距20 cm</w:t>
      </w:r>
      <w:r>
        <w:rPr>
          <w:rFonts w:ascii="Times New Roman" w:hAnsi="Times New Roman"/>
        </w:rPr>
        <w:t>⁓</w:t>
      </w:r>
      <w:r>
        <w:rPr>
          <w:rFonts w:ascii="Times New Roman" w:hAnsi="Times New Roman"/>
          <w:kern w:val="0"/>
        </w:rPr>
        <w:t>25</w:t>
      </w:r>
      <w:r>
        <w:rPr>
          <w:rFonts w:ascii="Times New Roman" w:hAnsi="Times New Roman"/>
        </w:rPr>
        <w:t xml:space="preserve"> </w:t>
      </w:r>
      <w:r>
        <w:rPr>
          <w:rFonts w:ascii="Times New Roman" w:hAnsi="Times New Roman"/>
          <w:kern w:val="0"/>
        </w:rPr>
        <w:t>cm，播深2</w:t>
      </w:r>
      <w:r>
        <w:rPr>
          <w:rFonts w:ascii="Times New Roman" w:hAnsi="Times New Roman"/>
        </w:rPr>
        <w:t xml:space="preserve"> </w:t>
      </w:r>
      <w:r>
        <w:rPr>
          <w:rFonts w:ascii="Times New Roman" w:hAnsi="Times New Roman"/>
          <w:kern w:val="0"/>
        </w:rPr>
        <w:t>cm</w:t>
      </w:r>
      <w:r>
        <w:rPr>
          <w:rFonts w:ascii="Times New Roman" w:hAnsi="Times New Roman"/>
        </w:rPr>
        <w:t>⁓</w:t>
      </w:r>
      <w:r>
        <w:rPr>
          <w:rFonts w:ascii="Times New Roman" w:hAnsi="Times New Roman"/>
          <w:kern w:val="0"/>
        </w:rPr>
        <w:t>3</w:t>
      </w:r>
      <w:r>
        <w:rPr>
          <w:rFonts w:ascii="Times New Roman" w:hAnsi="Times New Roman"/>
        </w:rPr>
        <w:t xml:space="preserve"> </w:t>
      </w:r>
      <w:r>
        <w:rPr>
          <w:rFonts w:ascii="Times New Roman" w:hAnsi="Times New Roman"/>
          <w:kern w:val="0"/>
        </w:rPr>
        <w:t>cm，播后镇压。</w:t>
      </w:r>
    </w:p>
    <w:p>
      <w:pPr>
        <w:widowControl/>
        <w:spacing w:line="360" w:lineRule="auto"/>
        <w:jc w:val="left"/>
        <w:rPr>
          <w:rFonts w:ascii="Times New Roman" w:hAnsi="Times New Roman"/>
          <w:b/>
          <w:bCs/>
          <w:color w:val="000000"/>
          <w:kern w:val="0"/>
        </w:rPr>
      </w:pPr>
      <w:r>
        <w:rPr>
          <w:rFonts w:ascii="Times New Roman" w:hAnsi="Times New Roman"/>
          <w:b/>
          <w:bCs/>
          <w:color w:val="000000"/>
          <w:kern w:val="0"/>
        </w:rPr>
        <w:t>6.4 种肥</w:t>
      </w:r>
    </w:p>
    <w:p>
      <w:pPr>
        <w:widowControl/>
        <w:spacing w:line="360" w:lineRule="auto"/>
        <w:jc w:val="left"/>
        <w:rPr>
          <w:rFonts w:ascii="Times New Roman" w:hAnsi="Times New Roman"/>
          <w:kern w:val="0"/>
        </w:rPr>
      </w:pPr>
      <w:r>
        <w:rPr>
          <w:rFonts w:ascii="Times New Roman" w:hAnsi="Times New Roman"/>
          <w:kern w:val="0"/>
        </w:rPr>
        <w:t xml:space="preserve">   根据土壤肥力情况，种肥一般施</w:t>
      </w:r>
      <w:r>
        <w:rPr>
          <w:rFonts w:ascii="Times New Roman" w:hAnsi="Times New Roman"/>
          <w:color w:val="000000"/>
          <w:kern w:val="0"/>
        </w:rPr>
        <w:t>磷肥（P</w:t>
      </w:r>
      <w:r>
        <w:rPr>
          <w:rFonts w:ascii="Times New Roman" w:hAnsi="Times New Roman"/>
          <w:color w:val="000000"/>
          <w:kern w:val="0"/>
          <w:vertAlign w:val="subscript"/>
        </w:rPr>
        <w:t>2</w:t>
      </w:r>
      <w:r>
        <w:rPr>
          <w:rFonts w:ascii="Times New Roman" w:hAnsi="Times New Roman"/>
          <w:color w:val="000000"/>
          <w:kern w:val="0"/>
        </w:rPr>
        <w:t>O</w:t>
      </w:r>
      <w:r>
        <w:rPr>
          <w:rFonts w:ascii="Times New Roman" w:hAnsi="Times New Roman"/>
          <w:color w:val="000000"/>
          <w:kern w:val="0"/>
          <w:vertAlign w:val="subscript"/>
        </w:rPr>
        <w:t>5</w:t>
      </w:r>
      <w:r>
        <w:rPr>
          <w:rFonts w:ascii="Times New Roman" w:hAnsi="Times New Roman"/>
          <w:color w:val="000000"/>
          <w:kern w:val="0"/>
        </w:rPr>
        <w:t>）</w:t>
      </w:r>
      <w:r>
        <w:rPr>
          <w:rFonts w:hint="eastAsia" w:ascii="Times New Roman" w:hAnsi="Times New Roman"/>
          <w:color w:val="000000"/>
          <w:kern w:val="0"/>
        </w:rPr>
        <w:t>60</w:t>
      </w:r>
      <w:r>
        <w:rPr>
          <w:rFonts w:ascii="Times New Roman" w:hAnsi="Times New Roman"/>
        </w:rPr>
        <w:t>～</w:t>
      </w:r>
      <w:r>
        <w:rPr>
          <w:rFonts w:hint="eastAsia" w:ascii="Times New Roman" w:hAnsi="Times New Roman"/>
          <w:color w:val="000000"/>
          <w:kern w:val="0"/>
        </w:rPr>
        <w:t>75</w:t>
      </w:r>
      <w:r>
        <w:rPr>
          <w:rFonts w:ascii="Times New Roman" w:hAnsi="Times New Roman"/>
          <w:color w:val="000000"/>
          <w:kern w:val="0"/>
        </w:rPr>
        <w:t xml:space="preserve"> kg/</w:t>
      </w:r>
      <w:r>
        <w:rPr>
          <w:rFonts w:ascii="Times New Roman" w:hAnsi="Times New Roman"/>
        </w:rPr>
        <w:t xml:space="preserve"> hm²</w:t>
      </w:r>
      <w:r>
        <w:rPr>
          <w:rFonts w:ascii="Times New Roman" w:hAnsi="Times New Roman"/>
          <w:color w:val="000000"/>
          <w:kern w:val="0"/>
        </w:rPr>
        <w:t>和钾肥（K</w:t>
      </w:r>
      <w:r>
        <w:rPr>
          <w:rFonts w:ascii="Times New Roman" w:hAnsi="Times New Roman"/>
          <w:color w:val="000000"/>
          <w:kern w:val="0"/>
          <w:vertAlign w:val="subscript"/>
        </w:rPr>
        <w:t>2</w:t>
      </w:r>
      <w:r>
        <w:rPr>
          <w:rFonts w:ascii="Times New Roman" w:hAnsi="Times New Roman"/>
          <w:color w:val="000000"/>
          <w:kern w:val="0"/>
        </w:rPr>
        <w:t>O）</w:t>
      </w:r>
      <w:r>
        <w:rPr>
          <w:rFonts w:hint="eastAsia" w:ascii="Times New Roman" w:hAnsi="Times New Roman"/>
          <w:color w:val="000000"/>
          <w:kern w:val="0"/>
        </w:rPr>
        <w:t>30</w:t>
      </w:r>
      <w:r>
        <w:rPr>
          <w:rFonts w:ascii="Times New Roman" w:hAnsi="Times New Roman"/>
        </w:rPr>
        <w:t>～</w:t>
      </w:r>
      <w:r>
        <w:rPr>
          <w:rFonts w:hint="eastAsia" w:ascii="Times New Roman" w:hAnsi="Times New Roman"/>
          <w:color w:val="000000"/>
          <w:kern w:val="0"/>
        </w:rPr>
        <w:t xml:space="preserve">45 </w:t>
      </w:r>
      <w:r>
        <w:rPr>
          <w:rFonts w:ascii="Times New Roman" w:hAnsi="Times New Roman"/>
          <w:color w:val="000000"/>
          <w:kern w:val="0"/>
        </w:rPr>
        <w:t>kg/</w:t>
      </w:r>
      <w:r>
        <w:rPr>
          <w:rFonts w:ascii="Times New Roman" w:hAnsi="Times New Roman"/>
        </w:rPr>
        <w:t xml:space="preserve"> hm²</w:t>
      </w:r>
      <w:r>
        <w:rPr>
          <w:rFonts w:ascii="Times New Roman" w:hAnsi="Times New Roman"/>
          <w:kern w:val="0"/>
        </w:rPr>
        <w:t>。</w:t>
      </w:r>
    </w:p>
    <w:p>
      <w:pPr>
        <w:widowControl/>
        <w:spacing w:line="360" w:lineRule="auto"/>
        <w:jc w:val="left"/>
        <w:rPr>
          <w:rFonts w:ascii="Times New Roman" w:hAnsi="Times New Roman"/>
          <w:b/>
          <w:bCs/>
          <w:color w:val="000000"/>
          <w:kern w:val="0"/>
        </w:rPr>
      </w:pPr>
      <w:r>
        <w:rPr>
          <w:rFonts w:ascii="Times New Roman" w:hAnsi="Times New Roman"/>
          <w:b/>
          <w:bCs/>
          <w:color w:val="000000"/>
          <w:kern w:val="0"/>
        </w:rPr>
        <w:t>7 生产管理</w:t>
      </w:r>
    </w:p>
    <w:p>
      <w:pPr>
        <w:widowControl/>
        <w:spacing w:line="360" w:lineRule="auto"/>
        <w:jc w:val="left"/>
        <w:rPr>
          <w:rFonts w:ascii="Times New Roman" w:hAnsi="Times New Roman"/>
          <w:b/>
          <w:bCs/>
          <w:color w:val="000000"/>
          <w:kern w:val="0"/>
        </w:rPr>
      </w:pPr>
      <w:r>
        <w:rPr>
          <w:rFonts w:ascii="Times New Roman" w:hAnsi="Times New Roman"/>
          <w:b/>
          <w:bCs/>
          <w:color w:val="000000"/>
          <w:kern w:val="0"/>
        </w:rPr>
        <w:t>7.1水肥一体化</w:t>
      </w:r>
    </w:p>
    <w:p>
      <w:pPr>
        <w:rPr>
          <w:rFonts w:ascii="Times New Roman" w:hAnsi="Times New Roman"/>
          <w:b/>
          <w:bCs/>
          <w:kern w:val="0"/>
        </w:rPr>
      </w:pPr>
      <w:r>
        <w:rPr>
          <w:rFonts w:hint="eastAsia" w:ascii="Times New Roman" w:hAnsi="Times New Roman"/>
          <w:b/>
          <w:bCs/>
          <w:kern w:val="0"/>
        </w:rPr>
        <w:t>7.1.1 水肥一体化制度</w:t>
      </w:r>
    </w:p>
    <w:p>
      <w:pPr>
        <w:ind w:firstLine="420" w:firstLineChars="200"/>
        <w:rPr>
          <w:rFonts w:ascii="Times New Roman" w:hAnsi="Times New Roman"/>
          <w:kern w:val="0"/>
        </w:rPr>
      </w:pPr>
      <w:r>
        <w:rPr>
          <w:rFonts w:hint="eastAsia" w:ascii="Times New Roman" w:hAnsi="Times New Roman"/>
          <w:kern w:val="0"/>
        </w:rPr>
        <w:t>滴灌</w:t>
      </w:r>
      <w:r>
        <w:rPr>
          <w:rFonts w:ascii="Times New Roman" w:hAnsi="Times New Roman"/>
          <w:kern w:val="0"/>
        </w:rPr>
        <w:t>饲用燕麦种子田</w:t>
      </w:r>
      <w:r>
        <w:rPr>
          <w:rFonts w:hint="eastAsia" w:ascii="Times New Roman" w:hAnsi="Times New Roman"/>
          <w:kern w:val="0"/>
        </w:rPr>
        <w:t>灌溉</w:t>
      </w:r>
      <w:r>
        <w:rPr>
          <w:rFonts w:ascii="Times New Roman" w:hAnsi="Times New Roman"/>
          <w:kern w:val="0"/>
        </w:rPr>
        <w:t>和施肥按照生长需求，结合水肥一体化管理方式，</w:t>
      </w:r>
      <w:r>
        <w:rPr>
          <w:rFonts w:hint="eastAsia" w:ascii="Times New Roman" w:hAnsi="Times New Roman"/>
          <w:kern w:val="0"/>
        </w:rPr>
        <w:t>灌溉</w:t>
      </w:r>
      <w:r>
        <w:rPr>
          <w:rFonts w:ascii="Times New Roman" w:hAnsi="Times New Roman"/>
          <w:kern w:val="0"/>
        </w:rPr>
        <w:t>时期和灌溉量为</w:t>
      </w:r>
      <w:r>
        <w:rPr>
          <w:rFonts w:ascii="Times New Roman" w:hAnsi="Times New Roman"/>
          <w:color w:val="000000"/>
          <w:kern w:val="0"/>
        </w:rPr>
        <w:t>出苗期20 m³、分蘖期20 m³、抽穗期30 m³、灌浆期20 m³，追肥在分蘖期和抽穗期结合</w:t>
      </w:r>
      <w:r>
        <w:rPr>
          <w:rFonts w:hint="eastAsia" w:ascii="Times New Roman" w:hAnsi="Times New Roman"/>
          <w:color w:val="000000"/>
          <w:kern w:val="0"/>
        </w:rPr>
        <w:t>灌溉</w:t>
      </w:r>
      <w:r>
        <w:rPr>
          <w:rFonts w:ascii="Times New Roman" w:hAnsi="Times New Roman"/>
          <w:color w:val="000000"/>
          <w:kern w:val="0"/>
        </w:rPr>
        <w:t>进行，分蘖期追施</w:t>
      </w:r>
      <w:r>
        <w:rPr>
          <w:rFonts w:hint="eastAsia" w:ascii="Times New Roman" w:hAnsi="Times New Roman"/>
          <w:color w:val="000000"/>
          <w:kern w:val="0"/>
        </w:rPr>
        <w:t>氮肥（N）30</w:t>
      </w:r>
      <w:r>
        <w:rPr>
          <w:rFonts w:ascii="Times New Roman" w:hAnsi="Times New Roman"/>
        </w:rPr>
        <w:t>～</w:t>
      </w:r>
      <w:r>
        <w:rPr>
          <w:rFonts w:hint="eastAsia" w:ascii="Times New Roman" w:hAnsi="Times New Roman"/>
          <w:color w:val="000000"/>
          <w:kern w:val="0"/>
        </w:rPr>
        <w:t>45</w:t>
      </w:r>
      <w:r>
        <w:rPr>
          <w:rFonts w:ascii="Times New Roman" w:hAnsi="Times New Roman"/>
          <w:kern w:val="0"/>
        </w:rPr>
        <w:t xml:space="preserve"> kg/hm²、抽穗期追施钾</w:t>
      </w:r>
      <w:r>
        <w:rPr>
          <w:rFonts w:hint="eastAsia" w:ascii="Times New Roman" w:hAnsi="Times New Roman"/>
          <w:kern w:val="0"/>
        </w:rPr>
        <w:t>肥</w:t>
      </w:r>
      <w:r>
        <w:rPr>
          <w:rFonts w:ascii="Times New Roman" w:hAnsi="Times New Roman"/>
          <w:color w:val="000000"/>
          <w:kern w:val="0"/>
        </w:rPr>
        <w:t>（K</w:t>
      </w:r>
      <w:r>
        <w:rPr>
          <w:rFonts w:ascii="Times New Roman" w:hAnsi="Times New Roman"/>
          <w:color w:val="000000"/>
          <w:kern w:val="0"/>
          <w:vertAlign w:val="subscript"/>
        </w:rPr>
        <w:t>2</w:t>
      </w:r>
      <w:r>
        <w:rPr>
          <w:rFonts w:ascii="Times New Roman" w:hAnsi="Times New Roman"/>
          <w:color w:val="000000"/>
          <w:kern w:val="0"/>
        </w:rPr>
        <w:t>O）</w:t>
      </w:r>
      <w:r>
        <w:rPr>
          <w:rFonts w:hint="eastAsia" w:ascii="Times New Roman" w:hAnsi="Times New Roman"/>
          <w:color w:val="000000"/>
          <w:kern w:val="0"/>
        </w:rPr>
        <w:t>30</w:t>
      </w:r>
      <w:r>
        <w:rPr>
          <w:rFonts w:ascii="Times New Roman" w:hAnsi="Times New Roman"/>
        </w:rPr>
        <w:t>～</w:t>
      </w:r>
      <w:r>
        <w:rPr>
          <w:rFonts w:hint="eastAsia" w:ascii="Times New Roman" w:hAnsi="Times New Roman"/>
          <w:color w:val="000000"/>
          <w:kern w:val="0"/>
        </w:rPr>
        <w:t>45</w:t>
      </w:r>
      <w:r>
        <w:rPr>
          <w:rFonts w:ascii="Times New Roman" w:hAnsi="Times New Roman"/>
          <w:kern w:val="0"/>
        </w:rPr>
        <w:t xml:space="preserve"> kg/hm²。</w:t>
      </w:r>
      <w:r>
        <w:rPr>
          <w:rFonts w:hint="eastAsia" w:ascii="Times New Roman" w:hAnsi="Times New Roman"/>
          <w:kern w:val="0"/>
        </w:rPr>
        <w:t>根据土壤墒情和生长情况，及时调整水肥一体化制度，以达到节水高产目标。</w:t>
      </w:r>
    </w:p>
    <w:p>
      <w:pPr>
        <w:rPr>
          <w:rFonts w:ascii="Times New Roman" w:hAnsi="Times New Roman"/>
          <w:b/>
          <w:bCs/>
          <w:color w:val="000000"/>
        </w:rPr>
      </w:pPr>
      <w:r>
        <w:rPr>
          <w:rFonts w:hint="eastAsia" w:ascii="Times New Roman" w:hAnsi="Times New Roman"/>
          <w:b/>
          <w:bCs/>
          <w:color w:val="000000"/>
        </w:rPr>
        <w:t>7.1.2 系统运行</w:t>
      </w:r>
    </w:p>
    <w:p>
      <w:pPr>
        <w:ind w:firstLine="420" w:firstLineChars="200"/>
      </w:pPr>
      <w:r>
        <w:rPr>
          <w:rFonts w:ascii="Times New Roman" w:hAnsi="Times New Roman"/>
          <w:color w:val="000000"/>
        </w:rPr>
        <w:t>在灌溉即将结束时，将水溶性肥料置于施肥装置中，打开施肥系统随水施肥，施肥结束后，继续用清水灌溉10</w:t>
      </w:r>
      <w:r>
        <w:rPr>
          <w:rFonts w:ascii="Times New Roman" w:hAnsi="Times New Roman"/>
        </w:rPr>
        <w:t>～</w:t>
      </w:r>
      <w:r>
        <w:rPr>
          <w:rFonts w:ascii="Times New Roman" w:hAnsi="Times New Roman"/>
          <w:color w:val="000000"/>
        </w:rPr>
        <w:t>15 min冲洗管道</w:t>
      </w:r>
      <w:r>
        <w:rPr>
          <w:rFonts w:hint="eastAsia" w:ascii="Times New Roman" w:hAnsi="Times New Roman"/>
          <w:color w:val="000000"/>
        </w:rPr>
        <w:t>，有利于系统维护，延长使用年限</w:t>
      </w:r>
      <w:r>
        <w:rPr>
          <w:rFonts w:hint="eastAsia" w:ascii="宋体" w:hAnsi="宋体"/>
          <w:color w:val="000000"/>
        </w:rPr>
        <w:t>。</w:t>
      </w:r>
    </w:p>
    <w:p>
      <w:pPr>
        <w:autoSpaceDE w:val="0"/>
        <w:spacing w:line="360" w:lineRule="auto"/>
        <w:rPr>
          <w:rFonts w:ascii="Times New Roman" w:hAnsi="Times New Roman"/>
          <w:b/>
          <w:bCs/>
          <w:color w:val="000000"/>
          <w:kern w:val="0"/>
        </w:rPr>
      </w:pPr>
      <w:r>
        <w:rPr>
          <w:rFonts w:ascii="Times New Roman" w:hAnsi="Times New Roman"/>
          <w:b/>
          <w:bCs/>
          <w:color w:val="000000"/>
          <w:kern w:val="0"/>
        </w:rPr>
        <w:t>7.2 杂草防治</w:t>
      </w:r>
    </w:p>
    <w:p>
      <w:pPr>
        <w:widowControl/>
        <w:spacing w:line="360" w:lineRule="auto"/>
        <w:ind w:firstLine="420" w:firstLineChars="200"/>
        <w:jc w:val="left"/>
        <w:rPr>
          <w:rFonts w:ascii="Times New Roman" w:hAnsi="Times New Roman"/>
          <w:kern w:val="0"/>
        </w:rPr>
      </w:pPr>
      <w:r>
        <w:rPr>
          <w:rFonts w:ascii="Times New Roman" w:hAnsi="Times New Roman"/>
          <w:kern w:val="0"/>
        </w:rPr>
        <w:t>优先使用农业防控，包括轮作倒茬、精选种子、施用腐熟农家肥、清理田边杂草等；化学除草方式为用40 %立清（2甲4氯异辛酯和辛酰溴苯腈）和15 %硝磺草酮现混现用，剂量为50 ml/666.67 ㎡+45 ml/666.67 ㎡、67 ml/666.67 ㎡+30 ml/666.67 ㎡、33 ml/666.67 ㎡+60 ml/666.67 ㎡于燕麦苗3-4叶期茎叶喷施防治燕麦田所有阔叶杂草和大部分禾本科杂草。</w:t>
      </w:r>
    </w:p>
    <w:p>
      <w:pPr>
        <w:autoSpaceDE w:val="0"/>
        <w:spacing w:line="360" w:lineRule="auto"/>
        <w:rPr>
          <w:rFonts w:ascii="Times New Roman" w:hAnsi="Times New Roman" w:eastAsia="仿宋_GB2312"/>
          <w:sz w:val="24"/>
          <w:szCs w:val="24"/>
        </w:rPr>
      </w:pPr>
      <w:r>
        <w:rPr>
          <w:rFonts w:ascii="Times New Roman" w:hAnsi="Times New Roman"/>
          <w:b/>
          <w:bCs/>
          <w:color w:val="000000"/>
          <w:kern w:val="0"/>
        </w:rPr>
        <w:t>7.3 病虫害防治</w:t>
      </w:r>
      <w:r>
        <w:rPr>
          <w:rFonts w:ascii="Times New Roman" w:hAnsi="Times New Roman" w:eastAsia="仿宋_GB2312"/>
          <w:sz w:val="24"/>
          <w:szCs w:val="24"/>
        </w:rPr>
        <w:t xml:space="preserve"> </w:t>
      </w:r>
    </w:p>
    <w:p>
      <w:pPr>
        <w:widowControl/>
        <w:spacing w:line="360" w:lineRule="auto"/>
        <w:ind w:firstLine="420" w:firstLineChars="200"/>
        <w:jc w:val="left"/>
        <w:rPr>
          <w:rFonts w:ascii="Times New Roman" w:hAnsi="Times New Roman"/>
          <w:kern w:val="0"/>
        </w:rPr>
      </w:pPr>
      <w:r>
        <w:rPr>
          <w:rFonts w:ascii="Times New Roman" w:hAnsi="Times New Roman"/>
          <w:kern w:val="0"/>
        </w:rPr>
        <w:t>燕麦的主要病害是坚黑穗病、散黑穗病和红叶病，局部地区有秆锈病、冠锈病和叶斑病等，多使用抗病良种及采取播前种子消毒、早播、轮作、排除积水等措施防治；锈病用粉锈宁或15 %氟硅酸液喷雾；黑穗病用1 %福尔马林或5 %皂矾液浸种。</w:t>
      </w:r>
    </w:p>
    <w:p>
      <w:pPr>
        <w:widowControl/>
        <w:spacing w:line="360" w:lineRule="auto"/>
        <w:ind w:firstLine="420" w:firstLineChars="200"/>
        <w:jc w:val="left"/>
        <w:rPr>
          <w:rFonts w:ascii="Times New Roman" w:hAnsi="Times New Roman"/>
          <w:kern w:val="0"/>
        </w:rPr>
      </w:pPr>
      <w:r>
        <w:rPr>
          <w:rFonts w:ascii="Times New Roman" w:hAnsi="Times New Roman"/>
          <w:kern w:val="0"/>
        </w:rPr>
        <w:t>燕麦主要害虫有粘虫、地老虎、麦二叉蚜和金针虫等，可通过深翻地、灭草和喷施药剂；蚜虫、黏虫等害虫用2.5 %溴氰菊酯乳油25 g/666.67 ㎡喷雾防治。</w:t>
      </w:r>
    </w:p>
    <w:p>
      <w:pPr>
        <w:autoSpaceDE w:val="0"/>
        <w:spacing w:line="360" w:lineRule="auto"/>
        <w:rPr>
          <w:rFonts w:ascii="Times New Roman" w:hAnsi="Times New Roman"/>
          <w:b/>
          <w:bCs/>
          <w:color w:val="000000"/>
          <w:kern w:val="0"/>
        </w:rPr>
      </w:pPr>
      <w:r>
        <w:rPr>
          <w:rFonts w:ascii="Times New Roman" w:hAnsi="Times New Roman"/>
          <w:b/>
          <w:bCs/>
          <w:color w:val="000000"/>
          <w:kern w:val="0"/>
        </w:rPr>
        <w:t>8 收获与清选</w:t>
      </w:r>
    </w:p>
    <w:p>
      <w:pPr>
        <w:autoSpaceDE w:val="0"/>
        <w:spacing w:line="360" w:lineRule="auto"/>
        <w:rPr>
          <w:rFonts w:ascii="Times New Roman" w:hAnsi="Times New Roman"/>
          <w:b/>
          <w:bCs/>
          <w:color w:val="000000"/>
          <w:kern w:val="0"/>
        </w:rPr>
      </w:pPr>
      <w:r>
        <w:rPr>
          <w:rFonts w:ascii="Times New Roman" w:hAnsi="Times New Roman"/>
          <w:b/>
          <w:bCs/>
          <w:color w:val="000000"/>
          <w:kern w:val="0"/>
        </w:rPr>
        <w:t xml:space="preserve">8.1 收获 </w:t>
      </w:r>
    </w:p>
    <w:p>
      <w:pPr>
        <w:pStyle w:val="13"/>
        <w:rPr>
          <w:rFonts w:ascii="Times New Roman" w:hAnsi="Times New Roman"/>
        </w:rPr>
      </w:pPr>
      <w:r>
        <w:rPr>
          <w:rFonts w:ascii="Times New Roman" w:hAnsi="Times New Roman"/>
          <w:b/>
          <w:bCs/>
          <w:color w:val="000000"/>
          <w:kern w:val="0"/>
        </w:rPr>
        <w:t>8.1.1 收获时期</w:t>
      </w:r>
    </w:p>
    <w:p>
      <w:pPr>
        <w:widowControl/>
        <w:spacing w:line="360" w:lineRule="auto"/>
        <w:ind w:firstLine="420" w:firstLineChars="200"/>
        <w:rPr>
          <w:rFonts w:ascii="Times New Roman" w:hAnsi="Times New Roman"/>
          <w:kern w:val="0"/>
        </w:rPr>
      </w:pPr>
      <w:r>
        <w:rPr>
          <w:rFonts w:ascii="Times New Roman" w:hAnsi="Times New Roman"/>
          <w:kern w:val="0"/>
        </w:rPr>
        <w:t>在植株上部籽粒完数、下部籽粒蜡熟时，整体种子80 %以上达到成熟期时收获。</w:t>
      </w:r>
    </w:p>
    <w:p>
      <w:pPr>
        <w:pStyle w:val="13"/>
        <w:rPr>
          <w:rFonts w:ascii="Times New Roman" w:hAnsi="Times New Roman"/>
        </w:rPr>
      </w:pPr>
      <w:r>
        <w:rPr>
          <w:rFonts w:ascii="Times New Roman" w:hAnsi="Times New Roman"/>
          <w:b/>
          <w:bCs/>
          <w:color w:val="000000"/>
          <w:kern w:val="0"/>
        </w:rPr>
        <w:t>8.1.2 收获方式</w:t>
      </w:r>
    </w:p>
    <w:p>
      <w:pPr>
        <w:widowControl/>
        <w:spacing w:line="360" w:lineRule="auto"/>
        <w:ind w:firstLine="420" w:firstLineChars="200"/>
        <w:rPr>
          <w:rFonts w:ascii="Times New Roman" w:hAnsi="Times New Roman"/>
          <w:kern w:val="0"/>
        </w:rPr>
      </w:pPr>
      <w:r>
        <w:rPr>
          <w:rFonts w:ascii="Times New Roman" w:hAnsi="Times New Roman"/>
          <w:kern w:val="0"/>
        </w:rPr>
        <w:t>可选择小麦联合收割机，一次性完成收获脱粒，注意在收获前先将机器清理干净，以免混杂。</w:t>
      </w:r>
    </w:p>
    <w:p>
      <w:pPr>
        <w:pStyle w:val="13"/>
        <w:rPr>
          <w:rFonts w:ascii="Times New Roman" w:hAnsi="Times New Roman"/>
          <w:b/>
          <w:bCs/>
          <w:color w:val="000000"/>
          <w:kern w:val="0"/>
        </w:rPr>
      </w:pPr>
      <w:r>
        <w:rPr>
          <w:rFonts w:ascii="Times New Roman" w:hAnsi="Times New Roman"/>
          <w:b/>
          <w:bCs/>
          <w:color w:val="000000"/>
          <w:kern w:val="0"/>
        </w:rPr>
        <w:t>8.1.3 晾晒</w:t>
      </w:r>
    </w:p>
    <w:p>
      <w:pPr>
        <w:pStyle w:val="13"/>
        <w:ind w:firstLine="420"/>
        <w:rPr>
          <w:rFonts w:ascii="Times New Roman" w:hAnsi="Times New Roman"/>
          <w:kern w:val="0"/>
        </w:rPr>
      </w:pPr>
      <w:r>
        <w:rPr>
          <w:rFonts w:ascii="Times New Roman" w:hAnsi="Times New Roman"/>
          <w:kern w:val="0"/>
        </w:rPr>
        <w:t>可选择自然晾晒或烘干机烘干，水分降至11 %即可进行清选。</w:t>
      </w:r>
    </w:p>
    <w:p>
      <w:pPr>
        <w:pStyle w:val="13"/>
        <w:rPr>
          <w:rFonts w:ascii="Times New Roman" w:hAnsi="Times New Roman"/>
          <w:b/>
          <w:bCs/>
          <w:color w:val="000000"/>
          <w:kern w:val="0"/>
        </w:rPr>
      </w:pPr>
      <w:r>
        <w:rPr>
          <w:rFonts w:ascii="Times New Roman" w:hAnsi="Times New Roman"/>
          <w:b/>
          <w:bCs/>
          <w:color w:val="000000"/>
          <w:kern w:val="0"/>
        </w:rPr>
        <w:t>8.2 清选</w:t>
      </w:r>
    </w:p>
    <w:p>
      <w:pPr>
        <w:pStyle w:val="13"/>
        <w:ind w:firstLine="420"/>
        <w:rPr>
          <w:rFonts w:ascii="Times New Roman" w:hAnsi="Times New Roman"/>
          <w:kern w:val="0"/>
        </w:rPr>
      </w:pPr>
      <w:r>
        <w:rPr>
          <w:rFonts w:ascii="Times New Roman" w:hAnsi="Times New Roman"/>
          <w:kern w:val="0"/>
        </w:rPr>
        <w:t>按照NY/T 1235执行。</w:t>
      </w:r>
    </w:p>
    <w:p>
      <w:pPr>
        <w:pStyle w:val="13"/>
        <w:rPr>
          <w:rFonts w:ascii="Times New Roman" w:hAnsi="Times New Roman"/>
          <w:b/>
          <w:bCs/>
          <w:color w:val="000000"/>
          <w:kern w:val="0"/>
        </w:rPr>
      </w:pPr>
      <w:r>
        <w:rPr>
          <w:rFonts w:ascii="Times New Roman" w:hAnsi="Times New Roman"/>
          <w:b/>
          <w:bCs/>
          <w:color w:val="000000"/>
          <w:kern w:val="0"/>
        </w:rPr>
        <w:t>8.3 包装</w:t>
      </w:r>
    </w:p>
    <w:p>
      <w:pPr>
        <w:pStyle w:val="13"/>
        <w:rPr>
          <w:rFonts w:ascii="Times New Roman" w:hAnsi="Times New Roman"/>
          <w:kern w:val="0"/>
        </w:rPr>
      </w:pPr>
      <w:r>
        <w:rPr>
          <w:rFonts w:ascii="Times New Roman" w:hAnsi="Times New Roman"/>
          <w:kern w:val="0"/>
        </w:rPr>
        <w:t xml:space="preserve">    按照</w:t>
      </w:r>
      <w:r>
        <w:rPr>
          <w:rFonts w:ascii="Times New Roman" w:hAnsi="Times New Roman"/>
        </w:rPr>
        <w:t>NY/T 1577执行。</w:t>
      </w:r>
    </w:p>
    <w:p>
      <w:pPr>
        <w:autoSpaceDE w:val="0"/>
        <w:spacing w:line="360" w:lineRule="auto"/>
        <w:rPr>
          <w:rFonts w:ascii="Times New Roman" w:hAnsi="Times New Roman"/>
          <w:b/>
          <w:bCs/>
          <w:color w:val="000000"/>
          <w:kern w:val="0"/>
        </w:rPr>
      </w:pPr>
      <w:r>
        <w:rPr>
          <w:rFonts w:ascii="Times New Roman" w:hAnsi="Times New Roman"/>
          <w:b/>
          <w:bCs/>
          <w:color w:val="000000"/>
          <w:kern w:val="0"/>
        </w:rPr>
        <w:t>9 贮藏</w:t>
      </w:r>
    </w:p>
    <w:p>
      <w:pPr>
        <w:ind w:firstLine="420" w:firstLineChars="200"/>
        <w:rPr>
          <w:rFonts w:ascii="Times New Roman" w:hAnsi="Times New Roman"/>
        </w:rPr>
      </w:pPr>
      <w:r>
        <w:rPr>
          <w:rFonts w:ascii="Times New Roman" w:hAnsi="Times New Roman"/>
          <w:kern w:val="0"/>
        </w:rPr>
        <w:t>种子储藏库应防水防潮、防鼠鸟虫、防火、干燥通风。</w:t>
      </w:r>
    </w:p>
    <w:p>
      <w:pPr>
        <w:pStyle w:val="56"/>
        <w:ind w:firstLine="420"/>
      </w:pPr>
    </w:p>
    <w:p>
      <w:pPr>
        <w:pStyle w:val="56"/>
        <w:ind w:firstLine="420"/>
      </w:pPr>
    </w:p>
    <w:p>
      <w:pPr>
        <w:pStyle w:val="56"/>
        <w:ind w:firstLine="420"/>
      </w:pPr>
    </w:p>
    <w:p>
      <w:pPr>
        <w:pStyle w:val="56"/>
        <w:ind w:firstLine="420"/>
      </w:pPr>
    </w:p>
    <w:bookmarkEnd w:id="22"/>
    <w:p>
      <w:pPr>
        <w:pStyle w:val="56"/>
        <w:ind w:firstLine="0" w:firstLineChars="0"/>
        <w:jc w:val="center"/>
      </w:pPr>
      <w:bookmarkStart w:id="44" w:name="BookMark8"/>
      <w:r>
        <w:drawing>
          <wp:inline distT="0" distB="0" distL="0" distR="0">
            <wp:extent cx="1485900" cy="317500"/>
            <wp:effectExtent l="0" t="0" r="0" b="6350"/>
            <wp:docPr id="526616576" name="图片 1"/>
            <wp:cNvGraphicFramePr/>
            <a:graphic xmlns:a="http://schemas.openxmlformats.org/drawingml/2006/main">
              <a:graphicData uri="http://schemas.openxmlformats.org/drawingml/2006/picture">
                <pic:pic xmlns:pic="http://schemas.openxmlformats.org/drawingml/2006/picture">
                  <pic:nvPicPr>
                    <pic:cNvPr id="526616576" name="图片 1"/>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4"/>
    </w:p>
    <w:sectPr>
      <w:pgSz w:w="11906" w:h="16838"/>
      <w:pgMar w:top="1928" w:right="1134" w:bottom="1134" w:left="1134" w:header="1418" w:footer="1134" w:gutter="284"/>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zEKkvUt3rPC1HqAgnvpN0tOp2H8liw6XWdMblK2eA5qIDeHs1iKlUASm3ZIWs5tzuEn8MpHTd/8BsI5bcqIUFQ==" w:salt="a/AFIsxIBh8sKK6zjD6zJA=="/>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70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2BAF"/>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4488"/>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0E7"/>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573A"/>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709"/>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46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BCC398B"/>
    <w:rsid w:val="35C618C1"/>
    <w:rsid w:val="3D7A7004"/>
    <w:rsid w:val="45CC2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uiPriority w:val="0"/>
    <w:pPr>
      <w:ind w:firstLine="420"/>
    </w:pPr>
  </w:style>
  <w:style w:type="paragraph" w:styleId="13">
    <w:name w:val="Body Text"/>
    <w:basedOn w:val="1"/>
    <w:link w:val="86"/>
    <w:qFormat/>
    <w:uiPriority w:val="99"/>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uiPriority w:val="0"/>
    <w:pPr>
      <w:adjustRightInd/>
      <w:spacing w:line="240" w:lineRule="auto"/>
      <w:jc w:val="left"/>
    </w:pPr>
    <w:rPr>
      <w:szCs w:val="24"/>
    </w:rPr>
  </w:style>
  <w:style w:type="paragraph" w:styleId="24">
    <w:name w:val="toc 2"/>
    <w:basedOn w:val="1"/>
    <w:next w:val="1"/>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uiPriority w:val="99"/>
    <w:rPr>
      <w:rFonts w:ascii="宋体" w:hAnsi="Times New Roman" w:eastAsia="宋体"/>
      <w:color w:val="auto"/>
      <w:spacing w:val="0"/>
      <w:w w:val="100"/>
      <w:position w:val="0"/>
      <w:sz w:val="21"/>
      <w:u w:val="none"/>
      <w:vertAlign w:val="baseline"/>
    </w:rPr>
  </w:style>
  <w:style w:type="character" w:styleId="33">
    <w:name w:val="footnote reference"/>
    <w:semiHidden/>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uiPriority w:val="29"/>
    <w:rPr>
      <w:i/>
      <w:iCs/>
      <w:color w:val="000000"/>
      <w:kern w:val="2"/>
      <w:sz w:val="21"/>
      <w:szCs w:val="21"/>
    </w:rPr>
  </w:style>
  <w:style w:type="character" w:customStyle="1" w:styleId="48">
    <w:name w:val="标题 字符"/>
    <w:link w:val="25"/>
    <w:uiPriority w:val="0"/>
    <w:rPr>
      <w:rFonts w:ascii="Arial" w:hAnsi="Arial" w:cs="Arial"/>
      <w:b/>
      <w:bCs/>
      <w:kern w:val="2"/>
      <w:sz w:val="32"/>
      <w:szCs w:val="32"/>
    </w:rPr>
  </w:style>
  <w:style w:type="paragraph" w:customStyle="1" w:styleId="49">
    <w:name w:val="标准标志"/>
    <w:next w:val="1"/>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uiPriority w:val="0"/>
    <w:pPr>
      <w:ind w:left="198"/>
    </w:pPr>
    <w:rPr>
      <w:rFonts w:ascii="宋体" w:hAnsi="Times New Roman" w:eastAsia="宋体" w:cs="Times New Roman"/>
      <w:sz w:val="18"/>
      <w:lang w:val="en-US" w:eastAsia="zh-CN" w:bidi="ar-SA"/>
    </w:rPr>
  </w:style>
  <w:style w:type="paragraph" w:customStyle="1" w:styleId="52">
    <w:name w:val="标准文件_页脚奇数页"/>
    <w:uiPriority w:val="0"/>
    <w:pPr>
      <w:ind w:right="227"/>
      <w:jc w:val="right"/>
    </w:pPr>
    <w:rPr>
      <w:rFonts w:ascii="宋体" w:hAnsi="Times New Roman" w:eastAsia="宋体" w:cs="Times New Roman"/>
      <w:sz w:val="18"/>
      <w:lang w:val="en-US" w:eastAsia="zh-CN" w:bidi="ar-SA"/>
    </w:rPr>
  </w:style>
  <w:style w:type="paragraph" w:customStyle="1" w:styleId="53">
    <w:name w:val="标准书眉一"/>
    <w:uiPriority w:val="0"/>
    <w:pPr>
      <w:jc w:val="both"/>
    </w:pPr>
    <w:rPr>
      <w:rFonts w:ascii="Times New Roman" w:hAnsi="Times New Roman" w:eastAsia="宋体" w:cs="Times New Roman"/>
      <w:lang w:val="en-US" w:eastAsia="zh-CN" w:bidi="ar-SA"/>
    </w:rPr>
  </w:style>
  <w:style w:type="paragraph" w:customStyle="1" w:styleId="54">
    <w:name w:val="标准文件_ICS"/>
    <w:basedOn w:val="1"/>
    <w:uiPriority w:val="0"/>
    <w:pPr>
      <w:spacing w:line="0" w:lineRule="atLeast"/>
    </w:pPr>
    <w:rPr>
      <w:rFonts w:ascii="黑体" w:hAnsi="宋体" w:eastAsia="黑体"/>
    </w:rPr>
  </w:style>
  <w:style w:type="paragraph" w:customStyle="1" w:styleId="55">
    <w:name w:val="标准文件_标准正文"/>
    <w:basedOn w:val="1"/>
    <w:next w:val="56"/>
    <w:uiPriority w:val="0"/>
    <w:pPr>
      <w:snapToGrid w:val="0"/>
      <w:ind w:firstLine="200" w:firstLineChars="200"/>
    </w:pPr>
    <w:rPr>
      <w:kern w:val="0"/>
    </w:rPr>
  </w:style>
  <w:style w:type="paragraph" w:customStyle="1" w:styleId="56">
    <w:name w:val="标准文件_段"/>
    <w:link w:val="184"/>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uiPriority w:val="0"/>
    <w:pPr>
      <w:adjustRightInd/>
      <w:snapToGrid/>
      <w:ind w:firstLine="0" w:firstLineChars="0"/>
    </w:pPr>
    <w:rPr>
      <w:rFonts w:ascii="宋体" w:hAnsi="宋体"/>
      <w:kern w:val="2"/>
    </w:rPr>
  </w:style>
  <w:style w:type="paragraph" w:customStyle="1" w:styleId="58">
    <w:name w:val="标准文件_标准部门"/>
    <w:basedOn w:val="1"/>
    <w:uiPriority w:val="0"/>
    <w:pPr>
      <w:jc w:val="center"/>
    </w:pPr>
    <w:rPr>
      <w:rFonts w:ascii="黑体" w:eastAsia="黑体"/>
      <w:kern w:val="0"/>
      <w:sz w:val="44"/>
    </w:rPr>
  </w:style>
  <w:style w:type="paragraph" w:customStyle="1" w:styleId="59">
    <w:name w:val="标准文件_标准代替"/>
    <w:basedOn w:val="1"/>
    <w:next w:val="1"/>
    <w:uiPriority w:val="0"/>
    <w:pPr>
      <w:spacing w:line="310" w:lineRule="exact"/>
      <w:jc w:val="right"/>
    </w:pPr>
    <w:rPr>
      <w:rFonts w:ascii="宋体" w:hAnsi="宋体"/>
      <w:kern w:val="0"/>
    </w:rPr>
  </w:style>
  <w:style w:type="paragraph" w:customStyle="1" w:styleId="60">
    <w:name w:val="标准文件_标准名称标题"/>
    <w:basedOn w:val="1"/>
    <w:next w:val="1"/>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uiPriority w:val="0"/>
    <w:pPr>
      <w:jc w:val="left"/>
    </w:pPr>
  </w:style>
  <w:style w:type="paragraph" w:customStyle="1" w:styleId="63">
    <w:name w:val="标准文件_参考文献标题"/>
    <w:basedOn w:val="1"/>
    <w:next w:val="1"/>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uiPriority w:val="0"/>
    <w:rPr>
      <w:rFonts w:ascii="黑体" w:eastAsia="黑体"/>
      <w:spacing w:val="0"/>
      <w:w w:val="100"/>
      <w:position w:val="3"/>
      <w:sz w:val="28"/>
    </w:rPr>
  </w:style>
  <w:style w:type="paragraph" w:customStyle="1" w:styleId="67">
    <w:name w:val="标准文件_方框数字列项"/>
    <w:basedOn w:val="56"/>
    <w:uiPriority w:val="0"/>
    <w:pPr>
      <w:numPr>
        <w:ilvl w:val="0"/>
        <w:numId w:val="3"/>
      </w:numPr>
      <w:ind w:firstLine="0" w:firstLineChars="0"/>
    </w:pPr>
  </w:style>
  <w:style w:type="paragraph" w:customStyle="1" w:styleId="68">
    <w:name w:val="标准文件_封面标准编号"/>
    <w:basedOn w:val="1"/>
    <w:next w:val="59"/>
    <w:uiPriority w:val="0"/>
    <w:pPr>
      <w:spacing w:line="310" w:lineRule="exact"/>
      <w:jc w:val="right"/>
    </w:pPr>
    <w:rPr>
      <w:rFonts w:ascii="黑体" w:eastAsia="黑体"/>
      <w:kern w:val="0"/>
      <w:sz w:val="28"/>
    </w:rPr>
  </w:style>
  <w:style w:type="paragraph" w:customStyle="1" w:styleId="69">
    <w:name w:val="标准文件_封面标准分类号"/>
    <w:basedOn w:val="1"/>
    <w:uiPriority w:val="0"/>
    <w:rPr>
      <w:rFonts w:ascii="黑体" w:eastAsia="黑体"/>
      <w:b/>
      <w:kern w:val="0"/>
      <w:sz w:val="28"/>
    </w:rPr>
  </w:style>
  <w:style w:type="paragraph" w:customStyle="1" w:styleId="70">
    <w:name w:val="标准文件_封面标准名称"/>
    <w:basedOn w:val="1"/>
    <w:uiPriority w:val="0"/>
    <w:pPr>
      <w:spacing w:line="240" w:lineRule="auto"/>
      <w:jc w:val="center"/>
    </w:pPr>
    <w:rPr>
      <w:rFonts w:ascii="黑体" w:eastAsia="黑体"/>
      <w:kern w:val="0"/>
      <w:sz w:val="52"/>
    </w:rPr>
  </w:style>
  <w:style w:type="paragraph" w:customStyle="1" w:styleId="71">
    <w:name w:val="标准文件_封面标准英文名称"/>
    <w:basedOn w:val="1"/>
    <w:uiPriority w:val="0"/>
    <w:pPr>
      <w:spacing w:line="240" w:lineRule="auto"/>
      <w:jc w:val="center"/>
    </w:pPr>
    <w:rPr>
      <w:rFonts w:ascii="黑体" w:eastAsia="黑体"/>
      <w:b/>
      <w:sz w:val="28"/>
    </w:rPr>
  </w:style>
  <w:style w:type="paragraph" w:customStyle="1" w:styleId="72">
    <w:name w:val="标准文件_封面发布日期"/>
    <w:basedOn w:val="1"/>
    <w:uiPriority w:val="0"/>
    <w:pPr>
      <w:spacing w:line="310" w:lineRule="exact"/>
    </w:pPr>
    <w:rPr>
      <w:rFonts w:ascii="黑体" w:eastAsia="黑体"/>
      <w:kern w:val="0"/>
      <w:sz w:val="28"/>
    </w:rPr>
  </w:style>
  <w:style w:type="paragraph" w:customStyle="1" w:styleId="73">
    <w:name w:val="标准文件_封面密级"/>
    <w:basedOn w:val="1"/>
    <w:uiPriority w:val="0"/>
    <w:rPr>
      <w:rFonts w:eastAsia="黑体"/>
      <w:sz w:val="32"/>
    </w:rPr>
  </w:style>
  <w:style w:type="paragraph" w:customStyle="1" w:styleId="74">
    <w:name w:val="标准文件_封面实施日期"/>
    <w:basedOn w:val="1"/>
    <w:uiPriority w:val="0"/>
    <w:pPr>
      <w:spacing w:line="310" w:lineRule="exact"/>
      <w:jc w:val="right"/>
    </w:pPr>
    <w:rPr>
      <w:rFonts w:ascii="黑体" w:eastAsia="黑体"/>
      <w:sz w:val="28"/>
    </w:rPr>
  </w:style>
  <w:style w:type="paragraph" w:customStyle="1" w:styleId="75">
    <w:name w:val="标准文件_封面抬头"/>
    <w:basedOn w:val="56"/>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uiPriority w:val="99"/>
    <w:rPr>
      <w:kern w:val="2"/>
      <w:sz w:val="21"/>
      <w:szCs w:val="21"/>
    </w:rPr>
  </w:style>
  <w:style w:type="paragraph" w:customStyle="1" w:styleId="87">
    <w:name w:val="标准文件_附录章标题"/>
    <w:next w:val="56"/>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uiPriority w:val="0"/>
    <w:pPr>
      <w:ind w:left="488" w:leftChars="200" w:hanging="289" w:hangingChars="290"/>
    </w:pPr>
  </w:style>
  <w:style w:type="paragraph" w:customStyle="1" w:styleId="89">
    <w:name w:val="标准文件_前言、引言标题"/>
    <w:next w:val="1"/>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uiPriority w:val="0"/>
    <w:pPr>
      <w:spacing w:line="460" w:lineRule="exact"/>
      <w:ind w:left="0" w:firstLine="0"/>
    </w:pPr>
  </w:style>
  <w:style w:type="paragraph" w:customStyle="1" w:styleId="91">
    <w:name w:val="标准文件_目录标题"/>
    <w:basedOn w:val="1"/>
    <w:uiPriority w:val="0"/>
    <w:pPr>
      <w:spacing w:before="480" w:after="150" w:afterLines="150" w:line="240" w:lineRule="auto"/>
      <w:jc w:val="center"/>
    </w:pPr>
    <w:rPr>
      <w:rFonts w:ascii="黑体" w:eastAsia="黑体"/>
      <w:sz w:val="32"/>
    </w:rPr>
  </w:style>
  <w:style w:type="paragraph" w:customStyle="1" w:styleId="92">
    <w:name w:val="标准文件_破折号列项"/>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uiPriority w:val="0"/>
    <w:pPr>
      <w:numPr>
        <w:numId w:val="10"/>
      </w:numPr>
    </w:pPr>
  </w:style>
  <w:style w:type="paragraph" w:customStyle="1" w:styleId="94">
    <w:name w:val="标准文件_三级条标题"/>
    <w:basedOn w:val="65"/>
    <w:next w:val="56"/>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uiPriority w:val="0"/>
    <w:pPr>
      <w:adjustRightInd/>
      <w:spacing w:line="240" w:lineRule="auto"/>
      <w:ind w:firstLine="200" w:firstLineChars="200"/>
    </w:pPr>
    <w:rPr>
      <w:sz w:val="18"/>
      <w:szCs w:val="24"/>
    </w:rPr>
  </w:style>
  <w:style w:type="paragraph" w:customStyle="1" w:styleId="97">
    <w:name w:val="标准文件_数字编号列项"/>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uiPriority w:val="0"/>
    <w:rPr>
      <w:rFonts w:ascii="宋体"/>
      <w:kern w:val="2"/>
      <w:sz w:val="18"/>
      <w:szCs w:val="18"/>
    </w:rPr>
  </w:style>
  <w:style w:type="paragraph" w:customStyle="1" w:styleId="100">
    <w:name w:val="标准文件_条文脚注"/>
    <w:basedOn w:val="21"/>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uiPriority w:val="0"/>
    <w:pPr>
      <w:numPr>
        <w:ilvl w:val="0"/>
        <w:numId w:val="12"/>
      </w:numPr>
      <w:spacing w:line="240" w:lineRule="auto"/>
      <w:jc w:val="left"/>
    </w:pPr>
    <w:rPr>
      <w:rFonts w:ascii="宋体" w:hAnsi="宋体"/>
      <w:sz w:val="18"/>
    </w:rPr>
  </w:style>
  <w:style w:type="character" w:customStyle="1" w:styleId="102">
    <w:name w:val="标准文件_图表脚注内容"/>
    <w:uiPriority w:val="0"/>
    <w:rPr>
      <w:rFonts w:ascii="宋体" w:hAnsi="宋体" w:eastAsia="宋体" w:cs="Times New Roman"/>
      <w:spacing w:val="0"/>
      <w:sz w:val="18"/>
      <w:vertAlign w:val="superscript"/>
    </w:rPr>
  </w:style>
  <w:style w:type="paragraph" w:customStyle="1" w:styleId="103">
    <w:name w:val="标准文件_五级条标题"/>
    <w:next w:val="56"/>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uiPriority w:val="0"/>
    <w:pPr>
      <w:numPr>
        <w:ilvl w:val="2"/>
      </w:numPr>
      <w:spacing w:before="50" w:beforeLines="50" w:after="50" w:afterLines="50"/>
      <w:outlineLvl w:val="1"/>
    </w:pPr>
  </w:style>
  <w:style w:type="paragraph" w:customStyle="1" w:styleId="106">
    <w:name w:val="标准文件_一致程度"/>
    <w:basedOn w:val="1"/>
    <w:uiPriority w:val="0"/>
    <w:pPr>
      <w:spacing w:line="440" w:lineRule="exact"/>
      <w:jc w:val="center"/>
    </w:pPr>
    <w:rPr>
      <w:sz w:val="28"/>
    </w:rPr>
  </w:style>
  <w:style w:type="paragraph" w:customStyle="1" w:styleId="107">
    <w:name w:val="标准文件_引言标题"/>
    <w:next w:val="1"/>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uiPriority w:val="0"/>
    <w:pPr>
      <w:numPr>
        <w:ilvl w:val="3"/>
        <w:numId w:val="20"/>
      </w:numPr>
      <w:adjustRightInd/>
      <w:spacing w:line="240" w:lineRule="auto"/>
    </w:pPr>
    <w:rPr>
      <w:rFonts w:ascii="宋体" w:hAnsi="宋体"/>
      <w:szCs w:val="24"/>
    </w:rPr>
  </w:style>
  <w:style w:type="paragraph" w:customStyle="1" w:styleId="119">
    <w:name w:val="发布部门"/>
    <w:next w:val="56"/>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uiPriority w:val="0"/>
    <w:pPr>
      <w:outlineLvl w:val="4"/>
    </w:pPr>
  </w:style>
  <w:style w:type="paragraph" w:customStyle="1" w:styleId="130">
    <w:name w:val="附录四级无标题条"/>
    <w:basedOn w:val="129"/>
    <w:next w:val="56"/>
    <w:uiPriority w:val="0"/>
    <w:pPr>
      <w:outlineLvl w:val="5"/>
    </w:pPr>
  </w:style>
  <w:style w:type="paragraph" w:customStyle="1" w:styleId="131">
    <w:name w:val="附录图"/>
    <w:next w:val="56"/>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uiPriority w:val="0"/>
    <w:pPr>
      <w:outlineLvl w:val="6"/>
    </w:pPr>
  </w:style>
  <w:style w:type="paragraph" w:customStyle="1" w:styleId="134">
    <w:name w:val="附录性质"/>
    <w:basedOn w:val="1"/>
    <w:uiPriority w:val="0"/>
    <w:pPr>
      <w:widowControl/>
      <w:adjustRightInd/>
      <w:jc w:val="center"/>
    </w:pPr>
    <w:rPr>
      <w:rFonts w:ascii="黑体" w:eastAsia="黑体"/>
    </w:rPr>
  </w:style>
  <w:style w:type="paragraph" w:customStyle="1" w:styleId="135">
    <w:name w:val="附录一级无标题条"/>
    <w:basedOn w:val="87"/>
    <w:next w:val="56"/>
    <w:uiPriority w:val="0"/>
    <w:pPr>
      <w:autoSpaceDN w:val="0"/>
      <w:outlineLvl w:val="2"/>
    </w:pPr>
    <w:rPr>
      <w:rFonts w:ascii="宋体" w:hAnsi="宋体" w:eastAsia="宋体"/>
    </w:rPr>
  </w:style>
  <w:style w:type="character" w:customStyle="1" w:styleId="136">
    <w:name w:val="个人答复风格"/>
    <w:uiPriority w:val="0"/>
    <w:rPr>
      <w:rFonts w:ascii="Arial" w:hAnsi="Arial" w:eastAsia="宋体" w:cs="Arial"/>
      <w:color w:val="auto"/>
      <w:spacing w:val="0"/>
      <w:sz w:val="20"/>
    </w:rPr>
  </w:style>
  <w:style w:type="character" w:customStyle="1" w:styleId="137">
    <w:name w:val="个人撰写风格"/>
    <w:uiPriority w:val="0"/>
    <w:rPr>
      <w:rFonts w:ascii="Arial" w:hAnsi="Arial" w:eastAsia="宋体" w:cs="Arial"/>
      <w:color w:val="auto"/>
      <w:spacing w:val="0"/>
      <w:sz w:val="20"/>
    </w:rPr>
  </w:style>
  <w:style w:type="paragraph" w:customStyle="1" w:styleId="138">
    <w:name w:val="脚注后续"/>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uiPriority w:val="0"/>
    <w:pPr>
      <w:adjustRightInd/>
      <w:spacing w:line="240" w:lineRule="auto"/>
      <w:jc w:val="left"/>
    </w:pPr>
    <w:rPr>
      <w:bCs/>
      <w:iCs/>
    </w:rPr>
  </w:style>
  <w:style w:type="paragraph" w:customStyle="1" w:styleId="143">
    <w:name w:val="目录 31"/>
    <w:basedOn w:val="1"/>
    <w:next w:val="1"/>
    <w:semiHidden/>
    <w:uiPriority w:val="0"/>
    <w:pPr>
      <w:spacing w:line="240" w:lineRule="auto"/>
    </w:pPr>
    <w:rPr>
      <w:rFonts w:ascii="宋体" w:hAnsi="宋体"/>
      <w:iCs/>
    </w:rPr>
  </w:style>
  <w:style w:type="paragraph" w:customStyle="1" w:styleId="144">
    <w:name w:val="目录 41"/>
    <w:basedOn w:val="1"/>
    <w:next w:val="1"/>
    <w:semiHidden/>
    <w:uiPriority w:val="0"/>
    <w:pPr>
      <w:adjustRightInd/>
      <w:spacing w:line="240" w:lineRule="auto"/>
      <w:jc w:val="left"/>
    </w:pPr>
  </w:style>
  <w:style w:type="paragraph" w:customStyle="1" w:styleId="145">
    <w:name w:val="目录 51"/>
    <w:basedOn w:val="1"/>
    <w:next w:val="1"/>
    <w:semiHidden/>
    <w:uiPriority w:val="0"/>
    <w:pPr>
      <w:spacing w:line="240" w:lineRule="auto"/>
    </w:pPr>
    <w:rPr>
      <w:rFonts w:ascii="宋体" w:hAnsi="宋体"/>
    </w:rPr>
  </w:style>
  <w:style w:type="paragraph" w:customStyle="1" w:styleId="146">
    <w:name w:val="目录 61"/>
    <w:basedOn w:val="1"/>
    <w:next w:val="1"/>
    <w:semiHidden/>
    <w:uiPriority w:val="0"/>
    <w:pPr>
      <w:adjustRightInd/>
      <w:spacing w:line="240" w:lineRule="auto"/>
      <w:jc w:val="left"/>
    </w:pPr>
  </w:style>
  <w:style w:type="paragraph" w:customStyle="1" w:styleId="147">
    <w:name w:val="目录 71"/>
    <w:basedOn w:val="146"/>
    <w:semiHidden/>
    <w:uiPriority w:val="0"/>
    <w:pPr>
      <w:ind w:left="1260"/>
    </w:pPr>
  </w:style>
  <w:style w:type="paragraph" w:customStyle="1" w:styleId="148">
    <w:name w:val="目录 81"/>
    <w:basedOn w:val="147"/>
    <w:semiHidden/>
    <w:uiPriority w:val="0"/>
    <w:pPr>
      <w:ind w:left="1470"/>
    </w:pPr>
  </w:style>
  <w:style w:type="paragraph" w:customStyle="1" w:styleId="149">
    <w:name w:val="目录 91"/>
    <w:basedOn w:val="148"/>
    <w:semiHidden/>
    <w:uiPriority w:val="0"/>
    <w:pPr>
      <w:ind w:left="1680"/>
    </w:pPr>
  </w:style>
  <w:style w:type="paragraph" w:customStyle="1" w:styleId="150">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uiPriority w:val="0"/>
    <w:pPr>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uiPriority w:val="0"/>
    <w:pPr>
      <w:numPr>
        <w:ilvl w:val="4"/>
        <w:numId w:val="20"/>
      </w:numPr>
      <w:adjustRightInd/>
      <w:spacing w:line="240" w:lineRule="auto"/>
    </w:pPr>
    <w:rPr>
      <w:rFonts w:ascii="宋体" w:hAnsi="宋体"/>
      <w:szCs w:val="24"/>
    </w:rPr>
  </w:style>
  <w:style w:type="paragraph" w:customStyle="1" w:styleId="154">
    <w:name w:val="实施日期"/>
    <w:basedOn w:val="120"/>
    <w:uiPriority w:val="0"/>
    <w:pPr>
      <w:framePr w:hSpace="0"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vAnchor="page" w:hAnchor="page" w:x="1419" w:y="14097"/>
    </w:pPr>
  </w:style>
  <w:style w:type="paragraph" w:customStyle="1" w:styleId="194">
    <w:name w:val="其他实施日期"/>
    <w:basedOn w:val="154"/>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22067663B2D4972A48CB10EA1F7FE4A"/>
        <w:style w:val=""/>
        <w:category>
          <w:name w:val="常规"/>
          <w:gallery w:val="placeholder"/>
        </w:category>
        <w:types>
          <w:type w:val="bbPlcHdr"/>
        </w:types>
        <w:behaviors>
          <w:behavior w:val="content"/>
        </w:behaviors>
        <w:description w:val=""/>
        <w:guid w:val="{D09B0AD8-9BE4-4C98-AD5B-92E42F5B2504}"/>
      </w:docPartPr>
      <w:docPartBody>
        <w:p>
          <w:pPr>
            <w:pStyle w:val="5"/>
          </w:pPr>
          <w:r>
            <w:rPr>
              <w:rStyle w:val="4"/>
              <w:rFonts w:hint="eastAsia"/>
            </w:rPr>
            <w:t>单击或点击此处输入文字。</w:t>
          </w:r>
        </w:p>
      </w:docPartBody>
    </w:docPart>
    <w:docPart>
      <w:docPartPr>
        <w:name w:val="549958E7E54048A4B2C88831A431D4E5"/>
        <w:style w:val=""/>
        <w:category>
          <w:name w:val="常规"/>
          <w:gallery w:val="placeholder"/>
        </w:category>
        <w:types>
          <w:type w:val="bbPlcHdr"/>
        </w:types>
        <w:behaviors>
          <w:behavior w:val="content"/>
        </w:behaviors>
        <w:description w:val=""/>
        <w:guid w:val="{780C17E2-A0B1-46C0-A29F-A0BA8BA07776}"/>
      </w:docPartPr>
      <w:docPartBody>
        <w:p>
          <w:pPr>
            <w:pStyle w:val="6"/>
          </w:pPr>
          <w:r>
            <w:rPr>
              <w:rStyle w:val="4"/>
              <w:rFonts w:hint="eastAsia"/>
            </w:rPr>
            <w:t>选择一项。</w:t>
          </w:r>
        </w:p>
      </w:docPartBody>
    </w:docPart>
    <w:docPart>
      <w:docPartPr>
        <w:name w:val="F55EBA20D01C4C89BD9A415686C43DDA"/>
        <w:style w:val=""/>
        <w:category>
          <w:name w:val="常规"/>
          <w:gallery w:val="placeholder"/>
        </w:category>
        <w:types>
          <w:type w:val="bbPlcHdr"/>
        </w:types>
        <w:behaviors>
          <w:behavior w:val="content"/>
        </w:behaviors>
        <w:description w:val=""/>
        <w:guid w:val="{1AE35712-637C-4F05-89D8-4AC903CF8562}"/>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6E"/>
    <w:rsid w:val="003347DB"/>
    <w:rsid w:val="00B0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22067663B2D4972A48CB10EA1F7FE4A"/>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549958E7E54048A4B2C88831A431D4E5"/>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F55EBA20D01C4C89BD9A415686C43DDA"/>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6</Pages>
  <Words>431</Words>
  <Characters>2457</Characters>
  <Lines>20</Lines>
  <Paragraphs>5</Paragraphs>
  <TotalTime>0</TotalTime>
  <ScaleCrop>false</ScaleCrop>
  <LinksUpToDate>false</LinksUpToDate>
  <CharactersWithSpaces>2883</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2024-03-15T09:59:00Z</dcterms:created>
  <dc:creator>ni</dc:creator>
  <dc:description>&lt;config cover="true" show_menu="true" version="1.0.0" doctype="SDKXY"&gt;_x000d_
&lt;/config&gt;</dc:description>
  <cp:lastModifiedBy>WPS_1480640921</cp:lastModifiedBy>
  <cp:lastPrinted>2020-08-30T10:00:00Z</cp:lastPrinted>
  <dcterms:modified xsi:type="dcterms:W3CDTF">2024-04-07T01:22:39Z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2052-11.1.0.9828</vt:lpwstr>
  </property>
</Properties>
</file>