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B1F2F">
      <w:pPr>
        <w:tabs>
          <w:tab w:val="left" w:pos="8280"/>
        </w:tabs>
        <w:spacing w:line="580" w:lineRule="exact"/>
        <w:ind w:right="26" w:firstLine="0" w:firstLineChars="0"/>
        <w:jc w:val="right"/>
        <w:rPr>
          <w:rFonts w:hint="eastAsia" w:eastAsia="仿宋"/>
        </w:rPr>
      </w:pPr>
    </w:p>
    <w:p w14:paraId="16654AB4">
      <w:pPr>
        <w:tabs>
          <w:tab w:val="left" w:pos="8280"/>
        </w:tabs>
        <w:spacing w:line="580" w:lineRule="exact"/>
        <w:ind w:right="26" w:firstLine="0" w:firstLineChars="0"/>
        <w:jc w:val="right"/>
        <w:rPr>
          <w:rFonts w:eastAsia="仿宋"/>
        </w:rPr>
      </w:pPr>
    </w:p>
    <w:p w14:paraId="1E854D12">
      <w:pPr>
        <w:pStyle w:val="2"/>
        <w:spacing w:line="580" w:lineRule="exact"/>
        <w:ind w:firstLine="640"/>
        <w:rPr>
          <w:rFonts w:eastAsia="仿宋"/>
        </w:rPr>
      </w:pPr>
    </w:p>
    <w:p w14:paraId="7F6D4632">
      <w:pPr>
        <w:pStyle w:val="2"/>
        <w:spacing w:line="580" w:lineRule="exact"/>
        <w:ind w:firstLine="640"/>
        <w:rPr>
          <w:rFonts w:eastAsia="仿宋"/>
        </w:rPr>
      </w:pPr>
    </w:p>
    <w:p w14:paraId="2418826F">
      <w:pPr>
        <w:pStyle w:val="2"/>
        <w:spacing w:line="580" w:lineRule="exact"/>
        <w:ind w:firstLine="640"/>
        <w:rPr>
          <w:rFonts w:eastAsia="仿宋"/>
        </w:rPr>
      </w:pPr>
    </w:p>
    <w:p w14:paraId="3D4BC07A">
      <w:pPr>
        <w:pStyle w:val="2"/>
        <w:spacing w:line="580" w:lineRule="exact"/>
        <w:ind w:firstLine="640"/>
        <w:rPr>
          <w:rFonts w:eastAsia="仿宋"/>
        </w:rPr>
      </w:pPr>
    </w:p>
    <w:p w14:paraId="2157559B">
      <w:pPr>
        <w:pStyle w:val="2"/>
        <w:spacing w:line="580" w:lineRule="exact"/>
        <w:ind w:firstLine="640"/>
        <w:rPr>
          <w:rFonts w:eastAsia="仿宋"/>
        </w:rPr>
      </w:pPr>
    </w:p>
    <w:p w14:paraId="2EDC4505">
      <w:pPr>
        <w:pStyle w:val="3"/>
        <w:spacing w:line="580" w:lineRule="exact"/>
        <w:ind w:left="0" w:leftChars="0" w:firstLine="0" w:firstLineChars="0"/>
      </w:pPr>
    </w:p>
    <w:p w14:paraId="5EB25C12">
      <w:pPr>
        <w:pStyle w:val="9"/>
        <w:spacing w:line="580" w:lineRule="exact"/>
        <w:ind w:firstLine="320"/>
      </w:pPr>
    </w:p>
    <w:p w14:paraId="1BB6EF6F">
      <w:pPr>
        <w:tabs>
          <w:tab w:val="left" w:pos="8280"/>
        </w:tabs>
        <w:spacing w:line="600" w:lineRule="exact"/>
        <w:ind w:right="26" w:firstLine="0" w:firstLineChars="0"/>
        <w:jc w:val="center"/>
        <w:outlineLvl w:val="0"/>
      </w:pPr>
      <w:r>
        <w:t>鄂环</w:t>
      </w:r>
      <w:r>
        <w:rPr>
          <w:rFonts w:hint="eastAsia"/>
        </w:rPr>
        <w:t>审</w:t>
      </w:r>
      <w:r>
        <w:t>字〔20</w:t>
      </w:r>
      <w:r>
        <w:rPr>
          <w:rFonts w:hint="eastAsia"/>
        </w:rPr>
        <w:t>24</w:t>
      </w:r>
      <w:r>
        <w:t>〕</w:t>
      </w:r>
      <w:r>
        <w:rPr>
          <w:rFonts w:hint="eastAsia"/>
          <w:highlight w:val="none"/>
          <w:lang w:val="en-US" w:eastAsia="zh-CN"/>
        </w:rPr>
        <w:t>176</w:t>
      </w:r>
      <w:r>
        <w:t>号</w:t>
      </w:r>
    </w:p>
    <w:p w14:paraId="0A98D8D8">
      <w:pPr>
        <w:tabs>
          <w:tab w:val="left" w:pos="6780"/>
        </w:tabs>
        <w:spacing w:line="600" w:lineRule="exact"/>
        <w:ind w:firstLine="0" w:firstLineChars="0"/>
        <w:jc w:val="center"/>
        <w:rPr>
          <w:rFonts w:eastAsia="仿宋"/>
          <w:b/>
          <w:sz w:val="48"/>
          <w:szCs w:val="48"/>
        </w:rPr>
      </w:pPr>
    </w:p>
    <w:p w14:paraId="4DCA25EE">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w w:val="95"/>
          <w:sz w:val="44"/>
          <w:szCs w:val="44"/>
          <w:highlight w:val="none"/>
          <w:lang w:eastAsia="zh-CN"/>
        </w:rPr>
      </w:pPr>
      <w:r>
        <w:rPr>
          <w:rFonts w:hint="eastAsia" w:ascii="方正小标宋简体" w:hAnsi="方正小标宋简体" w:eastAsia="方正小标宋简体" w:cs="方正小标宋简体"/>
          <w:b w:val="0"/>
          <w:bCs/>
          <w:color w:val="auto"/>
          <w:w w:val="95"/>
          <w:sz w:val="44"/>
          <w:szCs w:val="44"/>
          <w:highlight w:val="none"/>
        </w:rPr>
        <w:t>鄂尔多斯市生态环境局</w:t>
      </w:r>
      <w:r>
        <w:rPr>
          <w:rFonts w:hint="eastAsia" w:ascii="方正小标宋简体" w:hAnsi="方正小标宋简体" w:eastAsia="方正小标宋简体" w:cs="方正小标宋简体"/>
          <w:b w:val="0"/>
          <w:bCs/>
          <w:color w:val="auto"/>
          <w:w w:val="95"/>
          <w:sz w:val="44"/>
          <w:szCs w:val="44"/>
          <w:highlight w:val="none"/>
          <w:lang w:eastAsia="zh-CN"/>
        </w:rPr>
        <w:t>关于</w:t>
      </w:r>
    </w:p>
    <w:p w14:paraId="60DB3F96">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w w:val="95"/>
          <w:sz w:val="44"/>
          <w:szCs w:val="44"/>
          <w:highlight w:val="none"/>
        </w:rPr>
      </w:pPr>
      <w:r>
        <w:rPr>
          <w:rFonts w:hint="eastAsia" w:ascii="方正小标宋简体" w:hAnsi="方正小标宋简体" w:eastAsia="方正小标宋简体" w:cs="方正小标宋简体"/>
          <w:b w:val="0"/>
          <w:bCs/>
          <w:color w:val="auto"/>
          <w:w w:val="95"/>
          <w:sz w:val="44"/>
          <w:szCs w:val="44"/>
          <w:highlight w:val="none"/>
        </w:rPr>
        <w:t>内蒙古长河满能能源发展有限公司10万吨煤矸 石全组分高值化分离项目环境影响</w:t>
      </w:r>
      <w:bookmarkStart w:id="0" w:name="_GoBack"/>
      <w:r>
        <w:rPr>
          <w:rFonts w:hint="eastAsia" w:ascii="方正小标宋简体" w:hAnsi="方正小标宋简体" w:eastAsia="方正小标宋简体" w:cs="方正小标宋简体"/>
          <w:b w:val="0"/>
          <w:bCs/>
          <w:color w:val="auto"/>
          <w:w w:val="95"/>
          <w:sz w:val="44"/>
          <w:szCs w:val="44"/>
          <w:highlight w:val="none"/>
        </w:rPr>
        <w:t>报告书</w:t>
      </w:r>
      <w:bookmarkEnd w:id="0"/>
    </w:p>
    <w:p w14:paraId="45B8859A">
      <w:pPr>
        <w:keepNext w:val="0"/>
        <w:keepLines w:val="0"/>
        <w:pageBreakBefore w:val="0"/>
        <w:widowControl w:val="0"/>
        <w:kinsoku/>
        <w:wordWrap/>
        <w:overflowPunct/>
        <w:topLinePunct w:val="0"/>
        <w:autoSpaceDE/>
        <w:autoSpaceDN/>
        <w:bidi w:val="0"/>
        <w:spacing w:line="60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color w:val="auto"/>
          <w:w w:val="95"/>
          <w:sz w:val="44"/>
          <w:szCs w:val="44"/>
          <w:highlight w:val="none"/>
        </w:rPr>
      </w:pPr>
      <w:r>
        <w:rPr>
          <w:rFonts w:hint="eastAsia" w:ascii="方正小标宋简体" w:hAnsi="方正小标宋简体" w:eastAsia="方正小标宋简体" w:cs="方正小标宋简体"/>
          <w:b w:val="0"/>
          <w:bCs/>
          <w:color w:val="auto"/>
          <w:w w:val="95"/>
          <w:sz w:val="44"/>
          <w:szCs w:val="44"/>
          <w:highlight w:val="none"/>
        </w:rPr>
        <w:t>的批复</w:t>
      </w:r>
    </w:p>
    <w:p w14:paraId="2E8894AA">
      <w:pPr>
        <w:adjustRightInd w:val="0"/>
        <w:snapToGrid w:val="0"/>
        <w:spacing w:line="600" w:lineRule="exact"/>
        <w:ind w:firstLine="640"/>
        <w:rPr>
          <w:rFonts w:hint="eastAsia" w:ascii="仿宋" w:hAnsi="仿宋" w:eastAsia="仿宋" w:cs="仿宋"/>
          <w:szCs w:val="32"/>
        </w:rPr>
      </w:pPr>
    </w:p>
    <w:p w14:paraId="251DA898">
      <w:pPr>
        <w:adjustRightInd w:val="0"/>
        <w:snapToGrid w:val="0"/>
        <w:spacing w:line="600" w:lineRule="exact"/>
        <w:ind w:firstLine="0" w:firstLineChars="0"/>
        <w:rPr>
          <w:rFonts w:hint="eastAsia" w:ascii="仿宋" w:hAnsi="仿宋" w:eastAsia="仿宋" w:cs="仿宋"/>
          <w:kern w:val="0"/>
          <w:szCs w:val="32"/>
          <w:highlight w:val="yellow"/>
        </w:rPr>
      </w:pPr>
      <w:r>
        <w:rPr>
          <w:rFonts w:hint="eastAsia" w:ascii="仿宋" w:hAnsi="仿宋" w:eastAsia="仿宋" w:cs="仿宋"/>
          <w:szCs w:val="32"/>
        </w:rPr>
        <w:t>内蒙古长河满能能源发展有限公司：</w:t>
      </w:r>
    </w:p>
    <w:p w14:paraId="2C3E2D68">
      <w:pPr>
        <w:keepNext w:val="0"/>
        <w:keepLines w:val="0"/>
        <w:pageBreakBefore w:val="0"/>
        <w:widowControl w:val="0"/>
        <w:kinsoku/>
        <w:wordWrap/>
        <w:overflowPunct/>
        <w:topLinePunct w:val="0"/>
        <w:autoSpaceDE/>
        <w:autoSpaceDN/>
        <w:bidi w:val="0"/>
        <w:adjustRightInd w:val="0"/>
        <w:snapToGrid w:val="0"/>
        <w:spacing w:line="480" w:lineRule="exact"/>
        <w:ind w:firstLine="640"/>
        <w:rPr>
          <w:rFonts w:hint="eastAsia" w:ascii="仿宋" w:hAnsi="仿宋" w:eastAsia="仿宋" w:cs="仿宋"/>
          <w:szCs w:val="32"/>
        </w:rPr>
      </w:pPr>
      <w:r>
        <w:rPr>
          <w:rFonts w:hint="eastAsia" w:ascii="仿宋" w:hAnsi="仿宋" w:eastAsia="仿宋" w:cs="仿宋"/>
          <w:szCs w:val="32"/>
        </w:rPr>
        <w:t>你公司报送的由</w:t>
      </w:r>
      <w:r>
        <w:rPr>
          <w:rFonts w:hint="eastAsia" w:ascii="仿宋" w:hAnsi="仿宋" w:eastAsia="仿宋" w:cs="仿宋"/>
          <w:sz w:val="32"/>
          <w:szCs w:val="32"/>
        </w:rPr>
        <w:t>内蒙古泽郡生态环境科技有限公司</w:t>
      </w:r>
      <w:r>
        <w:rPr>
          <w:rFonts w:hint="eastAsia" w:ascii="仿宋" w:hAnsi="仿宋" w:eastAsia="仿宋" w:cs="仿宋"/>
          <w:color w:val="auto"/>
          <w:szCs w:val="32"/>
          <w:highlight w:val="none"/>
        </w:rPr>
        <w:t>编制</w:t>
      </w:r>
      <w:r>
        <w:rPr>
          <w:rFonts w:hint="eastAsia" w:ascii="仿宋" w:hAnsi="仿宋" w:eastAsia="仿宋" w:cs="仿宋"/>
          <w:color w:val="auto"/>
          <w:szCs w:val="32"/>
          <w:highlight w:val="none"/>
          <w:lang w:eastAsia="zh-CN"/>
        </w:rPr>
        <w:t>的《</w:t>
      </w:r>
      <w:r>
        <w:rPr>
          <w:rFonts w:hint="eastAsia" w:ascii="仿宋" w:hAnsi="仿宋" w:eastAsia="仿宋" w:cs="仿宋"/>
          <w:sz w:val="32"/>
          <w:szCs w:val="32"/>
        </w:rPr>
        <w:t>内蒙古长河满能能源发展有限公司10万吨煤矸石全组分高值化分离项目环境影响报告书</w:t>
      </w:r>
      <w:r>
        <w:rPr>
          <w:rFonts w:hint="eastAsia" w:ascii="仿宋" w:hAnsi="仿宋" w:eastAsia="仿宋" w:cs="仿宋"/>
          <w:color w:val="auto"/>
          <w:szCs w:val="32"/>
          <w:highlight w:val="none"/>
        </w:rPr>
        <w:t>》（以下简称《报告</w:t>
      </w:r>
      <w:r>
        <w:rPr>
          <w:rFonts w:hint="eastAsia" w:ascii="仿宋" w:hAnsi="仿宋" w:eastAsia="仿宋" w:cs="仿宋"/>
          <w:color w:val="auto"/>
          <w:szCs w:val="32"/>
          <w:highlight w:val="none"/>
          <w:lang w:eastAsia="zh-CN"/>
        </w:rPr>
        <w:t>书</w:t>
      </w:r>
      <w:r>
        <w:rPr>
          <w:rFonts w:hint="eastAsia" w:ascii="仿宋" w:hAnsi="仿宋" w:eastAsia="仿宋" w:cs="仿宋"/>
          <w:color w:val="auto"/>
          <w:szCs w:val="32"/>
          <w:highlight w:val="none"/>
        </w:rPr>
        <w:t>》）收悉</w:t>
      </w:r>
      <w:r>
        <w:rPr>
          <w:rFonts w:hint="eastAsia" w:ascii="仿宋" w:hAnsi="仿宋" w:eastAsia="仿宋" w:cs="仿宋"/>
          <w:szCs w:val="32"/>
        </w:rPr>
        <w:t>。我局综合保障中心组织专家对该项目进行了技术评估，并形成了该项目的技术评估报告，根据《报告书》和《技术评估报告》，经研究，现批复如下：</w:t>
      </w:r>
    </w:p>
    <w:p w14:paraId="6BD7537F">
      <w:pPr>
        <w:keepNext w:val="0"/>
        <w:keepLines w:val="0"/>
        <w:pageBreakBefore w:val="0"/>
        <w:widowControl w:val="0"/>
        <w:numPr>
          <w:ilvl w:val="0"/>
          <w:numId w:val="1"/>
        </w:numPr>
        <w:kinsoku/>
        <w:wordWrap/>
        <w:overflowPunct/>
        <w:topLinePunct w:val="0"/>
        <w:autoSpaceDE/>
        <w:autoSpaceDN/>
        <w:bidi w:val="0"/>
        <w:adjustRightInd w:val="0"/>
        <w:snapToGrid w:val="0"/>
        <w:spacing w:line="480" w:lineRule="exact"/>
        <w:ind w:firstLine="640" w:firstLineChars="200"/>
        <w:textAlignment w:val="auto"/>
        <w:rPr>
          <w:rFonts w:hint="eastAsia" w:ascii="仿宋" w:hAnsi="仿宋" w:eastAsia="仿宋" w:cs="仿宋"/>
          <w:lang w:eastAsia="zh-CN"/>
        </w:rPr>
      </w:pPr>
      <w:r>
        <w:rPr>
          <w:rFonts w:hint="eastAsia" w:ascii="仿宋" w:hAnsi="仿宋" w:eastAsia="仿宋" w:cs="仿宋"/>
        </w:rPr>
        <w:t>内蒙古长河满能能源发展有限公司10万吨煤研石全组分高值化分离项目(以下称本项目)</w:t>
      </w:r>
      <w:r>
        <w:rPr>
          <w:rFonts w:hint="eastAsia" w:ascii="仿宋" w:hAnsi="仿宋" w:eastAsia="仿宋" w:cs="仿宋"/>
          <w:lang w:eastAsia="zh-CN"/>
        </w:rPr>
        <w:t>，</w:t>
      </w:r>
      <w:r>
        <w:rPr>
          <w:rFonts w:hint="eastAsia" w:ascii="仿宋" w:hAnsi="仿宋" w:eastAsia="仿宋" w:cs="仿宋"/>
        </w:rPr>
        <w:t>位于内蒙古鄂尔多斯达拉特经济开发区达拉特产业园</w:t>
      </w:r>
      <w:r>
        <w:rPr>
          <w:rFonts w:hint="eastAsia" w:ascii="仿宋" w:hAnsi="仿宋" w:eastAsia="仿宋" w:cs="仿宋"/>
          <w:lang w:eastAsia="zh-CN"/>
        </w:rPr>
        <w:t>内</w:t>
      </w:r>
      <w:r>
        <w:rPr>
          <w:rFonts w:hint="eastAsia" w:ascii="仿宋" w:hAnsi="仿宋" w:eastAsia="仿宋" w:cs="仿宋"/>
        </w:rPr>
        <w:t>，租用内蒙古源兴科技发展有限公司厂房建设，占地面积1.2254</w:t>
      </w:r>
      <w:r>
        <w:rPr>
          <w:rFonts w:hint="eastAsia" w:ascii="仿宋" w:hAnsi="仿宋" w:eastAsia="仿宋" w:cs="仿宋"/>
          <w:lang w:eastAsia="zh-CN"/>
        </w:rPr>
        <w:t>平方公顷</w:t>
      </w:r>
      <w:r>
        <w:rPr>
          <w:rFonts w:hint="eastAsia" w:ascii="仿宋" w:hAnsi="仿宋" w:eastAsia="仿宋" w:cs="仿宋"/>
        </w:rPr>
        <w:t>。主要建设内容包括租用3#车间作为生产车间</w:t>
      </w:r>
      <w:r>
        <w:rPr>
          <w:rFonts w:hint="eastAsia" w:ascii="仿宋" w:hAnsi="仿宋" w:eastAsia="仿宋" w:cs="仿宋"/>
          <w:lang w:eastAsia="zh-CN"/>
        </w:rPr>
        <w:t>，</w:t>
      </w:r>
      <w:r>
        <w:rPr>
          <w:rFonts w:hint="eastAsia" w:ascii="仿宋" w:hAnsi="仿宋" w:eastAsia="仿宋" w:cs="仿宋"/>
        </w:rPr>
        <w:t>车间内新建1条精煤粉生产线</w:t>
      </w:r>
      <w:r>
        <w:rPr>
          <w:rFonts w:hint="eastAsia" w:ascii="仿宋" w:hAnsi="仿宋" w:eastAsia="仿宋" w:cs="仿宋"/>
          <w:lang w:eastAsia="zh-CN"/>
        </w:rPr>
        <w:t>、</w:t>
      </w:r>
      <w:r>
        <w:rPr>
          <w:rFonts w:hint="eastAsia" w:ascii="仿宋" w:hAnsi="仿宋" w:eastAsia="仿宋" w:cs="仿宋"/>
        </w:rPr>
        <w:t>1条霞石粉生产线和1条硅酸钙生产线以及配套建设相应的辅助设施</w:t>
      </w:r>
      <w:r>
        <w:rPr>
          <w:rFonts w:hint="eastAsia" w:ascii="仿宋" w:hAnsi="仿宋" w:eastAsia="仿宋" w:cs="仿宋"/>
          <w:lang w:eastAsia="zh-CN"/>
        </w:rPr>
        <w:t>，</w:t>
      </w:r>
      <w:r>
        <w:rPr>
          <w:rFonts w:hint="eastAsia" w:ascii="仿宋" w:hAnsi="仿宋" w:eastAsia="仿宋" w:cs="仿宋"/>
        </w:rPr>
        <w:t>租用2#车间作为原辅料及产品储存车间。本项目建成后年利用煤矸石10万吨，年生产精煤2万吨</w:t>
      </w:r>
      <w:r>
        <w:rPr>
          <w:rFonts w:hint="eastAsia" w:ascii="仿宋" w:hAnsi="仿宋" w:eastAsia="仿宋" w:cs="仿宋"/>
          <w:lang w:eastAsia="zh-CN"/>
        </w:rPr>
        <w:t>、</w:t>
      </w:r>
      <w:r>
        <w:rPr>
          <w:rFonts w:hint="eastAsia" w:ascii="仿宋" w:hAnsi="仿宋" w:eastAsia="仿宋" w:cs="仿宋"/>
        </w:rPr>
        <w:t>水玻璃约3.5万吨、霞石粉约7.7万吨、偏离酸钠约5.2万吨、硅酸钙约6.7万吨</w:t>
      </w:r>
      <w:r>
        <w:rPr>
          <w:rFonts w:hint="eastAsia" w:ascii="仿宋" w:hAnsi="仿宋" w:eastAsia="仿宋" w:cs="仿宋"/>
          <w:lang w:eastAsia="zh-CN"/>
        </w:rPr>
        <w:t>。本项目总投资1000万元，其中环保投资 690.5万元。</w:t>
      </w:r>
    </w:p>
    <w:p w14:paraId="778AB4B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640" w:firstLineChars="200"/>
        <w:textAlignment w:val="auto"/>
        <w:rPr>
          <w:rFonts w:hint="eastAsia" w:ascii="仿宋" w:hAnsi="仿宋" w:eastAsia="仿宋" w:cs="仿宋"/>
        </w:rPr>
      </w:pPr>
      <w:r>
        <w:rPr>
          <w:rFonts w:hint="eastAsia" w:ascii="仿宋" w:hAnsi="仿宋" w:eastAsia="仿宋" w:cs="仿宋"/>
        </w:rPr>
        <w:t>《报告书》和《技术评估报告》认为，在全面落实各项生态环境保护和环境污染防治措施的前提下，项目建设对环境的不利影响能够得到一定的缓解和控制。因此，我局原则同意你公司按照《报告书》中所列的建设项目性质、规模、地点、工艺、生态环境保护措施及下述要求进行建设。</w:t>
      </w:r>
    </w:p>
    <w:p w14:paraId="72EA6E5C">
      <w:pPr>
        <w:keepNext w:val="0"/>
        <w:keepLines w:val="0"/>
        <w:pageBreakBefore w:val="0"/>
        <w:widowControl w:val="0"/>
        <w:kinsoku/>
        <w:wordWrap/>
        <w:overflowPunct/>
        <w:topLinePunct w:val="0"/>
        <w:autoSpaceDE/>
        <w:autoSpaceDN/>
        <w:bidi w:val="0"/>
        <w:adjustRightInd w:val="0"/>
        <w:spacing w:line="480" w:lineRule="exact"/>
        <w:ind w:firstLine="640"/>
        <w:textAlignment w:val="baseline"/>
        <w:rPr>
          <w:rFonts w:hint="eastAsia" w:ascii="仿宋" w:hAnsi="仿宋" w:eastAsia="仿宋" w:cs="仿宋"/>
          <w:szCs w:val="32"/>
        </w:rPr>
      </w:pPr>
      <w:r>
        <w:rPr>
          <w:rFonts w:hint="eastAsia" w:ascii="仿宋" w:hAnsi="仿宋" w:eastAsia="仿宋" w:cs="仿宋"/>
          <w:szCs w:val="32"/>
        </w:rPr>
        <w:t>二、项目建设与运行管理中应重点做好的工作：</w:t>
      </w:r>
    </w:p>
    <w:p w14:paraId="672FC518">
      <w:pPr>
        <w:pStyle w:val="2"/>
        <w:keepNext w:val="0"/>
        <w:keepLines w:val="0"/>
        <w:pageBreakBefore w:val="0"/>
        <w:widowControl w:val="0"/>
        <w:kinsoku/>
        <w:wordWrap/>
        <w:overflowPunct/>
        <w:topLinePunct w:val="0"/>
        <w:autoSpaceDE/>
        <w:autoSpaceDN/>
        <w:bidi w:val="0"/>
        <w:snapToGrid/>
        <w:spacing w:line="480" w:lineRule="exact"/>
        <w:ind w:firstLine="640"/>
        <w:rPr>
          <w:rFonts w:hint="eastAsia" w:ascii="仿宋" w:hAnsi="仿宋" w:eastAsia="仿宋" w:cs="仿宋"/>
          <w:kern w:val="2"/>
          <w:sz w:val="32"/>
          <w:szCs w:val="32"/>
          <w:highlight w:val="yellow"/>
          <w:lang w:val="en-US" w:eastAsia="zh-CN" w:bidi="ar-SA"/>
        </w:rPr>
      </w:pPr>
      <w:r>
        <w:rPr>
          <w:rFonts w:hint="eastAsia" w:ascii="仿宋" w:hAnsi="仿宋" w:eastAsia="仿宋" w:cs="仿宋"/>
          <w:kern w:val="2"/>
          <w:sz w:val="32"/>
          <w:szCs w:val="32"/>
          <w:lang w:val="en-US" w:eastAsia="zh-CN" w:bidi="ar-SA"/>
        </w:rPr>
        <w:t>1.严格落实《报告书》提出的大气污染防治措施。</w:t>
      </w:r>
      <w:r>
        <w:rPr>
          <w:rFonts w:hint="eastAsia" w:ascii="仿宋" w:hAnsi="仿宋" w:eastAsia="仿宋" w:cs="仿宋"/>
          <w:kern w:val="2"/>
          <w:sz w:val="32"/>
          <w:szCs w:val="32"/>
          <w:highlight w:val="none"/>
          <w:lang w:val="en-US" w:eastAsia="zh-CN" w:bidi="ar-SA"/>
        </w:rPr>
        <w:t>煤矸石受料仓、精煤仓、中间料仓产生的含尘废气分别经“集气罩+布袋除尘器”处理后由15米高排气筒排放；煤矸石细粉热活化废气和硅酸钙生产装置热活化废气经一级碱吸收+布袋除尘器处理后由15米高的排气筒排放。颗粒物、二氧化硫有组织排放满足《无机化学工业污染物排放标准》（GB 31573-2015）修改单中表4限值要求。厂界颗粒物无组织排放满足《大气污染物综合排放标准》(GB 16297-1996)表2相关限值要求。</w:t>
      </w:r>
    </w:p>
    <w:p w14:paraId="13DE4B4F">
      <w:pPr>
        <w:pStyle w:val="2"/>
        <w:keepNext w:val="0"/>
        <w:keepLines w:val="0"/>
        <w:pageBreakBefore w:val="0"/>
        <w:widowControl w:val="0"/>
        <w:kinsoku/>
        <w:wordWrap/>
        <w:overflowPunct/>
        <w:topLinePunct w:val="0"/>
        <w:autoSpaceDE/>
        <w:autoSpaceDN/>
        <w:bidi w:val="0"/>
        <w:snapToGrid/>
        <w:spacing w:line="480" w:lineRule="exact"/>
        <w:ind w:firstLine="640"/>
        <w:rPr>
          <w:rFonts w:hint="eastAsia" w:ascii="仿宋" w:hAnsi="仿宋" w:eastAsia="仿宋" w:cs="仿宋"/>
          <w:kern w:val="2"/>
        </w:rPr>
      </w:pPr>
      <w:r>
        <w:rPr>
          <w:rFonts w:hint="eastAsia" w:ascii="仿宋" w:hAnsi="仿宋" w:eastAsia="仿宋" w:cs="仿宋"/>
          <w:szCs w:val="32"/>
          <w:lang w:val="en-US" w:eastAsia="zh-CN"/>
        </w:rPr>
        <w:t>2</w:t>
      </w:r>
      <w:r>
        <w:rPr>
          <w:rFonts w:hint="eastAsia" w:ascii="仿宋" w:hAnsi="仿宋" w:eastAsia="仿宋" w:cs="仿宋"/>
          <w:szCs w:val="32"/>
        </w:rPr>
        <w:t>.</w:t>
      </w:r>
      <w:r>
        <w:rPr>
          <w:rFonts w:hint="eastAsia" w:ascii="仿宋" w:hAnsi="仿宋" w:eastAsia="仿宋" w:cs="仿宋"/>
          <w:kern w:val="2"/>
        </w:rPr>
        <w:t>严格落实《报告书》提出的水污染防治措施。微波干燥器蒸汽冷凝水回用于制浆用水；热活化尾气吸收废水、地面清洗废水排入园区污水管网，废水总排放口污染物排放浓度执行《无机化学工业污染物排放标准》 (GB</w:t>
      </w:r>
      <w:r>
        <w:rPr>
          <w:rFonts w:hint="eastAsia" w:ascii="仿宋" w:hAnsi="仿宋" w:eastAsia="仿宋" w:cs="仿宋"/>
          <w:kern w:val="2"/>
          <w:lang w:val="en-US" w:eastAsia="zh-CN"/>
        </w:rPr>
        <w:t xml:space="preserve"> </w:t>
      </w:r>
      <w:r>
        <w:rPr>
          <w:rFonts w:hint="eastAsia" w:ascii="仿宋" w:hAnsi="仿宋" w:eastAsia="仿宋" w:cs="仿宋"/>
          <w:kern w:val="2"/>
        </w:rPr>
        <w:t>31573-2015)表1水污染物排放限值和达拉特旗经济开发区三珣梁片区污水处理厂进水水质要求，生活污水经化粪池处理后排入园区污水管网，委托三珣梁园区污水处理厂集中处理。</w:t>
      </w:r>
    </w:p>
    <w:p w14:paraId="25C6390A">
      <w:pPr>
        <w:pStyle w:val="2"/>
        <w:keepNext w:val="0"/>
        <w:keepLines w:val="0"/>
        <w:pageBreakBefore w:val="0"/>
        <w:widowControl w:val="0"/>
        <w:kinsoku/>
        <w:wordWrap/>
        <w:overflowPunct/>
        <w:topLinePunct w:val="0"/>
        <w:autoSpaceDE/>
        <w:autoSpaceDN/>
        <w:bidi w:val="0"/>
        <w:snapToGrid/>
        <w:spacing w:line="480" w:lineRule="exact"/>
        <w:ind w:firstLine="640"/>
        <w:rPr>
          <w:rFonts w:hint="eastAsia" w:ascii="仿宋" w:hAnsi="仿宋" w:eastAsia="仿宋" w:cs="仿宋"/>
          <w:kern w:val="2"/>
        </w:rPr>
      </w:pPr>
      <w:r>
        <w:rPr>
          <w:rFonts w:hint="eastAsia" w:ascii="仿宋" w:hAnsi="仿宋" w:eastAsia="仿宋" w:cs="仿宋"/>
          <w:szCs w:val="32"/>
          <w:lang w:val="en-US" w:eastAsia="zh-CN"/>
        </w:rPr>
        <w:t>3</w:t>
      </w:r>
      <w:r>
        <w:rPr>
          <w:rFonts w:hint="eastAsia" w:ascii="仿宋" w:hAnsi="仿宋" w:eastAsia="仿宋" w:cs="仿宋"/>
          <w:szCs w:val="32"/>
        </w:rPr>
        <w:t>.</w:t>
      </w:r>
      <w:r>
        <w:rPr>
          <w:rFonts w:hint="eastAsia" w:ascii="仿宋" w:hAnsi="仿宋" w:eastAsia="仿宋" w:cs="仿宋"/>
          <w:kern w:val="2"/>
        </w:rPr>
        <w:t>严格落实《报告书》提出的噪声污染防治措施。选用低噪声设备，安装减震基础、消声等措施，降低噪声污染</w:t>
      </w:r>
      <w:r>
        <w:rPr>
          <w:rFonts w:hint="eastAsia" w:ascii="仿宋" w:hAnsi="仿宋" w:eastAsia="仿宋" w:cs="仿宋"/>
          <w:kern w:val="2"/>
          <w:lang w:eastAsia="zh-CN"/>
        </w:rPr>
        <w:t>，</w:t>
      </w:r>
      <w:r>
        <w:rPr>
          <w:rFonts w:hint="eastAsia" w:ascii="仿宋" w:hAnsi="仿宋" w:eastAsia="仿宋" w:cs="仿宋"/>
          <w:kern w:val="2"/>
          <w:lang w:val="en-US" w:eastAsia="zh-CN"/>
        </w:rPr>
        <w:t>确保</w:t>
      </w:r>
      <w:r>
        <w:rPr>
          <w:rFonts w:hint="eastAsia" w:ascii="仿宋" w:hAnsi="仿宋" w:eastAsia="仿宋" w:cs="仿宋"/>
          <w:kern w:val="2"/>
        </w:rPr>
        <w:t>厂界噪声满足《工业企业厂界环境噪声排放标准》(GB</w:t>
      </w:r>
      <w:r>
        <w:rPr>
          <w:rFonts w:hint="eastAsia" w:ascii="仿宋" w:hAnsi="仿宋" w:eastAsia="仿宋" w:cs="仿宋"/>
          <w:kern w:val="2"/>
          <w:lang w:val="en-US" w:eastAsia="zh-CN"/>
        </w:rPr>
        <w:t xml:space="preserve"> </w:t>
      </w:r>
      <w:r>
        <w:rPr>
          <w:rFonts w:hint="eastAsia" w:ascii="仿宋" w:hAnsi="仿宋" w:eastAsia="仿宋" w:cs="仿宋"/>
          <w:kern w:val="2"/>
        </w:rPr>
        <w:t>12348-2008)中3类标准限值要求。</w:t>
      </w:r>
    </w:p>
    <w:p w14:paraId="1871F652">
      <w:pPr>
        <w:keepNext w:val="0"/>
        <w:keepLines w:val="0"/>
        <w:pageBreakBefore w:val="0"/>
        <w:widowControl w:val="0"/>
        <w:tabs>
          <w:tab w:val="left" w:pos="1140"/>
        </w:tabs>
        <w:kinsoku/>
        <w:wordWrap/>
        <w:overflowPunct/>
        <w:topLinePunct w:val="0"/>
        <w:autoSpaceDE/>
        <w:autoSpaceDN/>
        <w:bidi w:val="0"/>
        <w:adjustRightInd w:val="0"/>
        <w:snapToGrid/>
        <w:spacing w:line="480" w:lineRule="exact"/>
        <w:ind w:firstLine="640"/>
        <w:textAlignment w:val="baseline"/>
        <w:rPr>
          <w:rFonts w:hint="eastAsia" w:ascii="仿宋" w:hAnsi="仿宋" w:eastAsia="仿宋" w:cs="仿宋"/>
          <w:szCs w:val="32"/>
        </w:rPr>
      </w:pPr>
      <w:r>
        <w:rPr>
          <w:rFonts w:hint="eastAsia" w:ascii="仿宋" w:hAnsi="仿宋" w:eastAsia="仿宋" w:cs="仿宋"/>
          <w:szCs w:val="32"/>
          <w:lang w:val="en-US" w:eastAsia="zh-CN"/>
        </w:rPr>
        <w:t>4</w:t>
      </w:r>
      <w:r>
        <w:rPr>
          <w:rFonts w:hint="eastAsia" w:ascii="仿宋" w:hAnsi="仿宋" w:eastAsia="仿宋" w:cs="仿宋"/>
          <w:szCs w:val="32"/>
        </w:rPr>
        <w:t>.严格落实《报告书》提出的固废污染防治措施。根据国家和地方的有关规定，按照“减量化、资源化、无害化”原则，对固体废物进行分类收集、处理和处置，确保不造成二次污染。各类固废严格按照《一般工业固体废物贮存和填埋污染控制标准》（GB 18599-2020）</w:t>
      </w:r>
      <w:r>
        <w:rPr>
          <w:rFonts w:hint="eastAsia" w:ascii="仿宋" w:hAnsi="仿宋" w:eastAsia="仿宋" w:cs="仿宋"/>
          <w:szCs w:val="32"/>
          <w:lang w:eastAsia="zh-CN"/>
        </w:rPr>
        <w:t>、</w:t>
      </w:r>
      <w:r>
        <w:rPr>
          <w:rFonts w:hint="eastAsia" w:ascii="仿宋" w:hAnsi="仿宋" w:eastAsia="仿宋" w:cs="仿宋"/>
          <w:szCs w:val="32"/>
        </w:rPr>
        <w:t>《危险废物贮存污染控制标准》（GB</w:t>
      </w:r>
      <w:r>
        <w:rPr>
          <w:rFonts w:hint="eastAsia" w:ascii="仿宋" w:hAnsi="仿宋" w:eastAsia="仿宋" w:cs="仿宋"/>
          <w:szCs w:val="32"/>
          <w:lang w:val="en-US" w:eastAsia="zh-CN"/>
        </w:rPr>
        <w:t xml:space="preserve"> </w:t>
      </w:r>
      <w:r>
        <w:rPr>
          <w:rFonts w:hint="eastAsia" w:ascii="仿宋" w:hAnsi="仿宋" w:eastAsia="仿宋" w:cs="仿宋"/>
          <w:szCs w:val="32"/>
        </w:rPr>
        <w:t>18597-2023）</w:t>
      </w:r>
      <w:r>
        <w:rPr>
          <w:rFonts w:hint="eastAsia" w:ascii="仿宋" w:hAnsi="仿宋" w:eastAsia="仿宋" w:cs="仿宋"/>
          <w:szCs w:val="32"/>
          <w:lang w:eastAsia="zh-CN"/>
        </w:rPr>
        <w:t>及</w:t>
      </w:r>
      <w:r>
        <w:rPr>
          <w:rFonts w:hint="eastAsia" w:ascii="仿宋" w:hAnsi="仿宋" w:eastAsia="仿宋" w:cs="仿宋"/>
          <w:szCs w:val="32"/>
        </w:rPr>
        <w:t>《石油化工工程防 渗技术规范》 (GB/T50934-2013) 等要求，建设危废暂存间、事故池及一般固废间，分类做好存贮和安全处置工作。除尘器收集的粉尘作为原料返回生产工序；废包装物外袋暂存</w:t>
      </w:r>
      <w:r>
        <w:rPr>
          <w:rFonts w:hint="eastAsia" w:ascii="仿宋" w:hAnsi="仿宋" w:eastAsia="仿宋" w:cs="仿宋"/>
          <w:szCs w:val="32"/>
          <w:lang w:eastAsia="zh-CN"/>
        </w:rPr>
        <w:t>于</w:t>
      </w:r>
      <w:r>
        <w:rPr>
          <w:rFonts w:hint="eastAsia" w:ascii="仿宋" w:hAnsi="仿宋" w:eastAsia="仿宋" w:cs="仿宋"/>
          <w:szCs w:val="32"/>
        </w:rPr>
        <w:t>一般固废暂存间，</w:t>
      </w:r>
      <w:r>
        <w:rPr>
          <w:rFonts w:hint="eastAsia" w:ascii="仿宋" w:hAnsi="仿宋" w:eastAsia="仿宋" w:cs="仿宋"/>
          <w:szCs w:val="32"/>
          <w:lang w:eastAsia="zh-CN"/>
        </w:rPr>
        <w:t>交</w:t>
      </w:r>
      <w:r>
        <w:rPr>
          <w:rFonts w:hint="eastAsia" w:ascii="仿宋" w:hAnsi="仿宋" w:eastAsia="仿宋" w:cs="仿宋"/>
          <w:szCs w:val="32"/>
        </w:rPr>
        <w:t>由厂家定期回收；废包装物内袋、设备维修废机油为</w:t>
      </w:r>
      <w:r>
        <w:rPr>
          <w:rFonts w:hint="eastAsia" w:ascii="仿宋" w:hAnsi="仿宋" w:eastAsia="仿宋" w:cs="仿宋"/>
          <w:szCs w:val="32"/>
          <w:lang w:eastAsia="zh-CN"/>
        </w:rPr>
        <w:t>等</w:t>
      </w:r>
      <w:r>
        <w:rPr>
          <w:rFonts w:hint="eastAsia" w:ascii="仿宋" w:hAnsi="仿宋" w:eastAsia="仿宋" w:cs="仿宋"/>
          <w:szCs w:val="32"/>
        </w:rPr>
        <w:t>危险废物暂存危废暂存间，委托有资质单位处置；生活垃圾在厂区集中、分类收集后，交由园区环卫部门统一处理。</w:t>
      </w:r>
    </w:p>
    <w:p w14:paraId="707A061E">
      <w:pPr>
        <w:keepNext w:val="0"/>
        <w:keepLines w:val="0"/>
        <w:pageBreakBefore w:val="0"/>
        <w:widowControl w:val="0"/>
        <w:kinsoku/>
        <w:wordWrap/>
        <w:overflowPunct/>
        <w:topLinePunct w:val="0"/>
        <w:autoSpaceDE/>
        <w:autoSpaceDN/>
        <w:bidi w:val="0"/>
        <w:adjustRightInd w:val="0"/>
        <w:snapToGrid/>
        <w:spacing w:line="480" w:lineRule="exact"/>
        <w:ind w:firstLine="640"/>
        <w:textAlignment w:val="baseline"/>
        <w:rPr>
          <w:rFonts w:hint="eastAsia" w:ascii="仿宋" w:hAnsi="仿宋" w:eastAsia="仿宋" w:cs="仿宋"/>
          <w:szCs w:val="20"/>
        </w:rPr>
      </w:pPr>
      <w:r>
        <w:rPr>
          <w:rFonts w:hint="eastAsia" w:ascii="仿宋" w:hAnsi="仿宋" w:eastAsia="仿宋" w:cs="仿宋"/>
          <w:szCs w:val="20"/>
          <w:lang w:val="en-US" w:eastAsia="zh-CN"/>
        </w:rPr>
        <w:t>5</w:t>
      </w:r>
      <w:r>
        <w:rPr>
          <w:rFonts w:hint="eastAsia" w:ascii="仿宋" w:hAnsi="仿宋" w:eastAsia="仿宋" w:cs="仿宋"/>
          <w:szCs w:val="20"/>
        </w:rPr>
        <w:t>.切实落实地下水环境及土壤环境保护措施。严格按照《环境影响评价技术导则 地下水环境》（HJ</w:t>
      </w:r>
      <w:r>
        <w:rPr>
          <w:rFonts w:hint="eastAsia" w:ascii="仿宋" w:hAnsi="仿宋" w:eastAsia="仿宋" w:cs="仿宋"/>
          <w:szCs w:val="20"/>
          <w:lang w:val="en-US" w:eastAsia="zh-CN"/>
        </w:rPr>
        <w:t xml:space="preserve"> </w:t>
      </w:r>
      <w:r>
        <w:rPr>
          <w:rFonts w:hint="eastAsia" w:ascii="仿宋" w:hAnsi="仿宋" w:eastAsia="仿宋" w:cs="仿宋"/>
          <w:szCs w:val="20"/>
        </w:rPr>
        <w:t>610-2016）、《环境影响评价技术导则 土壤环境（试行）》（HJ</w:t>
      </w:r>
      <w:r>
        <w:rPr>
          <w:rFonts w:hint="eastAsia" w:ascii="仿宋" w:hAnsi="仿宋" w:eastAsia="仿宋" w:cs="仿宋"/>
          <w:szCs w:val="20"/>
          <w:lang w:val="en-US" w:eastAsia="zh-CN"/>
        </w:rPr>
        <w:t xml:space="preserve"> </w:t>
      </w:r>
      <w:r>
        <w:rPr>
          <w:rFonts w:hint="eastAsia" w:ascii="仿宋" w:hAnsi="仿宋" w:eastAsia="仿宋" w:cs="仿宋"/>
          <w:szCs w:val="20"/>
        </w:rPr>
        <w:t>964-2018）</w:t>
      </w:r>
      <w:r>
        <w:rPr>
          <w:rFonts w:hint="eastAsia" w:ascii="仿宋" w:hAnsi="仿宋" w:eastAsia="仿宋" w:cs="仿宋"/>
          <w:szCs w:val="20"/>
          <w:lang w:eastAsia="zh-CN"/>
        </w:rPr>
        <w:t>等要求，</w:t>
      </w:r>
      <w:r>
        <w:rPr>
          <w:rFonts w:hint="eastAsia" w:ascii="仿宋" w:hAnsi="仿宋" w:eastAsia="仿宋" w:cs="仿宋"/>
          <w:szCs w:val="20"/>
          <w:highlight w:val="none"/>
        </w:rPr>
        <w:t>采取分</w:t>
      </w:r>
      <w:r>
        <w:rPr>
          <w:rFonts w:hint="eastAsia" w:ascii="仿宋" w:hAnsi="仿宋" w:eastAsia="仿宋" w:cs="仿宋"/>
          <w:szCs w:val="20"/>
        </w:rPr>
        <w:t>区防渗措施，建立完善的土壤地下水监测制度并按照要求监测。</w:t>
      </w:r>
    </w:p>
    <w:p w14:paraId="2ACF8215">
      <w:pPr>
        <w:keepNext w:val="0"/>
        <w:keepLines w:val="0"/>
        <w:pageBreakBefore w:val="0"/>
        <w:widowControl w:val="0"/>
        <w:kinsoku/>
        <w:wordWrap/>
        <w:overflowPunct/>
        <w:topLinePunct w:val="0"/>
        <w:autoSpaceDE/>
        <w:autoSpaceDN/>
        <w:bidi w:val="0"/>
        <w:adjustRightInd w:val="0"/>
        <w:snapToGrid w:val="0"/>
        <w:spacing w:line="480" w:lineRule="exact"/>
        <w:ind w:firstLine="640"/>
        <w:rPr>
          <w:rFonts w:hint="eastAsia" w:ascii="仿宋" w:hAnsi="仿宋" w:eastAsia="仿宋" w:cs="仿宋"/>
        </w:rPr>
      </w:pPr>
      <w:r>
        <w:rPr>
          <w:rFonts w:hint="eastAsia" w:ascii="仿宋" w:hAnsi="仿宋" w:eastAsia="仿宋" w:cs="仿宋"/>
          <w:szCs w:val="32"/>
          <w:lang w:val="en-US" w:eastAsia="zh-CN"/>
        </w:rPr>
        <w:t>6</w:t>
      </w:r>
      <w:r>
        <w:rPr>
          <w:rFonts w:hint="eastAsia" w:ascii="仿宋" w:hAnsi="仿宋" w:eastAsia="仿宋" w:cs="仿宋"/>
          <w:szCs w:val="32"/>
        </w:rPr>
        <w:t>.</w:t>
      </w:r>
      <w:r>
        <w:rPr>
          <w:rFonts w:hint="eastAsia" w:ascii="仿宋" w:hAnsi="仿宋" w:eastAsia="仿宋" w:cs="仿宋"/>
        </w:rPr>
        <w:t>建设单位须强化环境风险防范，落实环保设施安全生产要求，项目污染防治设施须与主体工程一起按照安全生产要求设计，有效防范因污染物事故排放或安全生产事故可能引发的环境风险。</w:t>
      </w:r>
    </w:p>
    <w:p w14:paraId="7AC61BC0">
      <w:pPr>
        <w:keepNext w:val="0"/>
        <w:keepLines w:val="0"/>
        <w:pageBreakBefore w:val="0"/>
        <w:widowControl w:val="0"/>
        <w:kinsoku/>
        <w:wordWrap/>
        <w:overflowPunct/>
        <w:topLinePunct w:val="0"/>
        <w:autoSpaceDE/>
        <w:autoSpaceDN/>
        <w:bidi w:val="0"/>
        <w:adjustRightInd w:val="0"/>
        <w:snapToGrid w:val="0"/>
        <w:spacing w:line="480" w:lineRule="exact"/>
        <w:ind w:firstLine="640"/>
        <w:textAlignment w:val="auto"/>
        <w:rPr>
          <w:rFonts w:hint="eastAsia" w:ascii="仿宋" w:hAnsi="仿宋" w:eastAsia="仿宋" w:cs="仿宋"/>
          <w:lang w:val="en-US" w:eastAsia="zh-CN"/>
        </w:rPr>
      </w:pPr>
      <w:r>
        <w:rPr>
          <w:rFonts w:hint="eastAsia" w:ascii="仿宋" w:hAnsi="仿宋" w:eastAsia="仿宋" w:cs="仿宋"/>
          <w:szCs w:val="32"/>
        </w:rPr>
        <w:t>三、本</w:t>
      </w:r>
      <w:r>
        <w:rPr>
          <w:rFonts w:hint="eastAsia" w:ascii="仿宋" w:hAnsi="仿宋" w:eastAsia="仿宋" w:cs="仿宋"/>
        </w:rPr>
        <w:t>项目必须严格落实《报告书》中的运营要求，严格执行环境保护“三同时”制度。项目竣工后，按照规定程序实施竣工环境保护验收，经验收合格后，方可正式投入运行</w:t>
      </w:r>
      <w:r>
        <w:rPr>
          <w:rFonts w:hint="eastAsia" w:ascii="仿宋" w:hAnsi="仿宋" w:eastAsia="仿宋" w:cs="仿宋"/>
          <w:lang w:eastAsia="zh-CN"/>
        </w:rPr>
        <w:t>，</w:t>
      </w:r>
      <w:r>
        <w:rPr>
          <w:rFonts w:hint="eastAsia" w:ascii="仿宋" w:hAnsi="仿宋" w:eastAsia="仿宋" w:cs="仿宋"/>
          <w:lang w:val="en-US" w:eastAsia="zh-CN"/>
        </w:rPr>
        <w:t xml:space="preserve">  </w:t>
      </w:r>
    </w:p>
    <w:p w14:paraId="0B061727">
      <w:pPr>
        <w:keepNext w:val="0"/>
        <w:keepLines w:val="0"/>
        <w:pageBreakBefore w:val="0"/>
        <w:widowControl w:val="0"/>
        <w:kinsoku/>
        <w:wordWrap/>
        <w:overflowPunct/>
        <w:topLinePunct w:val="0"/>
        <w:autoSpaceDE/>
        <w:autoSpaceDN/>
        <w:bidi w:val="0"/>
        <w:adjustRightInd w:val="0"/>
        <w:snapToGrid w:val="0"/>
        <w:spacing w:line="480" w:lineRule="exact"/>
        <w:ind w:firstLine="640"/>
        <w:textAlignment w:val="auto"/>
        <w:rPr>
          <w:rFonts w:hint="eastAsia" w:ascii="仿宋" w:hAnsi="仿宋" w:eastAsia="仿宋" w:cs="仿宋"/>
        </w:rPr>
      </w:pPr>
      <w:r>
        <w:rPr>
          <w:rFonts w:hint="eastAsia" w:ascii="仿宋" w:hAnsi="仿宋" w:eastAsia="仿宋" w:cs="仿宋"/>
          <w:szCs w:val="32"/>
        </w:rPr>
        <w:t>四、</w:t>
      </w:r>
      <w:r>
        <w:rPr>
          <w:rFonts w:hint="eastAsia" w:ascii="仿宋" w:hAnsi="仿宋" w:eastAsia="仿宋" w:cs="仿宋"/>
        </w:rPr>
        <w:t>你公司应在收到本批复20日内，将《报告书》（报批版）及批复文件送至鄂尔多斯市生态环境局</w:t>
      </w:r>
      <w:r>
        <w:rPr>
          <w:rFonts w:hint="eastAsia" w:ascii="仿宋" w:hAnsi="仿宋" w:eastAsia="仿宋" w:cs="仿宋"/>
          <w:lang w:eastAsia="zh-CN"/>
        </w:rPr>
        <w:t>达拉特旗</w:t>
      </w:r>
      <w:r>
        <w:rPr>
          <w:rFonts w:hint="eastAsia" w:ascii="仿宋" w:hAnsi="仿宋" w:eastAsia="仿宋" w:cs="仿宋"/>
        </w:rPr>
        <w:t>分局，我局委托鄂尔多斯市生态环境局达拉特旗分局负责该项目的日常监管工作。</w:t>
      </w:r>
    </w:p>
    <w:p w14:paraId="0012F848">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640"/>
        <w:textAlignment w:val="auto"/>
        <w:outlineLvl w:val="9"/>
        <w:rPr>
          <w:rFonts w:hint="eastAsia" w:ascii="仿宋" w:hAnsi="仿宋" w:eastAsia="仿宋" w:cs="仿宋"/>
          <w:color w:val="auto"/>
          <w:kern w:val="2"/>
          <w:sz w:val="32"/>
          <w:szCs w:val="24"/>
          <w:highlight w:val="none"/>
          <w:lang w:val="en-US" w:eastAsia="zh-CN" w:bidi="ar-SA"/>
        </w:rPr>
      </w:pPr>
      <w:r>
        <w:rPr>
          <w:rFonts w:hint="eastAsia" w:ascii="仿宋" w:hAnsi="仿宋" w:eastAsia="仿宋" w:cs="仿宋"/>
          <w:color w:val="auto"/>
          <w:szCs w:val="32"/>
          <w:highlight w:val="none"/>
          <w:lang w:val="en-US" w:eastAsia="zh-CN"/>
        </w:rPr>
        <w:t>五</w:t>
      </w:r>
      <w:r>
        <w:rPr>
          <w:rFonts w:hint="eastAsia" w:ascii="仿宋" w:hAnsi="仿宋" w:eastAsia="仿宋" w:cs="仿宋"/>
          <w:color w:val="auto"/>
          <w:szCs w:val="32"/>
          <w:highlight w:val="none"/>
        </w:rPr>
        <w:t>、</w:t>
      </w:r>
      <w:r>
        <w:rPr>
          <w:rFonts w:hint="eastAsia" w:ascii="仿宋" w:hAnsi="仿宋" w:eastAsia="仿宋" w:cs="仿宋"/>
          <w:color w:val="auto"/>
          <w:kern w:val="2"/>
          <w:sz w:val="32"/>
          <w:szCs w:val="24"/>
          <w:highlight w:val="none"/>
          <w:lang w:val="en-US" w:eastAsia="zh-CN" w:bidi="ar-SA"/>
        </w:rPr>
        <w:t>该项目从批准之日起超过5年方决定开工建设，其环评文件应重新审核。如果建设地点、规模、防治污染和防止生态破坏的措施等发生重大变化时，需重新报批环评文件。</w:t>
      </w:r>
    </w:p>
    <w:p w14:paraId="040462E6">
      <w:pPr>
        <w:keepNext w:val="0"/>
        <w:keepLines w:val="0"/>
        <w:pageBreakBefore w:val="0"/>
        <w:widowControl w:val="0"/>
        <w:kinsoku/>
        <w:wordWrap/>
        <w:overflowPunct/>
        <w:topLinePunct w:val="0"/>
        <w:autoSpaceDE/>
        <w:autoSpaceDN/>
        <w:bidi w:val="0"/>
        <w:adjustRightInd w:val="0"/>
        <w:snapToGrid w:val="0"/>
        <w:spacing w:line="500" w:lineRule="exact"/>
        <w:ind w:firstLine="4800" w:firstLineChars="1500"/>
        <w:jc w:val="both"/>
        <w:textAlignment w:val="auto"/>
        <w:outlineLvl w:val="9"/>
        <w:rPr>
          <w:rFonts w:hint="eastAsia" w:ascii="仿宋" w:hAnsi="仿宋" w:eastAsia="仿宋" w:cs="仿宋"/>
          <w:color w:val="auto"/>
          <w:szCs w:val="32"/>
          <w:highlight w:val="none"/>
        </w:rPr>
      </w:pPr>
    </w:p>
    <w:p w14:paraId="2F833AED">
      <w:pPr>
        <w:keepNext w:val="0"/>
        <w:keepLines w:val="0"/>
        <w:pageBreakBefore w:val="0"/>
        <w:widowControl w:val="0"/>
        <w:kinsoku/>
        <w:wordWrap/>
        <w:overflowPunct/>
        <w:topLinePunct w:val="0"/>
        <w:autoSpaceDE/>
        <w:autoSpaceDN/>
        <w:bidi w:val="0"/>
        <w:adjustRightInd w:val="0"/>
        <w:snapToGrid w:val="0"/>
        <w:spacing w:line="500" w:lineRule="exact"/>
        <w:ind w:left="0" w:leftChars="0" w:firstLine="0" w:firstLineChars="0"/>
        <w:jc w:val="both"/>
        <w:textAlignment w:val="auto"/>
        <w:outlineLvl w:val="9"/>
        <w:rPr>
          <w:rFonts w:hint="eastAsia" w:ascii="仿宋" w:hAnsi="仿宋" w:eastAsia="仿宋" w:cs="仿宋"/>
          <w:color w:val="auto"/>
          <w:szCs w:val="32"/>
          <w:highlight w:val="none"/>
        </w:rPr>
      </w:pPr>
    </w:p>
    <w:p w14:paraId="3B669728">
      <w:pPr>
        <w:keepNext w:val="0"/>
        <w:keepLines w:val="0"/>
        <w:pageBreakBefore w:val="0"/>
        <w:widowControl w:val="0"/>
        <w:kinsoku/>
        <w:wordWrap/>
        <w:overflowPunct/>
        <w:topLinePunct w:val="0"/>
        <w:autoSpaceDE/>
        <w:autoSpaceDN/>
        <w:bidi w:val="0"/>
        <w:adjustRightInd w:val="0"/>
        <w:snapToGrid w:val="0"/>
        <w:spacing w:line="500" w:lineRule="exact"/>
        <w:ind w:firstLine="4800" w:firstLineChars="1500"/>
        <w:jc w:val="both"/>
        <w:textAlignment w:val="auto"/>
        <w:outlineLvl w:val="9"/>
        <w:rPr>
          <w:rFonts w:hint="eastAsia" w:ascii="仿宋" w:hAnsi="仿宋" w:eastAsia="仿宋" w:cs="仿宋"/>
          <w:color w:val="auto"/>
          <w:szCs w:val="32"/>
          <w:highlight w:val="none"/>
        </w:rPr>
      </w:pPr>
      <w:r>
        <w:rPr>
          <w:rFonts w:hint="eastAsia" w:ascii="仿宋" w:hAnsi="仿宋" w:eastAsia="仿宋" w:cs="仿宋"/>
          <w:color w:val="auto"/>
          <w:szCs w:val="32"/>
          <w:highlight w:val="none"/>
        </w:rPr>
        <w:t>鄂尔多斯市生态环境局</w:t>
      </w:r>
    </w:p>
    <w:p w14:paraId="48AC66A7">
      <w:pPr>
        <w:keepNext w:val="0"/>
        <w:keepLines w:val="0"/>
        <w:pageBreakBefore w:val="0"/>
        <w:widowControl w:val="0"/>
        <w:kinsoku/>
        <w:wordWrap/>
        <w:overflowPunct/>
        <w:topLinePunct w:val="0"/>
        <w:autoSpaceDE/>
        <w:autoSpaceDN/>
        <w:bidi w:val="0"/>
        <w:adjustRightInd w:val="0"/>
        <w:snapToGrid w:val="0"/>
        <w:spacing w:line="500" w:lineRule="exact"/>
        <w:ind w:right="320"/>
        <w:jc w:val="both"/>
        <w:textAlignment w:val="auto"/>
        <w:outlineLvl w:val="9"/>
        <w:rPr>
          <w:rFonts w:hint="eastAsia" w:ascii="仿宋" w:hAnsi="仿宋" w:eastAsia="仿宋" w:cs="仿宋"/>
          <w:color w:val="auto"/>
          <w:szCs w:val="32"/>
          <w:highlight w:val="none"/>
        </w:rPr>
      </w:pPr>
      <w:r>
        <w:rPr>
          <w:rFonts w:hint="eastAsia" w:ascii="仿宋" w:hAnsi="仿宋" w:eastAsia="仿宋" w:cs="仿宋"/>
          <w:color w:val="auto"/>
          <w:szCs w:val="32"/>
          <w:highlight w:val="none"/>
          <w:lang w:val="en-US" w:eastAsia="zh-CN"/>
        </w:rPr>
        <w:t xml:space="preserve">                            </w:t>
      </w:r>
      <w:r>
        <w:rPr>
          <w:rFonts w:hint="eastAsia" w:ascii="仿宋" w:hAnsi="仿宋" w:eastAsia="仿宋" w:cs="仿宋"/>
          <w:color w:val="auto"/>
          <w:szCs w:val="32"/>
          <w:highlight w:val="none"/>
        </w:rPr>
        <w:t>20</w:t>
      </w:r>
      <w:r>
        <w:rPr>
          <w:rFonts w:hint="eastAsia" w:ascii="仿宋" w:hAnsi="仿宋" w:eastAsia="仿宋" w:cs="仿宋"/>
          <w:color w:val="auto"/>
          <w:szCs w:val="32"/>
          <w:highlight w:val="none"/>
          <w:lang w:val="en-US" w:eastAsia="zh-CN"/>
        </w:rPr>
        <w:t>24</w:t>
      </w:r>
      <w:r>
        <w:rPr>
          <w:rFonts w:hint="eastAsia" w:ascii="仿宋" w:hAnsi="仿宋" w:eastAsia="仿宋" w:cs="仿宋"/>
          <w:color w:val="auto"/>
          <w:szCs w:val="32"/>
          <w:highlight w:val="none"/>
        </w:rPr>
        <w:t>年</w:t>
      </w:r>
      <w:r>
        <w:rPr>
          <w:rFonts w:hint="eastAsia" w:ascii="仿宋" w:hAnsi="仿宋" w:eastAsia="仿宋" w:cs="仿宋"/>
          <w:color w:val="auto"/>
          <w:szCs w:val="32"/>
          <w:highlight w:val="none"/>
          <w:lang w:val="en-US" w:eastAsia="zh-CN"/>
        </w:rPr>
        <w:t>10月15</w:t>
      </w:r>
      <w:r>
        <w:rPr>
          <w:rFonts w:hint="eastAsia" w:ascii="仿宋" w:hAnsi="仿宋" w:eastAsia="仿宋" w:cs="仿宋"/>
          <w:color w:val="auto"/>
          <w:szCs w:val="32"/>
          <w:highlight w:val="none"/>
        </w:rPr>
        <w:t>日</w:t>
      </w:r>
    </w:p>
    <w:p w14:paraId="0E5C8DAB">
      <w:pPr>
        <w:keepNext w:val="0"/>
        <w:keepLines w:val="0"/>
        <w:pageBreakBefore w:val="0"/>
        <w:widowControl w:val="0"/>
        <w:kinsoku/>
        <w:wordWrap/>
        <w:overflowPunct/>
        <w:topLinePunct w:val="0"/>
        <w:autoSpaceDE/>
        <w:autoSpaceDN/>
        <w:bidi w:val="0"/>
        <w:adjustRightInd w:val="0"/>
        <w:snapToGrid w:val="0"/>
        <w:spacing w:line="500" w:lineRule="exact"/>
        <w:ind w:right="320"/>
        <w:jc w:val="both"/>
        <w:textAlignment w:val="auto"/>
        <w:outlineLvl w:val="9"/>
        <w:rPr>
          <w:rFonts w:hint="eastAsia" w:ascii="仿宋" w:hAnsi="仿宋" w:eastAsia="仿宋" w:cs="仿宋"/>
          <w:color w:val="auto"/>
          <w:szCs w:val="32"/>
          <w:highlight w:val="none"/>
          <w:lang w:eastAsia="zh-CN"/>
        </w:rPr>
      </w:pPr>
    </w:p>
    <w:p w14:paraId="129BB0F3">
      <w:pPr>
        <w:keepNext w:val="0"/>
        <w:keepLines w:val="0"/>
        <w:pageBreakBefore w:val="0"/>
        <w:widowControl w:val="0"/>
        <w:kinsoku/>
        <w:wordWrap/>
        <w:overflowPunct/>
        <w:topLinePunct w:val="0"/>
        <w:autoSpaceDE/>
        <w:autoSpaceDN/>
        <w:bidi w:val="0"/>
        <w:adjustRightInd w:val="0"/>
        <w:snapToGrid w:val="0"/>
        <w:spacing w:line="500" w:lineRule="exact"/>
        <w:ind w:right="320"/>
        <w:jc w:val="both"/>
        <w:textAlignment w:val="auto"/>
        <w:outlineLvl w:val="9"/>
        <w:rPr>
          <w:rFonts w:hint="eastAsia" w:ascii="仿宋" w:hAnsi="仿宋" w:eastAsia="仿宋" w:cs="仿宋"/>
          <w:color w:val="auto"/>
          <w:szCs w:val="32"/>
          <w:highlight w:val="none"/>
          <w:lang w:eastAsia="zh-CN"/>
        </w:rPr>
      </w:pPr>
    </w:p>
    <w:p w14:paraId="7DF9A605">
      <w:pPr>
        <w:keepNext w:val="0"/>
        <w:keepLines w:val="0"/>
        <w:pageBreakBefore w:val="0"/>
        <w:widowControl w:val="0"/>
        <w:kinsoku/>
        <w:wordWrap/>
        <w:overflowPunct/>
        <w:topLinePunct w:val="0"/>
        <w:autoSpaceDE/>
        <w:autoSpaceDN/>
        <w:bidi w:val="0"/>
        <w:adjustRightInd w:val="0"/>
        <w:snapToGrid w:val="0"/>
        <w:spacing w:line="500" w:lineRule="exact"/>
        <w:ind w:right="320"/>
        <w:jc w:val="both"/>
        <w:textAlignment w:val="auto"/>
        <w:outlineLvl w:val="9"/>
        <w:rPr>
          <w:rFonts w:hint="eastAsia" w:ascii="仿宋" w:hAnsi="仿宋" w:eastAsia="仿宋" w:cs="仿宋"/>
          <w:color w:val="auto"/>
          <w:szCs w:val="32"/>
          <w:highlight w:val="none"/>
          <w:lang w:eastAsia="zh-CN"/>
        </w:rPr>
      </w:pPr>
    </w:p>
    <w:p w14:paraId="2A5752A2">
      <w:pPr>
        <w:keepNext w:val="0"/>
        <w:keepLines w:val="0"/>
        <w:pageBreakBefore w:val="0"/>
        <w:widowControl w:val="0"/>
        <w:kinsoku/>
        <w:wordWrap/>
        <w:overflowPunct/>
        <w:topLinePunct w:val="0"/>
        <w:autoSpaceDE/>
        <w:autoSpaceDN/>
        <w:bidi w:val="0"/>
        <w:adjustRightInd w:val="0"/>
        <w:snapToGrid w:val="0"/>
        <w:spacing w:line="500" w:lineRule="exact"/>
        <w:ind w:right="320"/>
        <w:jc w:val="both"/>
        <w:textAlignment w:val="auto"/>
        <w:outlineLvl w:val="9"/>
        <w:rPr>
          <w:rFonts w:hint="eastAsia" w:ascii="仿宋" w:hAnsi="仿宋" w:eastAsia="仿宋" w:cs="仿宋"/>
          <w:color w:val="auto"/>
          <w:szCs w:val="32"/>
          <w:highlight w:val="none"/>
          <w:lang w:eastAsia="zh-CN"/>
        </w:rPr>
      </w:pPr>
    </w:p>
    <w:p w14:paraId="4967E1F9">
      <w:pPr>
        <w:keepNext w:val="0"/>
        <w:keepLines w:val="0"/>
        <w:pageBreakBefore w:val="0"/>
        <w:widowControl w:val="0"/>
        <w:kinsoku/>
        <w:wordWrap/>
        <w:overflowPunct/>
        <w:topLinePunct w:val="0"/>
        <w:autoSpaceDE/>
        <w:autoSpaceDN/>
        <w:bidi w:val="0"/>
        <w:adjustRightInd w:val="0"/>
        <w:snapToGrid w:val="0"/>
        <w:spacing w:line="500" w:lineRule="exact"/>
        <w:ind w:right="320"/>
        <w:jc w:val="both"/>
        <w:textAlignment w:val="auto"/>
        <w:outlineLvl w:val="9"/>
        <w:rPr>
          <w:rFonts w:hint="eastAsia" w:ascii="仿宋" w:hAnsi="仿宋" w:eastAsia="仿宋" w:cs="仿宋"/>
          <w:color w:val="auto"/>
          <w:szCs w:val="32"/>
          <w:highlight w:val="none"/>
          <w:lang w:eastAsia="zh-CN"/>
        </w:rPr>
      </w:pPr>
    </w:p>
    <w:p w14:paraId="7F7F6A23">
      <w:pPr>
        <w:keepNext w:val="0"/>
        <w:keepLines w:val="0"/>
        <w:pageBreakBefore w:val="0"/>
        <w:widowControl w:val="0"/>
        <w:kinsoku/>
        <w:wordWrap/>
        <w:overflowPunct/>
        <w:topLinePunct w:val="0"/>
        <w:autoSpaceDE/>
        <w:autoSpaceDN/>
        <w:bidi w:val="0"/>
        <w:adjustRightInd w:val="0"/>
        <w:snapToGrid w:val="0"/>
        <w:spacing w:line="500" w:lineRule="exact"/>
        <w:ind w:right="320"/>
        <w:jc w:val="both"/>
        <w:textAlignment w:val="auto"/>
        <w:outlineLvl w:val="9"/>
        <w:rPr>
          <w:rFonts w:hint="eastAsia" w:ascii="仿宋" w:hAnsi="仿宋" w:eastAsia="仿宋" w:cs="仿宋"/>
          <w:color w:val="auto"/>
          <w:szCs w:val="32"/>
          <w:highlight w:val="none"/>
          <w:lang w:eastAsia="zh-CN"/>
        </w:rPr>
      </w:pPr>
    </w:p>
    <w:p w14:paraId="0130622D">
      <w:pPr>
        <w:keepNext w:val="0"/>
        <w:keepLines w:val="0"/>
        <w:pageBreakBefore w:val="0"/>
        <w:widowControl w:val="0"/>
        <w:kinsoku/>
        <w:wordWrap/>
        <w:overflowPunct/>
        <w:topLinePunct w:val="0"/>
        <w:autoSpaceDE/>
        <w:autoSpaceDN/>
        <w:bidi w:val="0"/>
        <w:spacing w:line="520" w:lineRule="exact"/>
        <w:ind w:left="840" w:hanging="840" w:hangingChars="3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5080</wp:posOffset>
                </wp:positionV>
                <wp:extent cx="5687695"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4pt;height:0pt;width:447.85pt;z-index:251660288;mso-width-relative:page;mso-height-relative:page;" filled="f" stroked="t" coordsize="21600,21600" o:gfxdata="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aelzLNEAAAACAQAADwAAAAAAAAABACAAAAAiAAAAZHJzL2Rvd25yZXYueG1sUEsBAhQAFAAA&#10;AAgAh07iQOt7KfP2AQAA5AMAAA4AAAAAAAAAAQAgAAAAIAEAAGRycy9lMm9Eb2MueG1sUEsFBgAA&#10;AAAGAAYAWQEAAIgFAAAAAA==&#10;">
                <v:fill on="f" focussize="0,0"/>
                <v:stroke color="#000000" joinstyle="round"/>
                <v:imagedata o:title=""/>
                <o:lock v:ext="edit" aspectratio="f"/>
              </v:line>
            </w:pict>
          </mc:Fallback>
        </mc:AlternateContent>
      </w:r>
      <w:r>
        <w:rPr>
          <w:rFonts w:hint="eastAsia" w:ascii="仿宋" w:hAnsi="仿宋" w:eastAsia="仿宋" w:cs="仿宋"/>
          <w:color w:val="auto"/>
          <w:sz w:val="28"/>
          <w:szCs w:val="28"/>
          <w:highlight w:val="none"/>
        </w:rPr>
        <w:t>抄送：鄂尔多斯市生态环境局达拉特旗分局</w:t>
      </w:r>
      <w:r>
        <w:rPr>
          <w:rFonts w:hint="eastAsia" w:ascii="仿宋" w:hAnsi="仿宋" w:eastAsia="仿宋" w:cs="仿宋"/>
          <w:color w:val="auto"/>
          <w:sz w:val="28"/>
          <w:szCs w:val="28"/>
          <w:highlight w:val="none"/>
          <w:lang w:eastAsia="zh-CN"/>
        </w:rPr>
        <w:t>，鄂尔多斯</w:t>
      </w:r>
      <w:r>
        <w:rPr>
          <w:rFonts w:hint="eastAsia" w:ascii="仿宋" w:hAnsi="仿宋" w:eastAsia="仿宋" w:cs="仿宋"/>
          <w:color w:val="auto"/>
          <w:sz w:val="28"/>
          <w:szCs w:val="28"/>
          <w:highlight w:val="none"/>
        </w:rPr>
        <w:t>市生态环境综合行政执</w:t>
      </w:r>
      <w:r>
        <w:rPr>
          <w:rFonts w:hint="eastAsia" w:ascii="仿宋" w:hAnsi="仿宋" w:eastAsia="仿宋" w:cs="仿宋"/>
          <w:color w:val="auto"/>
          <w:sz w:val="28"/>
          <w:szCs w:val="28"/>
          <w:highlight w:val="none"/>
          <w:lang w:val="en-US" w:eastAsia="zh-CN"/>
        </w:rPr>
        <w:t>法</w:t>
      </w:r>
      <w:r>
        <w:rPr>
          <w:rFonts w:hint="eastAsia" w:ascii="仿宋" w:hAnsi="仿宋" w:eastAsia="仿宋" w:cs="仿宋"/>
          <w:color w:val="auto"/>
          <w:sz w:val="28"/>
          <w:szCs w:val="28"/>
          <w:highlight w:val="none"/>
        </w:rPr>
        <w:t>支队</w:t>
      </w:r>
      <w:r>
        <w:rPr>
          <w:rFonts w:hint="eastAsia" w:ascii="仿宋" w:hAnsi="仿宋" w:eastAsia="仿宋" w:cs="仿宋"/>
          <w:color w:val="auto"/>
          <w:sz w:val="28"/>
          <w:szCs w:val="28"/>
          <w:highlight w:val="none"/>
          <w:lang w:eastAsia="zh-CN"/>
        </w:rPr>
        <w:t>，鄂尔多斯</w:t>
      </w:r>
      <w:r>
        <w:rPr>
          <w:rFonts w:hint="eastAsia" w:ascii="仿宋" w:hAnsi="仿宋" w:eastAsia="仿宋" w:cs="仿宋"/>
          <w:b w:val="0"/>
          <w:bCs/>
          <w:sz w:val="28"/>
          <w:szCs w:val="28"/>
          <w:highlight w:val="none"/>
          <w:lang w:eastAsia="zh-CN"/>
        </w:rPr>
        <w:t>市生态环境局综合保障中心，</w:t>
      </w:r>
      <w:r>
        <w:rPr>
          <w:rFonts w:hint="eastAsia" w:ascii="仿宋" w:hAnsi="仿宋" w:eastAsia="仿宋" w:cs="仿宋"/>
          <w:color w:val="auto"/>
          <w:sz w:val="28"/>
          <w:szCs w:val="28"/>
          <w:highlight w:val="none"/>
          <w:lang w:val="en-US" w:eastAsia="zh-CN"/>
        </w:rPr>
        <w:t>内蒙古泽郡生态环境科技有限公司。</w:t>
      </w:r>
    </w:p>
    <w:p w14:paraId="5820CBFF">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0" w:firstLineChars="0"/>
        <w:textAlignment w:val="auto"/>
        <w:outlineLvl w:val="9"/>
        <w:rPr>
          <w:rFonts w:hint="eastAsia" w:ascii="仿宋" w:hAnsi="仿宋" w:eastAsia="仿宋" w:cs="仿宋"/>
          <w:sz w:val="28"/>
          <w:szCs w:val="28"/>
        </w:rPr>
      </w:pPr>
      <w:r>
        <w:rPr>
          <w:rFonts w:hint="eastAsia" w:ascii="仿宋" w:hAnsi="仿宋" w:eastAsia="仿宋" w:cs="仿宋"/>
          <w:color w:val="auto"/>
          <w:sz w:val="28"/>
          <w:szCs w:val="28"/>
          <w:highlight w:val="none"/>
        </w:rPr>
        <mc:AlternateContent>
          <mc:Choice Requires="wps">
            <w:drawing>
              <wp:anchor distT="0" distB="0" distL="114300" distR="114300" simplePos="0" relativeHeight="251662336" behindDoc="0" locked="0" layoutInCell="1" allowOverlap="1">
                <wp:simplePos x="0" y="0"/>
                <wp:positionH relativeFrom="column">
                  <wp:posOffset>-3175</wp:posOffset>
                </wp:positionH>
                <wp:positionV relativeFrom="paragraph">
                  <wp:posOffset>434340</wp:posOffset>
                </wp:positionV>
                <wp:extent cx="5687695"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25pt;margin-top:34.2pt;height:0pt;width:447.85pt;z-index:251662336;mso-width-relative:page;mso-height-relative:page;" filled="f" stroked="t" coordsize="21600,21600" o:gfxdata="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PjPGJrVAAAABwEAAA8AAAAAAAAAAQAgAAAAIgAAAGRycy9kb3ducmV2LnhtbFBLAQIU&#10;ABQAAAAIAIdO4kD6EE2e9gEAAOQDAAAOAAAAAAAAAAEAIAAAACQBAABkcnMvZTJvRG9jLnhtbFBL&#10;BQYAAAAABgAGAFkBAACMBQAAAAA=&#10;">
                <v:fill on="f" focussize="0,0"/>
                <v:stroke color="#000000" joinstyle="round"/>
                <v:imagedata o:title=""/>
                <o:lock v:ext="edit" aspectratio="f"/>
              </v:line>
            </w:pict>
          </mc:Fallback>
        </mc:AlternateContent>
      </w:r>
      <w:r>
        <w:rPr>
          <w:rFonts w:hint="eastAsia" w:ascii="仿宋" w:hAnsi="仿宋" w:eastAsia="仿宋" w:cs="仿宋"/>
          <w:color w:val="auto"/>
          <w:sz w:val="28"/>
          <w:szCs w:val="28"/>
          <w:highlight w:val="none"/>
        </w:rPr>
        <w:t xml:space="preserve">鄂尔多斯市生态环境局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20</w:t>
      </w:r>
      <w:r>
        <w:rPr>
          <w:rFonts w:hint="eastAsia" w:ascii="仿宋" w:hAnsi="仿宋" w:eastAsia="仿宋" w:cs="仿宋"/>
          <w:color w:val="auto"/>
          <w:sz w:val="28"/>
          <w:szCs w:val="28"/>
          <w:highlight w:val="none"/>
          <w:lang w:val="en-US" w:eastAsia="zh-CN"/>
        </w:rPr>
        <w:t>24</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10</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15</w:t>
      </w:r>
      <w:r>
        <w:rPr>
          <w:rFonts w:hint="eastAsia" w:ascii="仿宋" w:hAnsi="仿宋" w:eastAsia="仿宋" w:cs="仿宋"/>
          <w:color w:val="auto"/>
          <w:sz w:val="28"/>
          <w:szCs w:val="28"/>
          <w:highlight w:val="none"/>
        </w:rPr>
        <w:t>日印发</w:t>
      </w:r>
      <w:r>
        <w:rPr>
          <w:rFonts w:hint="eastAsia" w:ascii="仿宋" w:hAnsi="仿宋" w:eastAsia="仿宋" w:cs="仿宋"/>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7620</wp:posOffset>
                </wp:positionV>
                <wp:extent cx="5687695"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pt;width:447.85pt;z-index:251661312;mso-width-relative:page;mso-height-relative:page;" filled="f" stroked="t" coordsize="21600,21600" o:gfxdata="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L9t2ftIAAAAEAQAADwAAAAAAAAABACAAAAAiAAAAZHJzL2Rvd25yZXYueG1sUEsBAhQAFAAA&#10;AAgAh07iQNjGhUT1AQAA5AMAAA4AAAAAAAAAAQAgAAAAIQEAAGRycy9lMm9Eb2MueG1sUEsFBgAA&#10;AAAGAAYAWQEAAIgFAAAAAA==&#10;">
                <v:fill on="f" focussize="0,0"/>
                <v:stroke color="#000000" joinstyle="round"/>
                <v:imagedata o:title=""/>
                <o:lock v:ext="edit" aspectratio="f"/>
              </v:line>
            </w:pict>
          </mc:Fallback>
        </mc:AlternateContent>
      </w:r>
      <w:r>
        <w:rPr>
          <w:rFonts w:hint="eastAsia" w:ascii="仿宋" w:hAnsi="仿宋" w:eastAsia="仿宋" w:cs="仿宋"/>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7620</wp:posOffset>
                </wp:positionV>
                <wp:extent cx="5687695" cy="0"/>
                <wp:effectExtent l="0" t="0" r="1905" b="0"/>
                <wp:wrapNone/>
                <wp:docPr id="52992888" name="直线 5"/>
                <wp:cNvGraphicFramePr/>
                <a:graphic xmlns:a="http://schemas.openxmlformats.org/drawingml/2006/main">
                  <a:graphicData uri="http://schemas.microsoft.com/office/word/2010/wordprocessingShape">
                    <wps:wsp>
                      <wps:cNvCnPr/>
                      <wps:spPr bwMode="auto">
                        <a:xfrm>
                          <a:off x="0" y="0"/>
                          <a:ext cx="5687695" cy="0"/>
                        </a:xfrm>
                        <a:prstGeom prst="line">
                          <a:avLst/>
                        </a:prstGeom>
                        <a:noFill/>
                        <a:ln w="9525" cmpd="sng">
                          <a:solidFill>
                            <a:srgbClr val="000000"/>
                          </a:solidFill>
                          <a:round/>
                        </a:ln>
                      </wps:spPr>
                      <wps:bodyPr/>
                    </wps:wsp>
                  </a:graphicData>
                </a:graphic>
              </wp:anchor>
            </w:drawing>
          </mc:Choice>
          <mc:Fallback>
            <w:pict>
              <v:line id="直线 5" o:spid="_x0000_s1026" o:spt="20" style="position:absolute;left:0pt;margin-left:0pt;margin-top:0.6pt;height:0pt;width:447.85pt;z-index:251659264;mso-width-relative:page;mso-height-relative:page;" filled="f" stroked="t" coordsize="21600,21600" o:gfxdata="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v23Z+0gAAAAQBAAAPAAAAAAAAAAEAIAAAACIAAABkcnMvZG93bnJldi54&#10;bWxQSwECFAAUAAAACACHTuJAsN2wIccBAACBAwAADgAAAAAAAAABACAAAAAhAQAAZHJzL2Uyb0Rv&#10;Yy54bWxQSwUGAAAAAAYABgBZAQAAWgUAAAAA&#10;">
                <v:fill on="f" focussize="0,0"/>
                <v:stroke color="#000000" joinstyle="round"/>
                <v:imagedata o:title=""/>
                <o:lock v:ext="edit" aspectratio="f"/>
              </v:line>
            </w:pict>
          </mc:Fallback>
        </mc:AlternateConten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588" w:left="1588"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20B0604020202020204"/>
    <w:charset w:val="00"/>
    <w:family w:val="roman"/>
    <w:pitch w:val="default"/>
    <w:sig w:usb0="00000000" w:usb1="00000000" w:usb2="00000010"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altName w:val="仿宋_GB2312"/>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E5860">
    <w:pPr>
      <w:pStyle w:val="6"/>
      <w:tabs>
        <w:tab w:val="clear" w:pos="4153"/>
        <w:tab w:val="clear" w:pos="8306"/>
      </w:tabs>
      <w:ind w:firstLine="560"/>
      <w:jc w:val="right"/>
      <w:rPr>
        <w:rFonts w:hint="eastAsia" w:ascii="宋体"/>
        <w:sz w:val="28"/>
        <w:szCs w:val="28"/>
      </w:rPr>
    </w:pPr>
    <w:r>
      <w:rPr>
        <w:rFonts w:hint="eastAsia" w:ascii="宋体"/>
        <w:sz w:val="28"/>
        <w:szCs w:val="28"/>
      </w:rPr>
      <w:fldChar w:fldCharType="begin"/>
    </w:r>
    <w:r>
      <w:rPr>
        <w:rFonts w:hint="eastAsia" w:ascii="宋体"/>
        <w:sz w:val="28"/>
        <w:szCs w:val="28"/>
      </w:rPr>
      <w:instrText xml:space="preserve"> PAGE   \* MERGEFORMAT </w:instrText>
    </w:r>
    <w:r>
      <w:rPr>
        <w:rFonts w:hint="eastAsia" w:ascii="宋体"/>
        <w:sz w:val="28"/>
        <w:szCs w:val="28"/>
      </w:rPr>
      <w:fldChar w:fldCharType="separate"/>
    </w:r>
    <w:r>
      <w:rPr>
        <w:rFonts w:ascii="宋体"/>
        <w:sz w:val="28"/>
        <w:szCs w:val="28"/>
        <w:lang w:val="zh-CN" w:eastAsia="zh-CN"/>
      </w:rPr>
      <w:t>-</w:t>
    </w:r>
    <w:r>
      <w:rPr>
        <w:rFonts w:ascii="宋体"/>
        <w:sz w:val="28"/>
        <w:szCs w:val="28"/>
        <w:lang w:val="en-US" w:eastAsia="zh-CN"/>
      </w:rPr>
      <w:t xml:space="preserve"> 4 -</w:t>
    </w:r>
    <w:r>
      <w:rPr>
        <w:rFonts w:hint="eastAsia" w:asci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334E8">
    <w:pPr>
      <w:pStyle w:val="6"/>
      <w:tabs>
        <w:tab w:val="clear" w:pos="4153"/>
        <w:tab w:val="clear" w:pos="8306"/>
      </w:tabs>
      <w:ind w:firstLine="560"/>
      <w:rPr>
        <w:rFonts w:hint="eastAsia" w:ascii="宋体"/>
        <w:sz w:val="28"/>
        <w:szCs w:val="28"/>
      </w:rPr>
    </w:pPr>
    <w:r>
      <w:rPr>
        <w:rFonts w:hint="eastAsia" w:ascii="宋体"/>
        <w:sz w:val="28"/>
        <w:szCs w:val="28"/>
      </w:rPr>
      <w:fldChar w:fldCharType="begin"/>
    </w:r>
    <w:r>
      <w:rPr>
        <w:rFonts w:hint="eastAsia" w:ascii="宋体"/>
        <w:sz w:val="28"/>
        <w:szCs w:val="28"/>
      </w:rPr>
      <w:instrText xml:space="preserve"> PAGE   \* MERGEFORMAT </w:instrText>
    </w:r>
    <w:r>
      <w:rPr>
        <w:rFonts w:hint="eastAsia" w:ascii="宋体"/>
        <w:sz w:val="28"/>
        <w:szCs w:val="28"/>
      </w:rPr>
      <w:fldChar w:fldCharType="separate"/>
    </w:r>
    <w:r>
      <w:rPr>
        <w:rFonts w:ascii="宋体"/>
        <w:sz w:val="28"/>
        <w:szCs w:val="28"/>
        <w:lang w:val="zh-CN" w:eastAsia="zh-CN"/>
      </w:rPr>
      <w:t>-</w:t>
    </w:r>
    <w:r>
      <w:rPr>
        <w:rFonts w:ascii="宋体"/>
        <w:sz w:val="28"/>
        <w:szCs w:val="28"/>
        <w:lang w:val="en-US" w:eastAsia="zh-CN"/>
      </w:rPr>
      <w:t xml:space="preserve"> 4 -</w:t>
    </w:r>
    <w:r>
      <w:rPr>
        <w:rFonts w:hint="eastAsia" w:ascii="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F192F">
    <w:pPr>
      <w:pStyle w:val="6"/>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83AD1">
    <w:pPr>
      <w:pStyle w:val="7"/>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98C3B">
    <w:pPr>
      <w:pStyle w:val="7"/>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6E580">
    <w:pPr>
      <w:pStyle w:val="7"/>
      <w:pBdr>
        <w:bottom w:val="none" w:color="auto" w:sz="0" w:space="0"/>
      </w:pBdr>
      <w:tabs>
        <w:tab w:val="clear" w:pos="4153"/>
        <w:tab w:val="clear" w:pos="8306"/>
      </w:tabs>
      <w:ind w:firstLine="360"/>
    </w:pPr>
  </w:p>
  <w:p w14:paraId="684B8A90">
    <w:pPr>
      <w:ind w:firstLine="6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FC8437"/>
    <w:multiLevelType w:val="singleLevel"/>
    <w:tmpl w:val="6AFC843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defaultTabStop w:val="420"/>
  <w:drawingGridVerticalSpacing w:val="156"/>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U5ZjkyNWM5NDA5YzI0MWZjNTA3MDA1ZjJiYmIxN2UifQ=="/>
  </w:docVars>
  <w:rsids>
    <w:rsidRoot w:val="00172A27"/>
    <w:rsid w:val="000010B2"/>
    <w:rsid w:val="00001F67"/>
    <w:rsid w:val="00004D61"/>
    <w:rsid w:val="0001010B"/>
    <w:rsid w:val="00010EAD"/>
    <w:rsid w:val="00012458"/>
    <w:rsid w:val="000129A7"/>
    <w:rsid w:val="00013172"/>
    <w:rsid w:val="00015DD6"/>
    <w:rsid w:val="00016067"/>
    <w:rsid w:val="00016B64"/>
    <w:rsid w:val="00022A2B"/>
    <w:rsid w:val="000232B9"/>
    <w:rsid w:val="0002488F"/>
    <w:rsid w:val="000266AE"/>
    <w:rsid w:val="00031A1C"/>
    <w:rsid w:val="0003615E"/>
    <w:rsid w:val="00037FE3"/>
    <w:rsid w:val="0004214D"/>
    <w:rsid w:val="000432CB"/>
    <w:rsid w:val="000432DB"/>
    <w:rsid w:val="00053836"/>
    <w:rsid w:val="00054A64"/>
    <w:rsid w:val="00054D2D"/>
    <w:rsid w:val="00062100"/>
    <w:rsid w:val="000670A5"/>
    <w:rsid w:val="00067842"/>
    <w:rsid w:val="00067A5D"/>
    <w:rsid w:val="00076502"/>
    <w:rsid w:val="000849E0"/>
    <w:rsid w:val="00091048"/>
    <w:rsid w:val="000912FD"/>
    <w:rsid w:val="0009568D"/>
    <w:rsid w:val="000A2477"/>
    <w:rsid w:val="000A73A1"/>
    <w:rsid w:val="000B045A"/>
    <w:rsid w:val="000B2F23"/>
    <w:rsid w:val="000B6AEE"/>
    <w:rsid w:val="000C1E08"/>
    <w:rsid w:val="000C2FB2"/>
    <w:rsid w:val="000C75D9"/>
    <w:rsid w:val="000D19B7"/>
    <w:rsid w:val="000D1DDC"/>
    <w:rsid w:val="000D489E"/>
    <w:rsid w:val="000D7D06"/>
    <w:rsid w:val="000E26A1"/>
    <w:rsid w:val="000E29AE"/>
    <w:rsid w:val="000E615F"/>
    <w:rsid w:val="000E6731"/>
    <w:rsid w:val="000F015F"/>
    <w:rsid w:val="000F1B9C"/>
    <w:rsid w:val="000F2596"/>
    <w:rsid w:val="000F3BB0"/>
    <w:rsid w:val="000F7546"/>
    <w:rsid w:val="000F7CC4"/>
    <w:rsid w:val="00101AFE"/>
    <w:rsid w:val="001028C6"/>
    <w:rsid w:val="00110E25"/>
    <w:rsid w:val="001129B9"/>
    <w:rsid w:val="00114C1E"/>
    <w:rsid w:val="001169D5"/>
    <w:rsid w:val="0011793F"/>
    <w:rsid w:val="00122435"/>
    <w:rsid w:val="00122996"/>
    <w:rsid w:val="00125E0E"/>
    <w:rsid w:val="00127DAA"/>
    <w:rsid w:val="001333FC"/>
    <w:rsid w:val="00136061"/>
    <w:rsid w:val="0014031D"/>
    <w:rsid w:val="00144D87"/>
    <w:rsid w:val="001509C2"/>
    <w:rsid w:val="0015123A"/>
    <w:rsid w:val="00151611"/>
    <w:rsid w:val="00152049"/>
    <w:rsid w:val="00152E27"/>
    <w:rsid w:val="001539A4"/>
    <w:rsid w:val="001561A8"/>
    <w:rsid w:val="001566F8"/>
    <w:rsid w:val="00160BAE"/>
    <w:rsid w:val="001665E5"/>
    <w:rsid w:val="001668CF"/>
    <w:rsid w:val="001841D2"/>
    <w:rsid w:val="00186FE7"/>
    <w:rsid w:val="001904DA"/>
    <w:rsid w:val="00193A61"/>
    <w:rsid w:val="001A083F"/>
    <w:rsid w:val="001A5536"/>
    <w:rsid w:val="001B14A0"/>
    <w:rsid w:val="001B2E5D"/>
    <w:rsid w:val="001B5501"/>
    <w:rsid w:val="001C127E"/>
    <w:rsid w:val="001C69EB"/>
    <w:rsid w:val="001C6E4B"/>
    <w:rsid w:val="001D07D5"/>
    <w:rsid w:val="001D0B24"/>
    <w:rsid w:val="001D3ED4"/>
    <w:rsid w:val="001E01E0"/>
    <w:rsid w:val="001E092D"/>
    <w:rsid w:val="001E54B0"/>
    <w:rsid w:val="001E6878"/>
    <w:rsid w:val="001F2150"/>
    <w:rsid w:val="001F3DFC"/>
    <w:rsid w:val="001F6D23"/>
    <w:rsid w:val="001F77FF"/>
    <w:rsid w:val="00200A57"/>
    <w:rsid w:val="00204714"/>
    <w:rsid w:val="0020680B"/>
    <w:rsid w:val="00206DDD"/>
    <w:rsid w:val="002111AD"/>
    <w:rsid w:val="00216FDC"/>
    <w:rsid w:val="0021703C"/>
    <w:rsid w:val="00217AA2"/>
    <w:rsid w:val="00217FAB"/>
    <w:rsid w:val="00223B5F"/>
    <w:rsid w:val="00223D3B"/>
    <w:rsid w:val="002252BB"/>
    <w:rsid w:val="0022574C"/>
    <w:rsid w:val="00226E1C"/>
    <w:rsid w:val="00230E89"/>
    <w:rsid w:val="00240DB6"/>
    <w:rsid w:val="0024359F"/>
    <w:rsid w:val="00243E1D"/>
    <w:rsid w:val="00244194"/>
    <w:rsid w:val="002458F3"/>
    <w:rsid w:val="00246E4E"/>
    <w:rsid w:val="0025077B"/>
    <w:rsid w:val="0025421D"/>
    <w:rsid w:val="0025443E"/>
    <w:rsid w:val="002602EB"/>
    <w:rsid w:val="00272EBD"/>
    <w:rsid w:val="00275E16"/>
    <w:rsid w:val="00281D70"/>
    <w:rsid w:val="00286F55"/>
    <w:rsid w:val="00287109"/>
    <w:rsid w:val="00287B46"/>
    <w:rsid w:val="00291E78"/>
    <w:rsid w:val="002924C3"/>
    <w:rsid w:val="00293068"/>
    <w:rsid w:val="002949F7"/>
    <w:rsid w:val="00296887"/>
    <w:rsid w:val="002A088B"/>
    <w:rsid w:val="002A5927"/>
    <w:rsid w:val="002A5F11"/>
    <w:rsid w:val="002A689E"/>
    <w:rsid w:val="002A7FC7"/>
    <w:rsid w:val="002B5A7D"/>
    <w:rsid w:val="002B61C8"/>
    <w:rsid w:val="002C0AED"/>
    <w:rsid w:val="002C72E7"/>
    <w:rsid w:val="002C7491"/>
    <w:rsid w:val="002C7EC2"/>
    <w:rsid w:val="002D1836"/>
    <w:rsid w:val="002D4A7D"/>
    <w:rsid w:val="002D5419"/>
    <w:rsid w:val="002F00AF"/>
    <w:rsid w:val="002F3904"/>
    <w:rsid w:val="002F4270"/>
    <w:rsid w:val="002F520C"/>
    <w:rsid w:val="002F56C7"/>
    <w:rsid w:val="002F6F5F"/>
    <w:rsid w:val="002F7BDB"/>
    <w:rsid w:val="00315790"/>
    <w:rsid w:val="00316D5A"/>
    <w:rsid w:val="00321EC8"/>
    <w:rsid w:val="00323A3C"/>
    <w:rsid w:val="0032426F"/>
    <w:rsid w:val="00324AC1"/>
    <w:rsid w:val="00324F9E"/>
    <w:rsid w:val="00325A3B"/>
    <w:rsid w:val="003307E2"/>
    <w:rsid w:val="003314F1"/>
    <w:rsid w:val="00335181"/>
    <w:rsid w:val="00336B28"/>
    <w:rsid w:val="003377A1"/>
    <w:rsid w:val="0034090F"/>
    <w:rsid w:val="00340F72"/>
    <w:rsid w:val="00341BE2"/>
    <w:rsid w:val="00341C19"/>
    <w:rsid w:val="00342E48"/>
    <w:rsid w:val="00346897"/>
    <w:rsid w:val="003513F4"/>
    <w:rsid w:val="00353E58"/>
    <w:rsid w:val="00354EA3"/>
    <w:rsid w:val="003625A9"/>
    <w:rsid w:val="00363F9B"/>
    <w:rsid w:val="00367BB1"/>
    <w:rsid w:val="00367EB4"/>
    <w:rsid w:val="00371071"/>
    <w:rsid w:val="00381ADC"/>
    <w:rsid w:val="003951DA"/>
    <w:rsid w:val="003A1694"/>
    <w:rsid w:val="003B04B4"/>
    <w:rsid w:val="003B382A"/>
    <w:rsid w:val="003C5A3E"/>
    <w:rsid w:val="003C601E"/>
    <w:rsid w:val="003D1D7F"/>
    <w:rsid w:val="003D21B1"/>
    <w:rsid w:val="003D32B6"/>
    <w:rsid w:val="003D496B"/>
    <w:rsid w:val="003D640C"/>
    <w:rsid w:val="003D6D0B"/>
    <w:rsid w:val="003D7810"/>
    <w:rsid w:val="003E2163"/>
    <w:rsid w:val="003E37EC"/>
    <w:rsid w:val="003E4427"/>
    <w:rsid w:val="003E67E1"/>
    <w:rsid w:val="003F68D8"/>
    <w:rsid w:val="004010DD"/>
    <w:rsid w:val="0040241F"/>
    <w:rsid w:val="00405622"/>
    <w:rsid w:val="0041149D"/>
    <w:rsid w:val="00416DF8"/>
    <w:rsid w:val="00421486"/>
    <w:rsid w:val="0042290C"/>
    <w:rsid w:val="004231C9"/>
    <w:rsid w:val="0042343B"/>
    <w:rsid w:val="0042475C"/>
    <w:rsid w:val="00425AEC"/>
    <w:rsid w:val="004306E5"/>
    <w:rsid w:val="00431E92"/>
    <w:rsid w:val="00434822"/>
    <w:rsid w:val="00435755"/>
    <w:rsid w:val="004414E2"/>
    <w:rsid w:val="004440FA"/>
    <w:rsid w:val="0044455B"/>
    <w:rsid w:val="00444C3B"/>
    <w:rsid w:val="00451C32"/>
    <w:rsid w:val="00453274"/>
    <w:rsid w:val="00454443"/>
    <w:rsid w:val="00455EB4"/>
    <w:rsid w:val="00462F9F"/>
    <w:rsid w:val="00466055"/>
    <w:rsid w:val="0047085F"/>
    <w:rsid w:val="00471736"/>
    <w:rsid w:val="00471AC9"/>
    <w:rsid w:val="00476994"/>
    <w:rsid w:val="00477EF8"/>
    <w:rsid w:val="0048359B"/>
    <w:rsid w:val="004843C4"/>
    <w:rsid w:val="00494C14"/>
    <w:rsid w:val="00495C3A"/>
    <w:rsid w:val="0049604E"/>
    <w:rsid w:val="0049753B"/>
    <w:rsid w:val="00497D16"/>
    <w:rsid w:val="00497EE3"/>
    <w:rsid w:val="004A06A0"/>
    <w:rsid w:val="004A0AAC"/>
    <w:rsid w:val="004A3FD2"/>
    <w:rsid w:val="004A4118"/>
    <w:rsid w:val="004A7123"/>
    <w:rsid w:val="004B02DD"/>
    <w:rsid w:val="004B2033"/>
    <w:rsid w:val="004B2ECC"/>
    <w:rsid w:val="004B3A14"/>
    <w:rsid w:val="004B5C64"/>
    <w:rsid w:val="004C319E"/>
    <w:rsid w:val="004C57BF"/>
    <w:rsid w:val="004C5908"/>
    <w:rsid w:val="004D01ED"/>
    <w:rsid w:val="004D0653"/>
    <w:rsid w:val="004D1F2D"/>
    <w:rsid w:val="004D76BD"/>
    <w:rsid w:val="004E0C6F"/>
    <w:rsid w:val="004E1C44"/>
    <w:rsid w:val="004E251E"/>
    <w:rsid w:val="004E4C9D"/>
    <w:rsid w:val="004E625F"/>
    <w:rsid w:val="004E739C"/>
    <w:rsid w:val="004F2963"/>
    <w:rsid w:val="004F7649"/>
    <w:rsid w:val="00501EAB"/>
    <w:rsid w:val="00504E99"/>
    <w:rsid w:val="0050753E"/>
    <w:rsid w:val="0050780F"/>
    <w:rsid w:val="00513336"/>
    <w:rsid w:val="00517D13"/>
    <w:rsid w:val="00520618"/>
    <w:rsid w:val="0052523D"/>
    <w:rsid w:val="00530A4A"/>
    <w:rsid w:val="00535824"/>
    <w:rsid w:val="00537927"/>
    <w:rsid w:val="00544DCA"/>
    <w:rsid w:val="00546F38"/>
    <w:rsid w:val="00547980"/>
    <w:rsid w:val="005512E1"/>
    <w:rsid w:val="0055220D"/>
    <w:rsid w:val="00553001"/>
    <w:rsid w:val="00570790"/>
    <w:rsid w:val="00573E13"/>
    <w:rsid w:val="0057416B"/>
    <w:rsid w:val="0057430C"/>
    <w:rsid w:val="00574430"/>
    <w:rsid w:val="00576D50"/>
    <w:rsid w:val="00581FB1"/>
    <w:rsid w:val="00581FEF"/>
    <w:rsid w:val="0058201E"/>
    <w:rsid w:val="00582960"/>
    <w:rsid w:val="00583262"/>
    <w:rsid w:val="005835E2"/>
    <w:rsid w:val="0058586E"/>
    <w:rsid w:val="0058648D"/>
    <w:rsid w:val="00586DA2"/>
    <w:rsid w:val="00587B2D"/>
    <w:rsid w:val="005960B3"/>
    <w:rsid w:val="005A00BE"/>
    <w:rsid w:val="005A0400"/>
    <w:rsid w:val="005A0788"/>
    <w:rsid w:val="005A2D5E"/>
    <w:rsid w:val="005A695A"/>
    <w:rsid w:val="005B1844"/>
    <w:rsid w:val="005B1952"/>
    <w:rsid w:val="005B5B11"/>
    <w:rsid w:val="005B5E42"/>
    <w:rsid w:val="005B650D"/>
    <w:rsid w:val="005C0B3B"/>
    <w:rsid w:val="005C39F1"/>
    <w:rsid w:val="005C48EE"/>
    <w:rsid w:val="005D0317"/>
    <w:rsid w:val="005D1A20"/>
    <w:rsid w:val="005D53F9"/>
    <w:rsid w:val="005E0680"/>
    <w:rsid w:val="005E1055"/>
    <w:rsid w:val="005E360B"/>
    <w:rsid w:val="005E5BFC"/>
    <w:rsid w:val="005E74A7"/>
    <w:rsid w:val="005E7940"/>
    <w:rsid w:val="005F0025"/>
    <w:rsid w:val="005F1C04"/>
    <w:rsid w:val="005F2D74"/>
    <w:rsid w:val="005F41DA"/>
    <w:rsid w:val="005F465E"/>
    <w:rsid w:val="005F5F96"/>
    <w:rsid w:val="0060037D"/>
    <w:rsid w:val="00605A80"/>
    <w:rsid w:val="00606B89"/>
    <w:rsid w:val="0061458A"/>
    <w:rsid w:val="00616027"/>
    <w:rsid w:val="00616B9E"/>
    <w:rsid w:val="00621043"/>
    <w:rsid w:val="006217B0"/>
    <w:rsid w:val="00622F5F"/>
    <w:rsid w:val="00624163"/>
    <w:rsid w:val="00631EE1"/>
    <w:rsid w:val="006333C3"/>
    <w:rsid w:val="00644B28"/>
    <w:rsid w:val="00647EF8"/>
    <w:rsid w:val="0065370E"/>
    <w:rsid w:val="006626F1"/>
    <w:rsid w:val="0067120E"/>
    <w:rsid w:val="006714DD"/>
    <w:rsid w:val="00676F32"/>
    <w:rsid w:val="00682EFB"/>
    <w:rsid w:val="00686E84"/>
    <w:rsid w:val="006874E3"/>
    <w:rsid w:val="00692BFA"/>
    <w:rsid w:val="006974EA"/>
    <w:rsid w:val="006A57D9"/>
    <w:rsid w:val="006A5DBD"/>
    <w:rsid w:val="006A7B4C"/>
    <w:rsid w:val="006B0DA5"/>
    <w:rsid w:val="006B1417"/>
    <w:rsid w:val="006B7475"/>
    <w:rsid w:val="006B7DD7"/>
    <w:rsid w:val="006C3015"/>
    <w:rsid w:val="006D28C0"/>
    <w:rsid w:val="006D3888"/>
    <w:rsid w:val="006E1463"/>
    <w:rsid w:val="006E2F77"/>
    <w:rsid w:val="006E66F1"/>
    <w:rsid w:val="006F47A7"/>
    <w:rsid w:val="006F5471"/>
    <w:rsid w:val="00704360"/>
    <w:rsid w:val="007058AA"/>
    <w:rsid w:val="00705E93"/>
    <w:rsid w:val="0071032B"/>
    <w:rsid w:val="00711EB0"/>
    <w:rsid w:val="00723364"/>
    <w:rsid w:val="00727622"/>
    <w:rsid w:val="007322D3"/>
    <w:rsid w:val="0073292D"/>
    <w:rsid w:val="0074279B"/>
    <w:rsid w:val="007437C3"/>
    <w:rsid w:val="007442C3"/>
    <w:rsid w:val="00752045"/>
    <w:rsid w:val="00754F4D"/>
    <w:rsid w:val="0076037D"/>
    <w:rsid w:val="007624DA"/>
    <w:rsid w:val="00762704"/>
    <w:rsid w:val="007660C5"/>
    <w:rsid w:val="00771937"/>
    <w:rsid w:val="00780D38"/>
    <w:rsid w:val="00783C16"/>
    <w:rsid w:val="00785DFE"/>
    <w:rsid w:val="007920C3"/>
    <w:rsid w:val="00797ADB"/>
    <w:rsid w:val="007B2A1D"/>
    <w:rsid w:val="007B457A"/>
    <w:rsid w:val="007C4ACD"/>
    <w:rsid w:val="007C6CCA"/>
    <w:rsid w:val="007C6D69"/>
    <w:rsid w:val="007D0B33"/>
    <w:rsid w:val="007D15D7"/>
    <w:rsid w:val="007D2054"/>
    <w:rsid w:val="007D2E83"/>
    <w:rsid w:val="007D4044"/>
    <w:rsid w:val="007D4CC6"/>
    <w:rsid w:val="007D70A3"/>
    <w:rsid w:val="007E443A"/>
    <w:rsid w:val="007F0B2F"/>
    <w:rsid w:val="007F2290"/>
    <w:rsid w:val="007F236F"/>
    <w:rsid w:val="007F46FE"/>
    <w:rsid w:val="007F5A5E"/>
    <w:rsid w:val="007F7D8F"/>
    <w:rsid w:val="008026A1"/>
    <w:rsid w:val="008028DD"/>
    <w:rsid w:val="00803D9C"/>
    <w:rsid w:val="00806300"/>
    <w:rsid w:val="00812C40"/>
    <w:rsid w:val="00814572"/>
    <w:rsid w:val="008152BB"/>
    <w:rsid w:val="0082091B"/>
    <w:rsid w:val="00820F55"/>
    <w:rsid w:val="008211EB"/>
    <w:rsid w:val="00821918"/>
    <w:rsid w:val="00825D00"/>
    <w:rsid w:val="00834C32"/>
    <w:rsid w:val="008437A0"/>
    <w:rsid w:val="008459A7"/>
    <w:rsid w:val="00847510"/>
    <w:rsid w:val="00847737"/>
    <w:rsid w:val="008513C1"/>
    <w:rsid w:val="00852E08"/>
    <w:rsid w:val="00853550"/>
    <w:rsid w:val="00853A7F"/>
    <w:rsid w:val="00865F22"/>
    <w:rsid w:val="00867677"/>
    <w:rsid w:val="00871AF0"/>
    <w:rsid w:val="00872EC9"/>
    <w:rsid w:val="00880B03"/>
    <w:rsid w:val="00894BFE"/>
    <w:rsid w:val="008A32D9"/>
    <w:rsid w:val="008A45EE"/>
    <w:rsid w:val="008A5E64"/>
    <w:rsid w:val="008B3B49"/>
    <w:rsid w:val="008C126F"/>
    <w:rsid w:val="008C283D"/>
    <w:rsid w:val="008C594D"/>
    <w:rsid w:val="008C5AF6"/>
    <w:rsid w:val="008D5D33"/>
    <w:rsid w:val="008D69E6"/>
    <w:rsid w:val="008D7643"/>
    <w:rsid w:val="008E0017"/>
    <w:rsid w:val="008E1F9F"/>
    <w:rsid w:val="008F0075"/>
    <w:rsid w:val="008F5823"/>
    <w:rsid w:val="009011B4"/>
    <w:rsid w:val="00913ED5"/>
    <w:rsid w:val="0091437D"/>
    <w:rsid w:val="009231F7"/>
    <w:rsid w:val="009279B1"/>
    <w:rsid w:val="009334AB"/>
    <w:rsid w:val="00941273"/>
    <w:rsid w:val="00943096"/>
    <w:rsid w:val="00943D05"/>
    <w:rsid w:val="00944B03"/>
    <w:rsid w:val="0094557A"/>
    <w:rsid w:val="00945DD8"/>
    <w:rsid w:val="00947149"/>
    <w:rsid w:val="00952947"/>
    <w:rsid w:val="00954B1E"/>
    <w:rsid w:val="009618B6"/>
    <w:rsid w:val="00962F5F"/>
    <w:rsid w:val="00962F71"/>
    <w:rsid w:val="00967045"/>
    <w:rsid w:val="009705A6"/>
    <w:rsid w:val="009715D6"/>
    <w:rsid w:val="0097219B"/>
    <w:rsid w:val="0098724E"/>
    <w:rsid w:val="00991AC8"/>
    <w:rsid w:val="00995010"/>
    <w:rsid w:val="009A6F84"/>
    <w:rsid w:val="009A7FE3"/>
    <w:rsid w:val="009B0735"/>
    <w:rsid w:val="009B0868"/>
    <w:rsid w:val="009B25E1"/>
    <w:rsid w:val="009B354B"/>
    <w:rsid w:val="009B5883"/>
    <w:rsid w:val="009C08CA"/>
    <w:rsid w:val="009C2EB3"/>
    <w:rsid w:val="009C6413"/>
    <w:rsid w:val="009C7C9F"/>
    <w:rsid w:val="009D2506"/>
    <w:rsid w:val="009D57D8"/>
    <w:rsid w:val="009D74A0"/>
    <w:rsid w:val="009D777A"/>
    <w:rsid w:val="009E2019"/>
    <w:rsid w:val="009E7339"/>
    <w:rsid w:val="009F13E8"/>
    <w:rsid w:val="009F1EED"/>
    <w:rsid w:val="009F2595"/>
    <w:rsid w:val="009F7279"/>
    <w:rsid w:val="00A007C5"/>
    <w:rsid w:val="00A0131E"/>
    <w:rsid w:val="00A04C22"/>
    <w:rsid w:val="00A04DC7"/>
    <w:rsid w:val="00A14A04"/>
    <w:rsid w:val="00A222AE"/>
    <w:rsid w:val="00A26B6D"/>
    <w:rsid w:val="00A27314"/>
    <w:rsid w:val="00A30579"/>
    <w:rsid w:val="00A3426F"/>
    <w:rsid w:val="00A36428"/>
    <w:rsid w:val="00A36CFA"/>
    <w:rsid w:val="00A4018E"/>
    <w:rsid w:val="00A40698"/>
    <w:rsid w:val="00A41723"/>
    <w:rsid w:val="00A41CE0"/>
    <w:rsid w:val="00A43136"/>
    <w:rsid w:val="00A47DD2"/>
    <w:rsid w:val="00A53DF4"/>
    <w:rsid w:val="00A54786"/>
    <w:rsid w:val="00A6165F"/>
    <w:rsid w:val="00A65EFC"/>
    <w:rsid w:val="00A741CB"/>
    <w:rsid w:val="00A750BD"/>
    <w:rsid w:val="00A752E7"/>
    <w:rsid w:val="00A82539"/>
    <w:rsid w:val="00A8387B"/>
    <w:rsid w:val="00A84FA2"/>
    <w:rsid w:val="00A8514D"/>
    <w:rsid w:val="00A878EF"/>
    <w:rsid w:val="00A87DA5"/>
    <w:rsid w:val="00A909ED"/>
    <w:rsid w:val="00A925FF"/>
    <w:rsid w:val="00A94034"/>
    <w:rsid w:val="00A9689E"/>
    <w:rsid w:val="00AA3DE5"/>
    <w:rsid w:val="00AB3BF1"/>
    <w:rsid w:val="00AB4677"/>
    <w:rsid w:val="00AB7FE2"/>
    <w:rsid w:val="00AC1D00"/>
    <w:rsid w:val="00AD293D"/>
    <w:rsid w:val="00AE4A3D"/>
    <w:rsid w:val="00AE51B6"/>
    <w:rsid w:val="00AE6D07"/>
    <w:rsid w:val="00AF0D2C"/>
    <w:rsid w:val="00AF5184"/>
    <w:rsid w:val="00B001B8"/>
    <w:rsid w:val="00B00804"/>
    <w:rsid w:val="00B00DD2"/>
    <w:rsid w:val="00B04333"/>
    <w:rsid w:val="00B04898"/>
    <w:rsid w:val="00B0539C"/>
    <w:rsid w:val="00B13341"/>
    <w:rsid w:val="00B149E8"/>
    <w:rsid w:val="00B15039"/>
    <w:rsid w:val="00B1707A"/>
    <w:rsid w:val="00B222D4"/>
    <w:rsid w:val="00B25521"/>
    <w:rsid w:val="00B25BD7"/>
    <w:rsid w:val="00B272B1"/>
    <w:rsid w:val="00B31CF8"/>
    <w:rsid w:val="00B3390C"/>
    <w:rsid w:val="00B35261"/>
    <w:rsid w:val="00B36BD3"/>
    <w:rsid w:val="00B37308"/>
    <w:rsid w:val="00B4436B"/>
    <w:rsid w:val="00B503B5"/>
    <w:rsid w:val="00B5142E"/>
    <w:rsid w:val="00B559DE"/>
    <w:rsid w:val="00B56F43"/>
    <w:rsid w:val="00B60E69"/>
    <w:rsid w:val="00B615C7"/>
    <w:rsid w:val="00B6576C"/>
    <w:rsid w:val="00B732BB"/>
    <w:rsid w:val="00B73BA3"/>
    <w:rsid w:val="00B75D51"/>
    <w:rsid w:val="00B76BEF"/>
    <w:rsid w:val="00B77C0F"/>
    <w:rsid w:val="00B86CEC"/>
    <w:rsid w:val="00B86D6F"/>
    <w:rsid w:val="00B92895"/>
    <w:rsid w:val="00B970A6"/>
    <w:rsid w:val="00BB1E01"/>
    <w:rsid w:val="00BB32A2"/>
    <w:rsid w:val="00BB3F12"/>
    <w:rsid w:val="00BB52D5"/>
    <w:rsid w:val="00BB5997"/>
    <w:rsid w:val="00BC013A"/>
    <w:rsid w:val="00BC2243"/>
    <w:rsid w:val="00BD1119"/>
    <w:rsid w:val="00BD18B3"/>
    <w:rsid w:val="00BD2C48"/>
    <w:rsid w:val="00BD500D"/>
    <w:rsid w:val="00BE1CC3"/>
    <w:rsid w:val="00BE2162"/>
    <w:rsid w:val="00BF472D"/>
    <w:rsid w:val="00C0530B"/>
    <w:rsid w:val="00C05507"/>
    <w:rsid w:val="00C14751"/>
    <w:rsid w:val="00C14DBB"/>
    <w:rsid w:val="00C157B9"/>
    <w:rsid w:val="00C17F36"/>
    <w:rsid w:val="00C225FD"/>
    <w:rsid w:val="00C248D5"/>
    <w:rsid w:val="00C27D77"/>
    <w:rsid w:val="00C30E0D"/>
    <w:rsid w:val="00C3433D"/>
    <w:rsid w:val="00C34927"/>
    <w:rsid w:val="00C349B3"/>
    <w:rsid w:val="00C37B7B"/>
    <w:rsid w:val="00C511A6"/>
    <w:rsid w:val="00C5146B"/>
    <w:rsid w:val="00C53066"/>
    <w:rsid w:val="00C53E6C"/>
    <w:rsid w:val="00C557E8"/>
    <w:rsid w:val="00C56616"/>
    <w:rsid w:val="00C60F9C"/>
    <w:rsid w:val="00C6396A"/>
    <w:rsid w:val="00C65214"/>
    <w:rsid w:val="00C65B7B"/>
    <w:rsid w:val="00C704C3"/>
    <w:rsid w:val="00C72D44"/>
    <w:rsid w:val="00C73BC7"/>
    <w:rsid w:val="00C77EB2"/>
    <w:rsid w:val="00C81122"/>
    <w:rsid w:val="00C9365C"/>
    <w:rsid w:val="00CA3D4C"/>
    <w:rsid w:val="00CA7614"/>
    <w:rsid w:val="00CA7940"/>
    <w:rsid w:val="00CB09AE"/>
    <w:rsid w:val="00CB452F"/>
    <w:rsid w:val="00CB4663"/>
    <w:rsid w:val="00CB559F"/>
    <w:rsid w:val="00CB6FD1"/>
    <w:rsid w:val="00CD07CB"/>
    <w:rsid w:val="00CD081A"/>
    <w:rsid w:val="00CD0B20"/>
    <w:rsid w:val="00CD2E3C"/>
    <w:rsid w:val="00CD7A4D"/>
    <w:rsid w:val="00CE15B2"/>
    <w:rsid w:val="00CF2C15"/>
    <w:rsid w:val="00CF33F5"/>
    <w:rsid w:val="00CF4114"/>
    <w:rsid w:val="00D0548E"/>
    <w:rsid w:val="00D07370"/>
    <w:rsid w:val="00D1169B"/>
    <w:rsid w:val="00D16071"/>
    <w:rsid w:val="00D23A74"/>
    <w:rsid w:val="00D2407F"/>
    <w:rsid w:val="00D24DFC"/>
    <w:rsid w:val="00D27515"/>
    <w:rsid w:val="00D31A2A"/>
    <w:rsid w:val="00D35922"/>
    <w:rsid w:val="00D43027"/>
    <w:rsid w:val="00D56D6A"/>
    <w:rsid w:val="00D57465"/>
    <w:rsid w:val="00D57F57"/>
    <w:rsid w:val="00D640BB"/>
    <w:rsid w:val="00D679C4"/>
    <w:rsid w:val="00D774EA"/>
    <w:rsid w:val="00D87C65"/>
    <w:rsid w:val="00D910B4"/>
    <w:rsid w:val="00D94518"/>
    <w:rsid w:val="00D950CB"/>
    <w:rsid w:val="00DA1064"/>
    <w:rsid w:val="00DA1397"/>
    <w:rsid w:val="00DA4973"/>
    <w:rsid w:val="00DA4987"/>
    <w:rsid w:val="00DA5249"/>
    <w:rsid w:val="00DA739C"/>
    <w:rsid w:val="00DB6864"/>
    <w:rsid w:val="00DC31BC"/>
    <w:rsid w:val="00DC70D6"/>
    <w:rsid w:val="00DD0EC3"/>
    <w:rsid w:val="00DD16C1"/>
    <w:rsid w:val="00DE171C"/>
    <w:rsid w:val="00DE1A04"/>
    <w:rsid w:val="00DE29DB"/>
    <w:rsid w:val="00DF21B5"/>
    <w:rsid w:val="00DF2468"/>
    <w:rsid w:val="00DF6FAE"/>
    <w:rsid w:val="00DF7A75"/>
    <w:rsid w:val="00E032FB"/>
    <w:rsid w:val="00E03918"/>
    <w:rsid w:val="00E066F5"/>
    <w:rsid w:val="00E12FA5"/>
    <w:rsid w:val="00E148C7"/>
    <w:rsid w:val="00E22541"/>
    <w:rsid w:val="00E230C7"/>
    <w:rsid w:val="00E2345B"/>
    <w:rsid w:val="00E25BB4"/>
    <w:rsid w:val="00E2623E"/>
    <w:rsid w:val="00E3184A"/>
    <w:rsid w:val="00E31A20"/>
    <w:rsid w:val="00E32404"/>
    <w:rsid w:val="00E324C2"/>
    <w:rsid w:val="00E32C0D"/>
    <w:rsid w:val="00E3407A"/>
    <w:rsid w:val="00E47602"/>
    <w:rsid w:val="00E57610"/>
    <w:rsid w:val="00E63719"/>
    <w:rsid w:val="00E64908"/>
    <w:rsid w:val="00E667E1"/>
    <w:rsid w:val="00E71BC6"/>
    <w:rsid w:val="00E7773E"/>
    <w:rsid w:val="00E80D06"/>
    <w:rsid w:val="00E83018"/>
    <w:rsid w:val="00E84348"/>
    <w:rsid w:val="00E85B1F"/>
    <w:rsid w:val="00E8631E"/>
    <w:rsid w:val="00E9036A"/>
    <w:rsid w:val="00E91580"/>
    <w:rsid w:val="00E95500"/>
    <w:rsid w:val="00E96A91"/>
    <w:rsid w:val="00EA12B9"/>
    <w:rsid w:val="00EA12C7"/>
    <w:rsid w:val="00EB0521"/>
    <w:rsid w:val="00EB74AF"/>
    <w:rsid w:val="00EB7992"/>
    <w:rsid w:val="00EC0692"/>
    <w:rsid w:val="00ED2CF6"/>
    <w:rsid w:val="00ED5490"/>
    <w:rsid w:val="00ED5A8C"/>
    <w:rsid w:val="00EE0091"/>
    <w:rsid w:val="00EE3201"/>
    <w:rsid w:val="00EE4446"/>
    <w:rsid w:val="00EE4559"/>
    <w:rsid w:val="00EF08F2"/>
    <w:rsid w:val="00EF2518"/>
    <w:rsid w:val="00EF312E"/>
    <w:rsid w:val="00EF341D"/>
    <w:rsid w:val="00F0569F"/>
    <w:rsid w:val="00F064FD"/>
    <w:rsid w:val="00F06619"/>
    <w:rsid w:val="00F10487"/>
    <w:rsid w:val="00F14222"/>
    <w:rsid w:val="00F14DAD"/>
    <w:rsid w:val="00F17C6F"/>
    <w:rsid w:val="00F17D67"/>
    <w:rsid w:val="00F21C4E"/>
    <w:rsid w:val="00F23FBA"/>
    <w:rsid w:val="00F26051"/>
    <w:rsid w:val="00F27039"/>
    <w:rsid w:val="00F272C6"/>
    <w:rsid w:val="00F2781E"/>
    <w:rsid w:val="00F31191"/>
    <w:rsid w:val="00F33845"/>
    <w:rsid w:val="00F34F36"/>
    <w:rsid w:val="00F40128"/>
    <w:rsid w:val="00F41085"/>
    <w:rsid w:val="00F42109"/>
    <w:rsid w:val="00F44A3F"/>
    <w:rsid w:val="00F44E18"/>
    <w:rsid w:val="00F47A5D"/>
    <w:rsid w:val="00F53E27"/>
    <w:rsid w:val="00F54830"/>
    <w:rsid w:val="00F560AB"/>
    <w:rsid w:val="00F561FC"/>
    <w:rsid w:val="00F57E90"/>
    <w:rsid w:val="00F626B6"/>
    <w:rsid w:val="00F64E87"/>
    <w:rsid w:val="00F65D24"/>
    <w:rsid w:val="00F66AB4"/>
    <w:rsid w:val="00F71382"/>
    <w:rsid w:val="00F72373"/>
    <w:rsid w:val="00F7532B"/>
    <w:rsid w:val="00F97BC8"/>
    <w:rsid w:val="00FA34E4"/>
    <w:rsid w:val="00FA6FC6"/>
    <w:rsid w:val="00FB227B"/>
    <w:rsid w:val="00FB35E3"/>
    <w:rsid w:val="00FC0786"/>
    <w:rsid w:val="00FC1E1D"/>
    <w:rsid w:val="00FC6523"/>
    <w:rsid w:val="00FC75FC"/>
    <w:rsid w:val="00FD65EF"/>
    <w:rsid w:val="00FD789A"/>
    <w:rsid w:val="00FE00CD"/>
    <w:rsid w:val="00FE7520"/>
    <w:rsid w:val="00FF1ADF"/>
    <w:rsid w:val="00FF5A81"/>
    <w:rsid w:val="014001AC"/>
    <w:rsid w:val="0162050F"/>
    <w:rsid w:val="01C24A92"/>
    <w:rsid w:val="02653FF9"/>
    <w:rsid w:val="05CE1732"/>
    <w:rsid w:val="05E45914"/>
    <w:rsid w:val="06771ED8"/>
    <w:rsid w:val="06F764EC"/>
    <w:rsid w:val="072647BD"/>
    <w:rsid w:val="09CB04E3"/>
    <w:rsid w:val="0C8F6929"/>
    <w:rsid w:val="0CEA3A89"/>
    <w:rsid w:val="10E62079"/>
    <w:rsid w:val="120A24A1"/>
    <w:rsid w:val="132402B2"/>
    <w:rsid w:val="138A2DDF"/>
    <w:rsid w:val="13C84D64"/>
    <w:rsid w:val="145B4126"/>
    <w:rsid w:val="155374AE"/>
    <w:rsid w:val="15D042E7"/>
    <w:rsid w:val="15DA4A20"/>
    <w:rsid w:val="15DB5AA0"/>
    <w:rsid w:val="15E1504F"/>
    <w:rsid w:val="1AAE2916"/>
    <w:rsid w:val="1BB56FDD"/>
    <w:rsid w:val="1D016A38"/>
    <w:rsid w:val="1F380236"/>
    <w:rsid w:val="220B6795"/>
    <w:rsid w:val="225A2044"/>
    <w:rsid w:val="22656558"/>
    <w:rsid w:val="238759DC"/>
    <w:rsid w:val="23DC3AA4"/>
    <w:rsid w:val="26DD7622"/>
    <w:rsid w:val="27030E94"/>
    <w:rsid w:val="2B384867"/>
    <w:rsid w:val="2BEBEF1B"/>
    <w:rsid w:val="2D2208DE"/>
    <w:rsid w:val="2DFE6D3A"/>
    <w:rsid w:val="2EE700D8"/>
    <w:rsid w:val="2F4D42B8"/>
    <w:rsid w:val="2F9E4C55"/>
    <w:rsid w:val="2FD03A28"/>
    <w:rsid w:val="313749C7"/>
    <w:rsid w:val="31650BD9"/>
    <w:rsid w:val="31660196"/>
    <w:rsid w:val="31FA2065"/>
    <w:rsid w:val="32866B8B"/>
    <w:rsid w:val="32F95906"/>
    <w:rsid w:val="362771DA"/>
    <w:rsid w:val="378D7051"/>
    <w:rsid w:val="38D47048"/>
    <w:rsid w:val="3AFF4B8B"/>
    <w:rsid w:val="3B873A6B"/>
    <w:rsid w:val="3BA813BB"/>
    <w:rsid w:val="3C0611CF"/>
    <w:rsid w:val="3DA51BE2"/>
    <w:rsid w:val="3DEC5331"/>
    <w:rsid w:val="3F6A0ABE"/>
    <w:rsid w:val="3F76CA64"/>
    <w:rsid w:val="3F7F4D17"/>
    <w:rsid w:val="3F8FF60C"/>
    <w:rsid w:val="3FBF4D91"/>
    <w:rsid w:val="3FC63954"/>
    <w:rsid w:val="3FDFA884"/>
    <w:rsid w:val="3FF66740"/>
    <w:rsid w:val="3FFB6081"/>
    <w:rsid w:val="3FFFF353"/>
    <w:rsid w:val="40276879"/>
    <w:rsid w:val="407738F0"/>
    <w:rsid w:val="43AA19A5"/>
    <w:rsid w:val="468E2C24"/>
    <w:rsid w:val="47D96A22"/>
    <w:rsid w:val="47DD5832"/>
    <w:rsid w:val="4839795D"/>
    <w:rsid w:val="491A2547"/>
    <w:rsid w:val="49E46288"/>
    <w:rsid w:val="4ACD0DB2"/>
    <w:rsid w:val="4BE30B45"/>
    <w:rsid w:val="4E74490B"/>
    <w:rsid w:val="4F387E5C"/>
    <w:rsid w:val="505428F9"/>
    <w:rsid w:val="518D282E"/>
    <w:rsid w:val="51A10B01"/>
    <w:rsid w:val="52C15AAB"/>
    <w:rsid w:val="537C00B0"/>
    <w:rsid w:val="55465BAE"/>
    <w:rsid w:val="555B47FD"/>
    <w:rsid w:val="557378EF"/>
    <w:rsid w:val="55B40137"/>
    <w:rsid w:val="56F81607"/>
    <w:rsid w:val="58DB1653"/>
    <w:rsid w:val="59DE57C7"/>
    <w:rsid w:val="5AED6949"/>
    <w:rsid w:val="5B7E27D9"/>
    <w:rsid w:val="5BFE10C5"/>
    <w:rsid w:val="5C220E07"/>
    <w:rsid w:val="5D2D2E0C"/>
    <w:rsid w:val="5DC82230"/>
    <w:rsid w:val="5E1E2067"/>
    <w:rsid w:val="5E9A74DF"/>
    <w:rsid w:val="5F5F0AC3"/>
    <w:rsid w:val="5FC81A43"/>
    <w:rsid w:val="5FFF872D"/>
    <w:rsid w:val="60D22F9F"/>
    <w:rsid w:val="60E05193"/>
    <w:rsid w:val="61B14697"/>
    <w:rsid w:val="638607CB"/>
    <w:rsid w:val="64BF0C68"/>
    <w:rsid w:val="65B46196"/>
    <w:rsid w:val="66485569"/>
    <w:rsid w:val="675A3119"/>
    <w:rsid w:val="67EF3E96"/>
    <w:rsid w:val="689D0AE9"/>
    <w:rsid w:val="6AEE4C9C"/>
    <w:rsid w:val="6B0F2891"/>
    <w:rsid w:val="6B7E0622"/>
    <w:rsid w:val="6C165517"/>
    <w:rsid w:val="6CB69FE8"/>
    <w:rsid w:val="6E924C86"/>
    <w:rsid w:val="6ED72E1E"/>
    <w:rsid w:val="6EDC7D8E"/>
    <w:rsid w:val="6FE718B7"/>
    <w:rsid w:val="6FE756B9"/>
    <w:rsid w:val="6FFD31CB"/>
    <w:rsid w:val="70E14550"/>
    <w:rsid w:val="71C05268"/>
    <w:rsid w:val="72A03FF2"/>
    <w:rsid w:val="731D1FE7"/>
    <w:rsid w:val="7379727C"/>
    <w:rsid w:val="75A732FF"/>
    <w:rsid w:val="75B7FFAA"/>
    <w:rsid w:val="76CFCC74"/>
    <w:rsid w:val="76DF3323"/>
    <w:rsid w:val="76F6C973"/>
    <w:rsid w:val="77000835"/>
    <w:rsid w:val="77CF0516"/>
    <w:rsid w:val="77DF6891"/>
    <w:rsid w:val="77F7276B"/>
    <w:rsid w:val="77FF7725"/>
    <w:rsid w:val="784E0489"/>
    <w:rsid w:val="78593531"/>
    <w:rsid w:val="7A226E93"/>
    <w:rsid w:val="7AEB0DCC"/>
    <w:rsid w:val="7AF75590"/>
    <w:rsid w:val="7AF7FDA8"/>
    <w:rsid w:val="7B59292A"/>
    <w:rsid w:val="7B6C550C"/>
    <w:rsid w:val="7BFBE533"/>
    <w:rsid w:val="7DBFE989"/>
    <w:rsid w:val="7DEE03BB"/>
    <w:rsid w:val="7E27C8B3"/>
    <w:rsid w:val="7E460EBE"/>
    <w:rsid w:val="7E522E7A"/>
    <w:rsid w:val="7E5A1359"/>
    <w:rsid w:val="7EDF1F1F"/>
    <w:rsid w:val="7EFE33A0"/>
    <w:rsid w:val="7EFFFE91"/>
    <w:rsid w:val="7F4DFA45"/>
    <w:rsid w:val="7FD84AE6"/>
    <w:rsid w:val="7FE7428D"/>
    <w:rsid w:val="7FF9F901"/>
    <w:rsid w:val="7FFDB2DB"/>
    <w:rsid w:val="7FFF3D43"/>
    <w:rsid w:val="AFF9D651"/>
    <w:rsid w:val="B7F79173"/>
    <w:rsid w:val="BBFF9530"/>
    <w:rsid w:val="BD8EC0D4"/>
    <w:rsid w:val="BDFE4EBA"/>
    <w:rsid w:val="BEDA76B3"/>
    <w:rsid w:val="CDD48D56"/>
    <w:rsid w:val="D8EE7967"/>
    <w:rsid w:val="DACE3FAB"/>
    <w:rsid w:val="DCEEA867"/>
    <w:rsid w:val="DDA554E1"/>
    <w:rsid w:val="DDBF74A4"/>
    <w:rsid w:val="DDFFEC68"/>
    <w:rsid w:val="DEFD583C"/>
    <w:rsid w:val="DF3BC9E4"/>
    <w:rsid w:val="DFEFCA28"/>
    <w:rsid w:val="E8EFF36D"/>
    <w:rsid w:val="EB93449E"/>
    <w:rsid w:val="EDF565B9"/>
    <w:rsid w:val="EDFF7A5F"/>
    <w:rsid w:val="EF4E6D07"/>
    <w:rsid w:val="EF57D1CB"/>
    <w:rsid w:val="EFFF6A58"/>
    <w:rsid w:val="F917E080"/>
    <w:rsid w:val="FA37D5FD"/>
    <w:rsid w:val="FB9BA93C"/>
    <w:rsid w:val="FBA6852E"/>
    <w:rsid w:val="FBB3E8F3"/>
    <w:rsid w:val="FCF72C95"/>
    <w:rsid w:val="FD3BE043"/>
    <w:rsid w:val="FEF67772"/>
    <w:rsid w:val="FEFC93B7"/>
    <w:rsid w:val="FF0F4CD7"/>
    <w:rsid w:val="FF7F0876"/>
    <w:rsid w:val="FF849D11"/>
    <w:rsid w:val="FF9F0D84"/>
    <w:rsid w:val="FFAEBF91"/>
    <w:rsid w:val="FFB5CC9B"/>
    <w:rsid w:val="FFBF58BB"/>
    <w:rsid w:val="FFD38F12"/>
    <w:rsid w:val="FFD520AC"/>
    <w:rsid w:val="FFFFB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1">
    <w:name w:val="Default Paragraph Font"/>
    <w:qFormat/>
    <w:uiPriority w:val="0"/>
    <w:rPr>
      <w:rFonts w:ascii="Times New Roman" w:hAnsi="Times New Roman" w:eastAsia="宋体" w:cs="Times New Roman"/>
    </w:rPr>
  </w:style>
  <w:style w:type="table" w:default="1" w:styleId="10">
    <w:name w:val="Normal Table"/>
    <w:qFormat/>
    <w:uiPriority w:val="0"/>
    <w:tblPr>
      <w:tblCellMar>
        <w:top w:w="0" w:type="dxa"/>
        <w:left w:w="108" w:type="dxa"/>
        <w:bottom w:w="0" w:type="dxa"/>
        <w:right w:w="108" w:type="dxa"/>
      </w:tblCellMar>
    </w:tblPr>
  </w:style>
  <w:style w:type="paragraph" w:styleId="2">
    <w:name w:val="Normal Indent"/>
    <w:basedOn w:val="1"/>
    <w:next w:val="3"/>
    <w:link w:val="12"/>
    <w:qFormat/>
    <w:uiPriority w:val="0"/>
    <w:rPr>
      <w:rFonts w:ascii="Calibri" w:hAnsi="Calibri" w:eastAsia="宋体"/>
      <w:kern w:val="0"/>
    </w:rPr>
  </w:style>
  <w:style w:type="paragraph" w:styleId="3">
    <w:name w:val="Body Text First Indent 2"/>
    <w:basedOn w:val="4"/>
    <w:next w:val="1"/>
    <w:qFormat/>
    <w:uiPriority w:val="0"/>
    <w:pPr>
      <w:ind w:firstLine="420"/>
    </w:pPr>
  </w:style>
  <w:style w:type="paragraph" w:styleId="4">
    <w:name w:val="Body Text Indent"/>
    <w:basedOn w:val="1"/>
    <w:next w:val="1"/>
    <w:qFormat/>
    <w:uiPriority w:val="0"/>
    <w:pPr>
      <w:spacing w:after="120"/>
      <w:ind w:left="420" w:leftChars="200"/>
    </w:pPr>
    <w:rPr>
      <w:rFonts w:eastAsia="宋体"/>
    </w:rPr>
  </w:style>
  <w:style w:type="paragraph" w:styleId="5">
    <w:name w:val="Body Text"/>
    <w:basedOn w:val="1"/>
    <w:qFormat/>
    <w:uiPriority w:val="0"/>
    <w:pPr>
      <w:spacing w:after="120"/>
    </w:pPr>
    <w:rPr>
      <w:rFonts w:eastAsia="宋体"/>
    </w:rPr>
  </w:style>
  <w:style w:type="paragraph" w:styleId="6">
    <w:name w:val="footer"/>
    <w:basedOn w:val="1"/>
    <w:link w:val="13"/>
    <w:qFormat/>
    <w:uiPriority w:val="0"/>
    <w:pPr>
      <w:tabs>
        <w:tab w:val="center" w:pos="4153"/>
        <w:tab w:val="right" w:pos="8306"/>
      </w:tabs>
      <w:snapToGrid w:val="0"/>
      <w:jc w:val="left"/>
    </w:pPr>
    <w:rPr>
      <w:rFonts w:eastAsia="宋体"/>
      <w:kern w:val="0"/>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rFonts w:eastAsia="宋体"/>
      <w:kern w:val="0"/>
      <w:sz w:val="18"/>
      <w:szCs w:val="18"/>
    </w:rPr>
  </w:style>
  <w:style w:type="paragraph" w:styleId="8">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eastAsia="宋体"/>
    </w:rPr>
  </w:style>
  <w:style w:type="paragraph" w:styleId="9">
    <w:name w:val="Body Text First Indent"/>
    <w:basedOn w:val="5"/>
    <w:next w:val="1"/>
    <w:qFormat/>
    <w:uiPriority w:val="0"/>
    <w:pPr>
      <w:ind w:firstLine="420" w:firstLineChars="100"/>
    </w:pPr>
  </w:style>
  <w:style w:type="character" w:customStyle="1" w:styleId="12">
    <w:name w:val="正文缩进 字符"/>
    <w:link w:val="2"/>
    <w:qFormat/>
    <w:uiPriority w:val="0"/>
    <w:rPr>
      <w:rFonts w:ascii="Times New Roman" w:hAnsi="Times New Roman" w:eastAsia="仿宋_GB2312" w:cs="Times New Roman"/>
      <w:sz w:val="32"/>
      <w:szCs w:val="24"/>
    </w:rPr>
  </w:style>
  <w:style w:type="character" w:customStyle="1" w:styleId="13">
    <w:name w:val="页脚 字符"/>
    <w:link w:val="6"/>
    <w:qFormat/>
    <w:uiPriority w:val="0"/>
    <w:rPr>
      <w:rFonts w:ascii="Times New Roman" w:hAnsi="Times New Roman" w:eastAsia="仿宋_GB2312" w:cs="Times New Roman"/>
      <w:sz w:val="18"/>
      <w:szCs w:val="18"/>
    </w:rPr>
  </w:style>
  <w:style w:type="character" w:customStyle="1" w:styleId="14">
    <w:name w:val="页眉 字符"/>
    <w:link w:val="7"/>
    <w:qFormat/>
    <w:uiPriority w:val="0"/>
    <w:rPr>
      <w:rFonts w:ascii="Times New Roman" w:hAnsi="Times New Roman" w:eastAsia="仿宋_GB2312" w:cs="Times New Roman"/>
      <w:sz w:val="18"/>
      <w:szCs w:val="18"/>
    </w:rPr>
  </w:style>
  <w:style w:type="paragraph" w:customStyle="1" w:styleId="15">
    <w:name w:val="样式 正文缩进正文缩进2正文缩进 Char Char正文缩进 Char Char Char Char正文缩进 Char ..."/>
    <w:basedOn w:val="2"/>
    <w:qFormat/>
    <w:uiPriority w:val="0"/>
    <w:pPr>
      <w:spacing w:line="360" w:lineRule="auto"/>
    </w:pPr>
    <w:rPr>
      <w:rFonts w:ascii="Times New Roman" w:hAnsi="Times New Roman" w:cs="宋体"/>
      <w:sz w:val="24"/>
    </w:rPr>
  </w:style>
  <w:style w:type="paragraph" w:customStyle="1" w:styleId="16">
    <w:name w:val="Default"/>
    <w:qFormat/>
    <w:uiPriority w:val="0"/>
    <w:pPr>
      <w:widowControl w:val="0"/>
      <w:autoSpaceDE w:val="0"/>
      <w:autoSpaceDN w:val="0"/>
    </w:pPr>
    <w:rPr>
      <w:rFonts w:ascii="仿宋_GB2312" w:hAnsi="仿宋_GB2312" w:eastAsia="仿宋_GB2312" w:cs="Times New Roman"/>
      <w:color w:val="000000"/>
      <w:sz w:val="24"/>
      <w:lang w:val="en-US" w:eastAsia="zh-CN" w:bidi="ar-SA"/>
    </w:rPr>
  </w:style>
  <w:style w:type="character" w:customStyle="1" w:styleId="17">
    <w:name w:val="fontstyle21"/>
    <w:qFormat/>
    <w:uiPriority w:val="0"/>
    <w:rPr>
      <w:rFonts w:hint="eastAsia" w:ascii="TimesNewRomanPSMT" w:hAnsi="Times New Roman" w:eastAsia="TimesNewRomanPSMT" w:cs="Times New Roman"/>
      <w:color w:val="000000"/>
      <w:sz w:val="22"/>
      <w:szCs w:val="22"/>
    </w:rPr>
  </w:style>
  <w:style w:type="character" w:customStyle="1" w:styleId="18">
    <w:name w:val="fontstyle01"/>
    <w:qFormat/>
    <w:uiPriority w:val="0"/>
    <w:rPr>
      <w:rFonts w:hint="eastAsia" w:ascii="宋体" w:hAnsi="宋体" w:eastAsia="宋体" w:cs="Times New Roman"/>
      <w:color w:val="000000"/>
      <w:sz w:val="22"/>
      <w:szCs w:val="22"/>
    </w:rPr>
  </w:style>
  <w:style w:type="character" w:customStyle="1" w:styleId="19">
    <w:name w:val="大标题"/>
    <w:qFormat/>
    <w:uiPriority w:val="0"/>
    <w:rPr>
      <w:rFonts w:ascii="Times New Roman" w:hAnsi="Times New Roman" w:eastAsia="宋体" w:cs="Times New Roman"/>
      <w:b/>
      <w:spacing w:val="0"/>
      <w:w w:val="100"/>
      <w:position w:val="0"/>
      <w:sz w:val="28"/>
    </w:rPr>
  </w:style>
  <w:style w:type="paragraph" w:customStyle="1" w:styleId="20">
    <w:name w:val="111111正文"/>
    <w:basedOn w:val="1"/>
    <w:qFormat/>
    <w:uiPriority w:val="0"/>
    <w:pPr>
      <w:spacing w:line="360" w:lineRule="auto"/>
    </w:pPr>
    <w:rPr>
      <w:sz w:val="24"/>
    </w:rPr>
  </w:style>
  <w:style w:type="paragraph" w:customStyle="1" w:styleId="21">
    <w:name w:val="正文格式"/>
    <w:basedOn w:val="1"/>
    <w:qFormat/>
    <w:uiPriority w:val="0"/>
    <w:pPr>
      <w:spacing w:line="360" w:lineRule="auto"/>
      <w:ind w:firstLine="482"/>
    </w:pPr>
    <w:rPr>
      <w:rFonts w:ascii="宋体" w:hAnsi="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1913</Words>
  <Characters>2060</Characters>
  <Lines>2</Lines>
  <Paragraphs>6</Paragraphs>
  <TotalTime>1909</TotalTime>
  <ScaleCrop>false</ScaleCrop>
  <LinksUpToDate>false</LinksUpToDate>
  <CharactersWithSpaces>2128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2024-08-30T02:57:00Z</dcterms:created>
  <dc:creator>Administrator</dc:creator>
  <cp:lastModifiedBy>Administrator</cp:lastModifiedBy>
  <cp:lastPrinted>2024-08-29T18:28:00Z</cp:lastPrinted>
  <dcterms:modified xsi:type="dcterms:W3CDTF">2024-10-30T06:39:36Z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8A26AE7AA06642C39C85DDB82BF1B65F_13</vt:lpwstr>
  </property>
</Properties>
</file>