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C43B2">
      <w:pPr>
        <w:tabs>
          <w:tab w:val="left" w:pos="8280"/>
        </w:tabs>
        <w:spacing w:line="580" w:lineRule="exact"/>
        <w:ind w:right="26" w:firstLine="0" w:firstLineChars="0"/>
        <w:jc w:val="right"/>
        <w:rPr>
          <w:rFonts w:hint="eastAsia" w:eastAsia="仿宋"/>
        </w:rPr>
      </w:pPr>
    </w:p>
    <w:p w14:paraId="499636BA">
      <w:pPr>
        <w:tabs>
          <w:tab w:val="left" w:pos="8280"/>
        </w:tabs>
        <w:spacing w:line="580" w:lineRule="exact"/>
        <w:ind w:right="26" w:firstLine="0" w:firstLineChars="0"/>
        <w:jc w:val="right"/>
        <w:rPr>
          <w:rFonts w:eastAsia="仿宋"/>
        </w:rPr>
      </w:pPr>
    </w:p>
    <w:p w14:paraId="2F5396E4">
      <w:pPr>
        <w:pStyle w:val="4"/>
        <w:spacing w:line="580" w:lineRule="exact"/>
        <w:ind w:firstLine="640"/>
        <w:rPr>
          <w:rFonts w:eastAsia="仿宋"/>
        </w:rPr>
      </w:pPr>
    </w:p>
    <w:p w14:paraId="77C611B8">
      <w:pPr>
        <w:pStyle w:val="4"/>
        <w:spacing w:line="580" w:lineRule="exact"/>
        <w:ind w:firstLine="640"/>
        <w:rPr>
          <w:rFonts w:eastAsia="仿宋"/>
        </w:rPr>
      </w:pPr>
    </w:p>
    <w:p w14:paraId="55742780">
      <w:pPr>
        <w:pStyle w:val="4"/>
        <w:spacing w:line="580" w:lineRule="exact"/>
        <w:ind w:firstLine="640"/>
        <w:rPr>
          <w:rFonts w:eastAsia="仿宋"/>
        </w:rPr>
      </w:pPr>
    </w:p>
    <w:p w14:paraId="129518D1">
      <w:pPr>
        <w:pStyle w:val="4"/>
        <w:spacing w:line="580" w:lineRule="exact"/>
        <w:ind w:firstLine="640"/>
        <w:rPr>
          <w:rFonts w:eastAsia="仿宋"/>
        </w:rPr>
      </w:pPr>
    </w:p>
    <w:p w14:paraId="6272848B">
      <w:pPr>
        <w:pStyle w:val="4"/>
        <w:spacing w:line="580" w:lineRule="exact"/>
        <w:ind w:firstLine="640"/>
        <w:rPr>
          <w:rFonts w:eastAsia="仿宋"/>
        </w:rPr>
      </w:pPr>
    </w:p>
    <w:p w14:paraId="547B91F7">
      <w:pPr>
        <w:pStyle w:val="5"/>
        <w:spacing w:line="580" w:lineRule="exact"/>
        <w:ind w:left="0" w:leftChars="0" w:firstLine="0" w:firstLineChars="0"/>
      </w:pPr>
    </w:p>
    <w:p w14:paraId="050C1173">
      <w:pPr>
        <w:pStyle w:val="9"/>
        <w:spacing w:line="580" w:lineRule="exact"/>
        <w:ind w:firstLine="320"/>
      </w:pPr>
    </w:p>
    <w:p w14:paraId="5F47F142">
      <w:pPr>
        <w:tabs>
          <w:tab w:val="left" w:pos="8280"/>
        </w:tabs>
        <w:spacing w:line="600" w:lineRule="exact"/>
        <w:ind w:right="26" w:firstLine="0" w:firstLineChars="0"/>
        <w:jc w:val="center"/>
        <w:outlineLvl w:val="0"/>
      </w:pPr>
      <w:r>
        <w:t>鄂环</w:t>
      </w:r>
      <w:r>
        <w:rPr>
          <w:rFonts w:hint="eastAsia"/>
        </w:rPr>
        <w:t>审</w:t>
      </w:r>
      <w:r>
        <w:t>字〔20</w:t>
      </w:r>
      <w:r>
        <w:rPr>
          <w:rFonts w:hint="eastAsia"/>
        </w:rPr>
        <w:t>24</w:t>
      </w:r>
      <w:r>
        <w:t>〕</w:t>
      </w:r>
      <w:r>
        <w:rPr>
          <w:rFonts w:hint="eastAsia"/>
        </w:rPr>
        <w:t>15</w:t>
      </w:r>
      <w:r>
        <w:rPr>
          <w:rFonts w:hint="eastAsia"/>
          <w:lang w:val="en-US" w:eastAsia="zh-CN"/>
        </w:rPr>
        <w:t>2</w:t>
      </w:r>
      <w:r>
        <w:t>号</w:t>
      </w:r>
    </w:p>
    <w:p w14:paraId="6ED40A07">
      <w:pPr>
        <w:tabs>
          <w:tab w:val="left" w:pos="6780"/>
        </w:tabs>
        <w:spacing w:line="600" w:lineRule="exact"/>
        <w:ind w:firstLine="0" w:firstLineChars="0"/>
        <w:jc w:val="center"/>
        <w:rPr>
          <w:rFonts w:eastAsia="仿宋"/>
          <w:b/>
          <w:sz w:val="48"/>
          <w:szCs w:val="48"/>
        </w:rPr>
      </w:pPr>
    </w:p>
    <w:p w14:paraId="5E6CFA84">
      <w:pPr>
        <w:spacing w:line="600" w:lineRule="exact"/>
        <w:ind w:firstLine="0" w:firstLineChars="0"/>
        <w:jc w:val="center"/>
        <w:outlineLvl w:val="0"/>
        <w:rPr>
          <w:rFonts w:hint="eastAsia" w:eastAsia="宋体"/>
          <w:b/>
          <w:w w:val="95"/>
          <w:sz w:val="44"/>
          <w:szCs w:val="44"/>
        </w:rPr>
      </w:pPr>
      <w:r>
        <w:rPr>
          <w:rFonts w:eastAsia="宋体"/>
          <w:b/>
          <w:w w:val="95"/>
          <w:sz w:val="44"/>
          <w:szCs w:val="44"/>
        </w:rPr>
        <w:t>鄂尔多斯市</w:t>
      </w:r>
      <w:r>
        <w:rPr>
          <w:rFonts w:hint="eastAsia" w:eastAsia="宋体"/>
          <w:b/>
          <w:w w:val="95"/>
          <w:sz w:val="44"/>
          <w:szCs w:val="44"/>
        </w:rPr>
        <w:t>生态环境</w:t>
      </w:r>
      <w:r>
        <w:rPr>
          <w:rFonts w:eastAsia="宋体"/>
          <w:b/>
          <w:w w:val="95"/>
          <w:sz w:val="44"/>
          <w:szCs w:val="44"/>
        </w:rPr>
        <w:t>局</w:t>
      </w:r>
      <w:r>
        <w:rPr>
          <w:rFonts w:hint="eastAsia" w:eastAsia="宋体"/>
          <w:b/>
          <w:w w:val="95"/>
          <w:sz w:val="44"/>
          <w:szCs w:val="44"/>
        </w:rPr>
        <w:t>关于</w:t>
      </w:r>
    </w:p>
    <w:p w14:paraId="57FA82B1">
      <w:pPr>
        <w:spacing w:line="600" w:lineRule="exact"/>
        <w:ind w:firstLine="0" w:firstLineChars="0"/>
        <w:jc w:val="center"/>
        <w:outlineLvl w:val="0"/>
        <w:rPr>
          <w:rFonts w:hint="eastAsia" w:eastAsia="宋体"/>
          <w:b/>
          <w:w w:val="95"/>
          <w:sz w:val="44"/>
          <w:szCs w:val="44"/>
        </w:rPr>
      </w:pPr>
      <w:r>
        <w:rPr>
          <w:rFonts w:hint="eastAsia" w:eastAsia="宋体"/>
          <w:b/>
          <w:w w:val="95"/>
          <w:sz w:val="44"/>
          <w:szCs w:val="44"/>
        </w:rPr>
        <w:t>长庆油田分公司第五采气厂2024年产能建设</w:t>
      </w:r>
    </w:p>
    <w:p w14:paraId="0C5B233E">
      <w:pPr>
        <w:spacing w:line="600" w:lineRule="exact"/>
        <w:ind w:firstLine="0" w:firstLineChars="0"/>
        <w:jc w:val="center"/>
        <w:outlineLvl w:val="0"/>
        <w:rPr>
          <w:rFonts w:eastAsia="宋体"/>
          <w:b/>
          <w:w w:val="95"/>
          <w:sz w:val="44"/>
          <w:szCs w:val="44"/>
        </w:rPr>
      </w:pPr>
      <w:r>
        <w:rPr>
          <w:rFonts w:hint="eastAsia" w:eastAsia="宋体"/>
          <w:b/>
          <w:w w:val="95"/>
          <w:sz w:val="44"/>
          <w:szCs w:val="44"/>
        </w:rPr>
        <w:t>项目环境影响报告书</w:t>
      </w:r>
      <w:r>
        <w:rPr>
          <w:rFonts w:eastAsia="宋体"/>
          <w:b/>
          <w:w w:val="95"/>
          <w:sz w:val="44"/>
          <w:szCs w:val="44"/>
        </w:rPr>
        <w:t>的批复</w:t>
      </w:r>
    </w:p>
    <w:p w14:paraId="1E85C369">
      <w:pPr>
        <w:adjustRightInd w:val="0"/>
        <w:snapToGrid w:val="0"/>
        <w:spacing w:line="600" w:lineRule="exact"/>
        <w:ind w:firstLine="640"/>
        <w:rPr>
          <w:rFonts w:hint="eastAsia" w:ascii="仿宋" w:hAnsi="仿宋" w:eastAsia="仿宋" w:cs="仿宋"/>
          <w:szCs w:val="32"/>
        </w:rPr>
      </w:pPr>
    </w:p>
    <w:p w14:paraId="54851140">
      <w:pPr>
        <w:adjustRightInd w:val="0"/>
        <w:snapToGrid w:val="0"/>
        <w:spacing w:line="600" w:lineRule="exact"/>
        <w:ind w:firstLine="0" w:firstLineChars="0"/>
        <w:rPr>
          <w:rFonts w:hint="eastAsia" w:ascii="仿宋" w:hAnsi="仿宋" w:eastAsia="仿宋" w:cs="仿宋"/>
          <w:kern w:val="0"/>
          <w:szCs w:val="32"/>
          <w:highlight w:val="yellow"/>
        </w:rPr>
      </w:pPr>
      <w:r>
        <w:rPr>
          <w:rFonts w:hint="eastAsia" w:ascii="仿宋" w:hAnsi="仿宋" w:eastAsia="仿宋" w:cs="仿宋"/>
          <w:szCs w:val="32"/>
        </w:rPr>
        <w:t>中国石油天然气股份有限公司长庆油田分公司第五采气厂：</w:t>
      </w:r>
    </w:p>
    <w:p w14:paraId="0C3C4B53">
      <w:pPr>
        <w:adjustRightInd w:val="0"/>
        <w:snapToGrid w:val="0"/>
        <w:spacing w:line="600" w:lineRule="exact"/>
        <w:ind w:firstLine="640"/>
        <w:rPr>
          <w:rFonts w:hint="eastAsia" w:ascii="仿宋" w:hAnsi="仿宋" w:eastAsia="仿宋" w:cs="仿宋"/>
          <w:szCs w:val="32"/>
        </w:rPr>
      </w:pPr>
      <w:r>
        <w:rPr>
          <w:rFonts w:hint="eastAsia" w:ascii="仿宋" w:hAnsi="仿宋" w:eastAsia="仿宋" w:cs="仿宋"/>
          <w:szCs w:val="32"/>
        </w:rPr>
        <w:t>你公司报送的由核工业二〇三研究所编制的《</w:t>
      </w:r>
      <w:r>
        <w:rPr>
          <w:rFonts w:hint="eastAsia" w:ascii="仿宋" w:hAnsi="仿宋" w:eastAsia="仿宋" w:cs="仿宋"/>
        </w:rPr>
        <w:t>长庆油田分公司第五采气厂2024年产能建设项目环境影响报告书</w:t>
      </w:r>
      <w:r>
        <w:rPr>
          <w:rFonts w:hint="eastAsia" w:ascii="仿宋" w:hAnsi="仿宋" w:eastAsia="仿宋" w:cs="仿宋"/>
          <w:szCs w:val="32"/>
        </w:rPr>
        <w:t>》（以下简称《报告书》）收悉。我局综合保障中心组织专家对该项目进行了技术评估，并形成了该项目的技术评估报告，根据《报告书》和《技术评估报告》，经研究，现批复如下：</w:t>
      </w:r>
    </w:p>
    <w:p w14:paraId="3717483D">
      <w:pPr>
        <w:adjustRightInd w:val="0"/>
        <w:snapToGrid w:val="0"/>
        <w:spacing w:line="520" w:lineRule="exact"/>
        <w:ind w:firstLine="640"/>
        <w:rPr>
          <w:rFonts w:hint="eastAsia" w:ascii="仿宋" w:hAnsi="仿宋" w:eastAsia="仿宋" w:cs="仿宋"/>
        </w:rPr>
      </w:pPr>
      <w:r>
        <w:rPr>
          <w:rFonts w:hint="eastAsia" w:ascii="仿宋" w:hAnsi="仿宋" w:eastAsia="仿宋" w:cs="仿宋"/>
        </w:rPr>
        <w:t>一、长庆油田分公司第五采气厂2024年产能建设项目(以下简称本项目)，位于内蒙古自治区鄂尔多斯市乌审旗和伊金霍洛旗境内。本项目弥补递减产能 6.5×10</w:t>
      </w:r>
      <w:r>
        <w:rPr>
          <w:rFonts w:hint="eastAsia" w:ascii="仿宋" w:hAnsi="仿宋" w:eastAsia="仿宋" w:cs="仿宋"/>
          <w:vertAlign w:val="superscript"/>
        </w:rPr>
        <w:t>8</w:t>
      </w:r>
      <w:r>
        <w:rPr>
          <w:rFonts w:hint="eastAsia" w:ascii="仿宋" w:hAnsi="仿宋" w:eastAsia="仿宋" w:cs="仿宋"/>
        </w:rPr>
        <w:t>立方米/年，主要建设内容为：新建261口天然气井，涉及74座井场，新建60条采气管线，共111.796千米；新建1条18.002千米的集气支线；新建21条注醇管线，共24.398千米，与采气管线同管沟敷设；新建2条采出液管线，共32.338千米；新建一座苏东-24集气站，设计规模100×10</w:t>
      </w:r>
      <w:r>
        <w:rPr>
          <w:rFonts w:hint="eastAsia" w:ascii="仿宋" w:hAnsi="仿宋" w:eastAsia="仿宋" w:cs="仿宋"/>
          <w:vertAlign w:val="superscript"/>
        </w:rPr>
        <w:t>4</w:t>
      </w:r>
      <w:r>
        <w:rPr>
          <w:rFonts w:hint="eastAsia" w:ascii="仿宋" w:hAnsi="仿宋" w:eastAsia="仿宋" w:cs="仿宋"/>
        </w:rPr>
        <w:t>立方米/年，集气站新建进站道路长1.61千米、路基宽度约4.5米,路面宽度约3.5米；对现有苏东-14集气站、苏东-3#采出水处理及回注站、苏东-5X集气站、苏东-7集气站、苏东-11集气站、苏东-12集气站、苏东-13集气站、苏东-15集气站、苏东-20集气站、苏东-21集气站进行改建；同时配套建设相关仪表、通信、消防、防腐等设施。总投资27037.4万元，其中环保投资</w:t>
      </w:r>
      <w:bookmarkStart w:id="0" w:name="_GoBack"/>
      <w:r>
        <w:rPr>
          <w:rFonts w:hint="eastAsia" w:ascii="仿宋" w:hAnsi="仿宋" w:eastAsia="仿宋" w:cs="仿宋"/>
        </w:rPr>
        <w:t>3989.85</w:t>
      </w:r>
      <w:bookmarkEnd w:id="0"/>
      <w:r>
        <w:rPr>
          <w:rFonts w:hint="eastAsia" w:ascii="仿宋" w:hAnsi="仿宋" w:eastAsia="仿宋" w:cs="仿宋"/>
        </w:rPr>
        <w:t>万元。</w:t>
      </w:r>
    </w:p>
    <w:p w14:paraId="42AD1A44">
      <w:pPr>
        <w:adjustRightInd w:val="0"/>
        <w:snapToGrid w:val="0"/>
        <w:spacing w:line="520" w:lineRule="exact"/>
        <w:ind w:firstLine="640"/>
        <w:rPr>
          <w:rFonts w:hint="eastAsia" w:ascii="仿宋" w:hAnsi="仿宋" w:eastAsia="仿宋" w:cs="仿宋"/>
        </w:rPr>
      </w:pPr>
      <w:r>
        <w:rPr>
          <w:rFonts w:hint="eastAsia" w:ascii="仿宋" w:hAnsi="仿宋" w:eastAsia="仿宋" w:cs="仿宋"/>
        </w:rPr>
        <w:t>《报告书》和《技术评估报告》认为，在全面落实各项生态环境保护和环境污染防治措施的前提下，项目建设对环境的不利影响能够得到一定的缓解和控制。因此，我局原则同意你公司按照《报告书》中所列的建设项目性质、规模、地点、工艺、生态环境保护措施及下述要求进行建设。</w:t>
      </w:r>
    </w:p>
    <w:p w14:paraId="2378CCE2">
      <w:pPr>
        <w:adjustRightInd w:val="0"/>
        <w:spacing w:line="520" w:lineRule="exact"/>
        <w:ind w:firstLine="640"/>
        <w:textAlignment w:val="baseline"/>
        <w:rPr>
          <w:rFonts w:hint="eastAsia" w:ascii="仿宋" w:hAnsi="仿宋" w:eastAsia="仿宋" w:cs="仿宋"/>
          <w:szCs w:val="32"/>
        </w:rPr>
      </w:pPr>
      <w:r>
        <w:rPr>
          <w:rFonts w:hint="eastAsia" w:ascii="仿宋" w:hAnsi="仿宋" w:eastAsia="仿宋" w:cs="仿宋"/>
          <w:szCs w:val="32"/>
        </w:rPr>
        <w:t>二、项目建设与运行管理中应重点做好的工作：</w:t>
      </w:r>
    </w:p>
    <w:p w14:paraId="27F356A7">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outlineLvl w:val="9"/>
        <w:rPr>
          <w:rFonts w:hint="eastAsia" w:ascii="仿宋" w:hAnsi="仿宋" w:eastAsia="仿宋" w:cs="仿宋"/>
        </w:rPr>
      </w:pPr>
      <w:r>
        <w:rPr>
          <w:rFonts w:hint="eastAsia" w:ascii="仿宋" w:hAnsi="仿宋" w:eastAsia="仿宋" w:cs="仿宋"/>
          <w:szCs w:val="32"/>
        </w:rPr>
        <w:t>1.生态环境保护及恢复措施。严格按照相关法律法规和主管部门要求，</w:t>
      </w:r>
      <w:r>
        <w:rPr>
          <w:rFonts w:ascii="仿宋" w:hAnsi="仿宋" w:eastAsia="仿宋" w:cs="仿宋"/>
          <w:szCs w:val="32"/>
        </w:rPr>
        <w:t>做好</w:t>
      </w:r>
      <w:r>
        <w:rPr>
          <w:rFonts w:hint="eastAsia" w:ascii="仿宋" w:hAnsi="仿宋" w:eastAsia="仿宋" w:cs="仿宋"/>
          <w:szCs w:val="32"/>
        </w:rPr>
        <w:t>文物保护</w:t>
      </w:r>
      <w:r>
        <w:rPr>
          <w:rFonts w:hint="eastAsia" w:ascii="仿宋" w:hAnsi="仿宋" w:eastAsia="仿宋" w:cs="仿宋"/>
          <w:szCs w:val="32"/>
          <w:lang w:eastAsia="zh-CN"/>
        </w:rPr>
        <w:t>、</w:t>
      </w:r>
      <w:r>
        <w:rPr>
          <w:rFonts w:ascii="仿宋" w:hAnsi="仿宋" w:eastAsia="仿宋" w:cs="仿宋"/>
          <w:szCs w:val="32"/>
        </w:rPr>
        <w:t>林地、耕地、</w:t>
      </w:r>
      <w:r>
        <w:rPr>
          <w:rFonts w:hint="eastAsia" w:ascii="仿宋" w:hAnsi="仿宋" w:eastAsia="仿宋" w:cs="仿宋"/>
          <w:szCs w:val="32"/>
          <w:lang w:eastAsia="zh-CN"/>
        </w:rPr>
        <w:t>牧</w:t>
      </w:r>
      <w:r>
        <w:rPr>
          <w:rFonts w:ascii="仿宋" w:hAnsi="仿宋" w:eastAsia="仿宋" w:cs="仿宋"/>
          <w:szCs w:val="32"/>
        </w:rPr>
        <w:t>草地、</w:t>
      </w:r>
      <w:r>
        <w:rPr>
          <w:rFonts w:hint="eastAsia" w:ascii="仿宋" w:hAnsi="仿宋" w:eastAsia="仿宋" w:cs="仿宋"/>
          <w:szCs w:val="32"/>
          <w:lang w:eastAsia="zh-CN"/>
        </w:rPr>
        <w:t>生态保护红线、基本农田、基本草原、公益林</w:t>
      </w:r>
      <w:r>
        <w:rPr>
          <w:rFonts w:ascii="仿宋" w:hAnsi="仿宋" w:eastAsia="仿宋" w:cs="仿宋"/>
          <w:szCs w:val="32"/>
        </w:rPr>
        <w:t>等保护、恢复和补偿工作</w:t>
      </w:r>
      <w:r>
        <w:rPr>
          <w:rFonts w:hint="eastAsia" w:ascii="仿宋" w:hAnsi="仿宋" w:eastAsia="仿宋" w:cs="仿宋"/>
          <w:szCs w:val="32"/>
        </w:rPr>
        <w:t>，确保符合其管控要求且生态功能不降低</w:t>
      </w:r>
      <w:r>
        <w:rPr>
          <w:rFonts w:hint="eastAsia" w:ascii="仿宋" w:hAnsi="仿宋" w:eastAsia="仿宋" w:cs="仿宋"/>
          <w:szCs w:val="32"/>
          <w:lang w:eastAsia="zh-CN"/>
        </w:rPr>
        <w:t>。</w:t>
      </w:r>
      <w:r>
        <w:rPr>
          <w:rFonts w:hint="eastAsia" w:ascii="仿宋" w:hAnsi="仿宋" w:eastAsia="仿宋" w:cs="仿宋"/>
        </w:rPr>
        <w:t>减少钻井、井下作业与地面工程设施建设临时占地和永久占地</w:t>
      </w:r>
      <w:r>
        <w:rPr>
          <w:rFonts w:hint="eastAsia" w:ascii="仿宋" w:hAnsi="仿宋" w:eastAsia="仿宋" w:cs="仿宋"/>
          <w:lang w:eastAsia="zh-CN"/>
        </w:rPr>
        <w:t>，</w:t>
      </w:r>
      <w:r>
        <w:rPr>
          <w:rFonts w:hint="eastAsia" w:ascii="仿宋" w:hAnsi="仿宋" w:eastAsia="仿宋" w:cs="仿宋"/>
        </w:rPr>
        <w:t>切实做好泥浆不落地工作。施工结束后,及时将临时占用的耕地复垦,其他土地类型采取覆土植草措施,栽植植物以沙柳、柠条等灌木为主,同时撒播草籽。站场施工作业要严格管理,不得在施工带以外的地区活动</w:t>
      </w:r>
      <w:r>
        <w:rPr>
          <w:rFonts w:hint="eastAsia" w:ascii="仿宋" w:hAnsi="仿宋" w:eastAsia="仿宋" w:cs="仿宋"/>
          <w:lang w:eastAsia="zh-CN"/>
        </w:rPr>
        <w:t>。道路、管道施工过程中无法避让必须占用的植被,挖掘时将表层土、底层土分开堆放，施工结束后将管线作业带土地平整、覆土。</w:t>
      </w:r>
      <w:r>
        <w:rPr>
          <w:rFonts w:hint="eastAsia" w:ascii="仿宋" w:hAnsi="仿宋" w:eastAsia="仿宋" w:cs="仿宋"/>
        </w:rPr>
        <w:t>运营期应加强对井场、站场、管线、道路绿化植被的抚育工作,并定期采取补种等措施,使植被覆盖度不低于项目周边。</w:t>
      </w:r>
    </w:p>
    <w:p w14:paraId="227DC557">
      <w:pPr>
        <w:pStyle w:val="4"/>
        <w:spacing w:line="520" w:lineRule="exact"/>
        <w:ind w:firstLine="640"/>
        <w:rPr>
          <w:rFonts w:hint="eastAsia" w:ascii="仿宋" w:hAnsi="仿宋" w:eastAsia="仿宋" w:cs="仿宋"/>
          <w:kern w:val="2"/>
        </w:rPr>
      </w:pPr>
      <w:r>
        <w:rPr>
          <w:rFonts w:hint="eastAsia" w:ascii="仿宋" w:hAnsi="仿宋" w:eastAsia="仿宋" w:cs="仿宋"/>
          <w:szCs w:val="32"/>
          <w:lang w:val="en-US" w:eastAsia="zh-CN"/>
        </w:rPr>
        <w:t>2</w:t>
      </w:r>
      <w:r>
        <w:rPr>
          <w:rFonts w:hint="eastAsia" w:ascii="仿宋" w:hAnsi="仿宋" w:eastAsia="仿宋" w:cs="仿宋"/>
          <w:szCs w:val="32"/>
        </w:rPr>
        <w:t>.</w:t>
      </w:r>
      <w:r>
        <w:rPr>
          <w:rFonts w:hint="eastAsia" w:ascii="仿宋" w:hAnsi="仿宋" w:eastAsia="仿宋" w:cs="仿宋"/>
          <w:kern w:val="2"/>
        </w:rPr>
        <w:t>严格落实《报告书》提出的大气污染防治措施。加强施工期环境管理</w:t>
      </w:r>
      <w:r>
        <w:rPr>
          <w:rFonts w:hint="eastAsia" w:ascii="仿宋" w:hAnsi="仿宋" w:eastAsia="仿宋" w:cs="仿宋"/>
          <w:kern w:val="2"/>
          <w:lang w:eastAsia="zh-CN"/>
        </w:rPr>
        <w:t>，定期清扫、洒水，散装物料集中堆置，并采取遮盖或围栏等防扬散、防泄漏、防渗漏措施，采用低能耗、高效率的柴油机和柴油发电机，加强施工机械设备及运输车辆的日常维护、保养。运营期</w:t>
      </w:r>
      <w:r>
        <w:rPr>
          <w:rFonts w:hint="eastAsia" w:ascii="仿宋" w:hAnsi="仿宋" w:eastAsia="仿宋" w:cs="仿宋"/>
          <w:kern w:val="2"/>
        </w:rPr>
        <w:t>天然气、甲醇集输过程采用管道密闭输送,加强工艺设备的密封性、减少无组织烃类逸散；井口、站场设紧急截断阀,外输管线设截断阀室，最大限度减少事故状态下的排放量；集气站设清管收发装置须实现不停气密闭清管，避免清管过程中天然气的大量放空；定期检查各管道等有阀门的地方，及时消除事故隐患；现有集气站使用新增闪蒸气回收一体化集成装置对采出液闪蒸气进行回收利用。压缩机废气污染物排放浓度须满足《大气污染物综合排放标准》(GB16297-1996)标准要求。</w:t>
      </w:r>
    </w:p>
    <w:p w14:paraId="138B0A8D">
      <w:pPr>
        <w:pStyle w:val="4"/>
        <w:spacing w:line="520" w:lineRule="exact"/>
        <w:ind w:firstLine="640"/>
        <w:rPr>
          <w:rFonts w:hint="eastAsia" w:ascii="仿宋" w:hAnsi="仿宋" w:eastAsia="仿宋" w:cs="仿宋"/>
          <w:szCs w:val="32"/>
        </w:rPr>
      </w:pPr>
      <w:r>
        <w:rPr>
          <w:rFonts w:hint="eastAsia" w:ascii="仿宋" w:hAnsi="仿宋" w:eastAsia="仿宋" w:cs="仿宋"/>
          <w:szCs w:val="32"/>
          <w:lang w:val="en-US" w:eastAsia="zh-CN"/>
        </w:rPr>
        <w:t>3</w:t>
      </w:r>
      <w:r>
        <w:rPr>
          <w:rFonts w:hint="eastAsia" w:ascii="仿宋" w:hAnsi="仿宋" w:eastAsia="仿宋" w:cs="仿宋"/>
          <w:szCs w:val="32"/>
        </w:rPr>
        <w:t>.</w:t>
      </w:r>
      <w:r>
        <w:rPr>
          <w:rFonts w:hint="eastAsia" w:ascii="仿宋" w:hAnsi="仿宋" w:eastAsia="仿宋" w:cs="仿宋"/>
          <w:kern w:val="2"/>
        </w:rPr>
        <w:t>严格落实《报告书》提出的水污染防治措施。施工期钻井过程中须采用无毒无害的水基钻井液，钻井工程采用泥浆不落地工艺，钻井废水装入废液储存罐经沉淀后钻井废水回用于本井场钻井液配置，作业完成后用于下一井场循环利用，不外排；管道试压废水经收集沉淀后用于管线周边洒水抑尘，不外排；施工人员生活污水排入生活污水罐暂存，定期由罐车拉运至当地生活污水处理厂处置，改建站依托现有站生活污水处理设施处理。</w:t>
      </w:r>
      <w:r>
        <w:rPr>
          <w:rFonts w:hint="eastAsia" w:ascii="仿宋" w:hAnsi="仿宋" w:eastAsia="仿宋" w:cs="仿宋"/>
          <w:kern w:val="2"/>
          <w:lang w:eastAsia="zh-CN"/>
        </w:rPr>
        <w:t>运营期</w:t>
      </w:r>
      <w:r>
        <w:rPr>
          <w:rFonts w:hint="eastAsia" w:ascii="仿宋" w:hAnsi="仿宋" w:eastAsia="仿宋" w:cs="仿宋"/>
          <w:kern w:val="2"/>
        </w:rPr>
        <w:t>采出水管道输送(非正常情况下由罐车拉运)至苏东3#采出水处理回注站和苏里格第二天然气处理厂采出水处理站，满足《气田水注入技术要求》(SY/T6596-2016)相关要求及《气田水回注技术规范》(Q/SY01004-2016)气田水回注推荐水质主要控制指标</w:t>
      </w:r>
      <w:r>
        <w:rPr>
          <w:rFonts w:hint="eastAsia" w:ascii="仿宋" w:hAnsi="仿宋" w:eastAsia="仿宋" w:cs="仿宋"/>
          <w:kern w:val="2"/>
          <w:lang w:eastAsia="zh-CN"/>
        </w:rPr>
        <w:t>要求</w:t>
      </w:r>
      <w:r>
        <w:rPr>
          <w:rFonts w:hint="eastAsia" w:ascii="仿宋" w:hAnsi="仿宋" w:eastAsia="仿宋" w:cs="仿宋"/>
          <w:kern w:val="2"/>
        </w:rPr>
        <w:t>后回注地层</w:t>
      </w:r>
      <w:r>
        <w:rPr>
          <w:rFonts w:hint="eastAsia" w:ascii="仿宋" w:hAnsi="仿宋" w:eastAsia="仿宋" w:cs="仿宋"/>
          <w:kern w:val="2"/>
          <w:lang w:eastAsia="zh-CN"/>
        </w:rPr>
        <w:t>，</w:t>
      </w:r>
      <w:r>
        <w:rPr>
          <w:rFonts w:hint="eastAsia" w:ascii="仿宋" w:hAnsi="仿宋" w:eastAsia="仿宋" w:cs="仿宋"/>
          <w:kern w:val="2"/>
        </w:rPr>
        <w:t>不外排。</w:t>
      </w:r>
    </w:p>
    <w:p w14:paraId="709B3A9A">
      <w:pPr>
        <w:pStyle w:val="4"/>
        <w:spacing w:line="520" w:lineRule="exact"/>
        <w:ind w:firstLine="640"/>
        <w:rPr>
          <w:rFonts w:hint="eastAsia" w:ascii="仿宋" w:hAnsi="仿宋" w:eastAsia="仿宋" w:cs="仿宋"/>
          <w:kern w:val="2"/>
        </w:rPr>
      </w:pPr>
      <w:r>
        <w:rPr>
          <w:rFonts w:hint="eastAsia" w:ascii="仿宋" w:hAnsi="仿宋" w:eastAsia="仿宋" w:cs="仿宋"/>
          <w:szCs w:val="32"/>
          <w:lang w:val="en-US" w:eastAsia="zh-CN"/>
        </w:rPr>
        <w:t>4</w:t>
      </w:r>
      <w:r>
        <w:rPr>
          <w:rFonts w:hint="eastAsia" w:ascii="仿宋" w:hAnsi="仿宋" w:eastAsia="仿宋" w:cs="仿宋"/>
          <w:szCs w:val="32"/>
        </w:rPr>
        <w:t>.</w:t>
      </w:r>
      <w:r>
        <w:rPr>
          <w:rFonts w:hint="eastAsia" w:ascii="仿宋" w:hAnsi="仿宋" w:eastAsia="仿宋" w:cs="仿宋"/>
          <w:kern w:val="2"/>
        </w:rPr>
        <w:t>严格落实《报告书》提出的噪声污染防治措施。施工期选用低噪声施工机械设备，运输车辆减速慢行等措施，强噪声施工机械施工时应采取隔声措施，合理安排强噪声施工机械的工作频次，施工期噪声须满足《建筑施工场界环境噪声排放标准》(GB12523-2011)的要求</w:t>
      </w:r>
      <w:r>
        <w:rPr>
          <w:rFonts w:hint="eastAsia" w:ascii="仿宋" w:hAnsi="仿宋" w:eastAsia="仿宋" w:cs="仿宋"/>
          <w:kern w:val="2"/>
          <w:lang w:eastAsia="zh-CN"/>
        </w:rPr>
        <w:t>。运营期</w:t>
      </w:r>
      <w:r>
        <w:rPr>
          <w:rFonts w:hint="eastAsia" w:ascii="仿宋" w:hAnsi="仿宋" w:eastAsia="仿宋" w:cs="仿宋"/>
          <w:kern w:val="2"/>
        </w:rPr>
        <w:t>选择低噪声设备、基础减振、吸声降噪等措施</w:t>
      </w:r>
      <w:r>
        <w:rPr>
          <w:rFonts w:hint="eastAsia" w:ascii="仿宋" w:hAnsi="仿宋" w:eastAsia="仿宋" w:cs="仿宋"/>
          <w:kern w:val="2"/>
          <w:lang w:eastAsia="zh-CN"/>
        </w:rPr>
        <w:t>，</w:t>
      </w:r>
      <w:r>
        <w:rPr>
          <w:rFonts w:hint="eastAsia" w:ascii="仿宋" w:hAnsi="仿宋" w:eastAsia="仿宋" w:cs="仿宋"/>
          <w:kern w:val="2"/>
        </w:rPr>
        <w:t>采出水外输泵底部设置采用降低泵体震动的弹性垫片</w:t>
      </w:r>
      <w:r>
        <w:rPr>
          <w:rFonts w:hint="eastAsia" w:ascii="仿宋" w:hAnsi="仿宋" w:eastAsia="仿宋" w:cs="仿宋"/>
          <w:kern w:val="2"/>
          <w:lang w:eastAsia="zh-CN"/>
        </w:rPr>
        <w:t>，</w:t>
      </w:r>
      <w:r>
        <w:rPr>
          <w:rFonts w:hint="eastAsia" w:ascii="仿宋" w:hAnsi="仿宋" w:eastAsia="仿宋" w:cs="仿宋"/>
          <w:kern w:val="2"/>
        </w:rPr>
        <w:t>厂界噪声须满足《工业企业厂界环境噪声排放标准》(GB12348-2008)2类标准的要求。</w:t>
      </w:r>
    </w:p>
    <w:p w14:paraId="19FC9A1E">
      <w:pPr>
        <w:tabs>
          <w:tab w:val="left" w:pos="1140"/>
        </w:tabs>
        <w:adjustRightInd w:val="0"/>
        <w:spacing w:line="520" w:lineRule="exact"/>
        <w:ind w:firstLine="640"/>
        <w:textAlignment w:val="baseline"/>
        <w:rPr>
          <w:rFonts w:hint="eastAsia" w:ascii="仿宋" w:hAnsi="仿宋" w:eastAsia="仿宋" w:cs="仿宋"/>
          <w:szCs w:val="32"/>
        </w:rPr>
      </w:pPr>
      <w:r>
        <w:rPr>
          <w:rFonts w:hint="eastAsia" w:ascii="仿宋" w:hAnsi="仿宋" w:eastAsia="仿宋" w:cs="仿宋"/>
          <w:szCs w:val="32"/>
          <w:lang w:val="en-US" w:eastAsia="zh-CN"/>
        </w:rPr>
        <w:t>5</w:t>
      </w:r>
      <w:r>
        <w:rPr>
          <w:rFonts w:hint="eastAsia" w:ascii="仿宋" w:hAnsi="仿宋" w:eastAsia="仿宋" w:cs="仿宋"/>
          <w:szCs w:val="32"/>
        </w:rPr>
        <w:t>.严格落实《报告书》提出的固废污染防治措施。根据国家和地方的有关规定，按照“减量化、资源化、无害化”原则，对固体废物进行分类收集、处理和处置，确保不造成二次污染。钻井过程中产生的泥浆、岩屑等工业固体废物应当分层收集、处理。各类固废严格按照《危险废物贮存污染控制标准》（GB18597-2023）、《一般工业固体废物贮存和填埋污染控制标准》（GB18599-2020）的要求，分类做好存贮和安全处置工作。一般固体废物应立足于综合利用，危险废物委托有资质单位处置。</w:t>
      </w:r>
    </w:p>
    <w:p w14:paraId="22F18EAE">
      <w:pPr>
        <w:adjustRightInd w:val="0"/>
        <w:spacing w:line="520" w:lineRule="exact"/>
        <w:ind w:firstLine="640"/>
        <w:textAlignment w:val="baseline"/>
        <w:rPr>
          <w:rFonts w:hint="eastAsia" w:ascii="仿宋" w:hAnsi="仿宋" w:eastAsia="仿宋" w:cs="仿宋"/>
          <w:szCs w:val="20"/>
        </w:rPr>
      </w:pPr>
      <w:r>
        <w:rPr>
          <w:rFonts w:hint="eastAsia" w:ascii="仿宋" w:hAnsi="仿宋" w:eastAsia="仿宋" w:cs="仿宋"/>
          <w:szCs w:val="20"/>
          <w:lang w:val="en-US" w:eastAsia="zh-CN"/>
        </w:rPr>
        <w:t>6</w:t>
      </w:r>
      <w:r>
        <w:rPr>
          <w:rFonts w:hint="eastAsia" w:ascii="仿宋" w:hAnsi="仿宋" w:eastAsia="仿宋" w:cs="仿宋"/>
          <w:szCs w:val="20"/>
        </w:rPr>
        <w:t>.切实落实地下水环境及土壤环境保护措施。严格按照《环境影响评价技术导则 地下水环境》（HJ 610-2016）、《环境影响评价技术导则 土壤环境（试行）》（HJ 964—2018）及《排污单位自行监测技术指南 陆上石油天然气开发》（HJ1248-2022）等要求，采取分区防渗措施，建立完善的土壤地下水监测制度并按照要求监测。</w:t>
      </w:r>
    </w:p>
    <w:p w14:paraId="3045E5CC">
      <w:pPr>
        <w:adjustRightInd w:val="0"/>
        <w:snapToGrid w:val="0"/>
        <w:spacing w:line="520" w:lineRule="exact"/>
        <w:ind w:firstLine="640"/>
        <w:rPr>
          <w:rFonts w:hint="eastAsia" w:ascii="仿宋" w:hAnsi="仿宋" w:eastAsia="仿宋" w:cs="仿宋"/>
        </w:rPr>
      </w:pPr>
      <w:r>
        <w:rPr>
          <w:rFonts w:hint="eastAsia" w:ascii="仿宋" w:hAnsi="仿宋" w:eastAsia="仿宋" w:cs="仿宋"/>
          <w:szCs w:val="32"/>
          <w:lang w:val="en-US" w:eastAsia="zh-CN"/>
        </w:rPr>
        <w:t>7</w:t>
      </w:r>
      <w:r>
        <w:rPr>
          <w:rFonts w:hint="eastAsia" w:ascii="仿宋" w:hAnsi="仿宋" w:eastAsia="仿宋" w:cs="仿宋"/>
          <w:szCs w:val="32"/>
        </w:rPr>
        <w:t>.</w:t>
      </w:r>
      <w:r>
        <w:rPr>
          <w:rFonts w:hint="eastAsia" w:ascii="仿宋" w:hAnsi="仿宋" w:eastAsia="仿宋" w:cs="仿宋"/>
        </w:rPr>
        <w:t>建设单位须强化环境风险防范，落实环保设施安全生产要求，项目污染防治设施须与主体工程一起按照安全生产要求设计，有效防范因污染物事故排放或安全生产事故可能引发的环境风险。本项目涉及的危险物质主要为天然气、硫化氢、柴油、甲醇，可能发生井喷、天然气泄漏、柴油罐以及废机油泄漏后发生的火灾爆炸事故。建设单位须严格落实《报告书》提出的相应的风险防范措施，同时建成后纳入第五采气厂应急预案管理体系中统一管理。</w:t>
      </w:r>
    </w:p>
    <w:p w14:paraId="3E7D37F9">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lang w:val="en-US" w:eastAsia="zh-CN"/>
        </w:rPr>
      </w:pPr>
      <w:r>
        <w:rPr>
          <w:rFonts w:hint="eastAsia" w:ascii="仿宋" w:hAnsi="仿宋" w:eastAsia="仿宋" w:cs="仿宋"/>
          <w:szCs w:val="32"/>
        </w:rPr>
        <w:t>三、本</w:t>
      </w:r>
      <w:r>
        <w:rPr>
          <w:rFonts w:hint="eastAsia" w:ascii="仿宋" w:hAnsi="仿宋" w:eastAsia="仿宋" w:cs="仿宋"/>
        </w:rPr>
        <w:t>项目必须严格落实《报告书》中的运营要求，征得林业草原等主管部门同意后方可开工建设</w:t>
      </w:r>
      <w:r>
        <w:rPr>
          <w:rFonts w:hint="eastAsia" w:ascii="仿宋" w:hAnsi="仿宋" w:eastAsia="仿宋" w:cs="仿宋"/>
          <w:lang w:eastAsia="zh-CN"/>
        </w:rPr>
        <w:t>，</w:t>
      </w:r>
      <w:r>
        <w:rPr>
          <w:rFonts w:hint="eastAsia" w:ascii="仿宋" w:hAnsi="仿宋" w:eastAsia="仿宋" w:cs="仿宋"/>
        </w:rPr>
        <w:t>项目在实施过程中发现文物古迹应立即停止施工并报告有关部门进行妥善处理</w:t>
      </w:r>
      <w:r>
        <w:rPr>
          <w:rFonts w:hint="eastAsia" w:ascii="仿宋" w:hAnsi="仿宋" w:eastAsia="仿宋" w:cs="仿宋"/>
          <w:lang w:eastAsia="zh-CN"/>
        </w:rPr>
        <w:t>，</w:t>
      </w:r>
      <w:r>
        <w:rPr>
          <w:rFonts w:hint="eastAsia" w:ascii="仿宋" w:hAnsi="仿宋" w:eastAsia="仿宋" w:cs="仿宋"/>
        </w:rPr>
        <w:t>严格执行环境保护“三同时”制度。项目竣工后，按照规定程序实施竣工环境保护验收，经验收合格后，方可正式投入运行</w:t>
      </w:r>
      <w:r>
        <w:rPr>
          <w:rFonts w:hint="eastAsia" w:ascii="仿宋" w:hAnsi="仿宋" w:eastAsia="仿宋" w:cs="仿宋"/>
          <w:lang w:eastAsia="zh-CN"/>
        </w:rPr>
        <w:t>，</w:t>
      </w:r>
      <w:r>
        <w:rPr>
          <w:rFonts w:hint="eastAsia" w:ascii="仿宋" w:hAnsi="仿宋" w:eastAsia="仿宋" w:cs="仿宋"/>
          <w:lang w:val="en-US" w:eastAsia="zh-CN"/>
        </w:rPr>
        <w:t xml:space="preserve">  </w:t>
      </w:r>
    </w:p>
    <w:p w14:paraId="17799E2C">
      <w:pPr>
        <w:keepNext w:val="0"/>
        <w:keepLines w:val="0"/>
        <w:pageBreakBefore w:val="0"/>
        <w:widowControl w:val="0"/>
        <w:kinsoku/>
        <w:wordWrap/>
        <w:overflowPunct/>
        <w:topLinePunct w:val="0"/>
        <w:autoSpaceDE/>
        <w:autoSpaceDN/>
        <w:bidi w:val="0"/>
        <w:adjustRightInd w:val="0"/>
        <w:snapToGrid w:val="0"/>
        <w:spacing w:line="520" w:lineRule="exact"/>
        <w:ind w:firstLine="640"/>
        <w:textAlignment w:val="auto"/>
        <w:rPr>
          <w:rFonts w:hint="eastAsia" w:ascii="仿宋" w:hAnsi="仿宋" w:eastAsia="仿宋" w:cs="仿宋"/>
        </w:rPr>
      </w:pPr>
      <w:r>
        <w:rPr>
          <w:rFonts w:hint="eastAsia" w:ascii="仿宋" w:hAnsi="仿宋" w:eastAsia="仿宋" w:cs="仿宋"/>
          <w:szCs w:val="32"/>
        </w:rPr>
        <w:t>四、</w:t>
      </w:r>
      <w:r>
        <w:rPr>
          <w:rFonts w:hint="eastAsia" w:ascii="仿宋" w:hAnsi="仿宋" w:eastAsia="仿宋" w:cs="仿宋"/>
        </w:rPr>
        <w:t>你公司应在收到本批复20日内，将《报告书》（报批版）及批复文件送至鄂尔多斯市生态环境局伊金霍洛旗、乌审旗分局，我局委托鄂尔多斯市生态环境局伊金霍洛旗分局和乌审旗分局负责该项目的日常监管工作。</w:t>
      </w:r>
    </w:p>
    <w:p w14:paraId="18807F1C">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textAlignment w:val="auto"/>
        <w:outlineLvl w:val="9"/>
        <w:rPr>
          <w:rFonts w:hint="eastAsia" w:ascii="仿宋_GB2312" w:hAnsi="仿宋_GB2312" w:eastAsia="仿宋_GB2312" w:cs="仿宋_GB2312"/>
          <w:color w:val="auto"/>
          <w:kern w:val="2"/>
          <w:sz w:val="32"/>
          <w:szCs w:val="24"/>
          <w:highlight w:val="none"/>
          <w:lang w:val="en-US" w:eastAsia="zh-CN" w:bidi="ar-SA"/>
        </w:rPr>
      </w:pPr>
      <w:r>
        <w:rPr>
          <w:rFonts w:hint="eastAsia" w:ascii="仿宋_GB2312" w:hAnsi="仿宋_GB2312" w:eastAsia="仿宋_GB2312" w:cs="仿宋_GB2312"/>
          <w:color w:val="auto"/>
          <w:szCs w:val="32"/>
          <w:highlight w:val="none"/>
          <w:lang w:val="en-US" w:eastAsia="zh-CN"/>
        </w:rPr>
        <w:t>五</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kern w:val="2"/>
          <w:sz w:val="32"/>
          <w:szCs w:val="24"/>
          <w:highlight w:val="none"/>
          <w:lang w:val="en-US" w:eastAsia="zh-CN" w:bidi="ar-SA"/>
        </w:rPr>
        <w:t>该项目从批准之日起超过5年方决定开工建设，其环评文件应重新审核。如果建设地点、规模、防治污染和防止生态破坏的措施等发生重大变化时，需重新报批环评文件。</w:t>
      </w:r>
    </w:p>
    <w:p w14:paraId="5ECF50E8">
      <w:pPr>
        <w:pStyle w:val="4"/>
        <w:keepNext w:val="0"/>
        <w:keepLines w:val="0"/>
        <w:pageBreakBefore w:val="0"/>
        <w:widowControl w:val="0"/>
        <w:kinsoku/>
        <w:wordWrap/>
        <w:overflowPunct/>
        <w:topLinePunct w:val="0"/>
        <w:autoSpaceDE/>
        <w:autoSpaceDN/>
        <w:bidi w:val="0"/>
        <w:spacing w:line="520" w:lineRule="exact"/>
        <w:ind w:left="0" w:leftChars="0" w:firstLine="0" w:firstLineChars="0"/>
        <w:textAlignment w:val="auto"/>
        <w:rPr>
          <w:rFonts w:hint="eastAsia" w:ascii="仿宋" w:hAnsi="仿宋" w:eastAsia="仿宋" w:cs="仿宋"/>
        </w:rPr>
      </w:pPr>
    </w:p>
    <w:p w14:paraId="78871C60">
      <w:pPr>
        <w:pStyle w:val="5"/>
        <w:rPr>
          <w:rFonts w:hint="eastAsia"/>
        </w:rPr>
      </w:pPr>
    </w:p>
    <w:p w14:paraId="2B808CA5">
      <w:pPr>
        <w:keepNext w:val="0"/>
        <w:keepLines w:val="0"/>
        <w:pageBreakBefore w:val="0"/>
        <w:widowControl w:val="0"/>
        <w:kinsoku/>
        <w:wordWrap/>
        <w:overflowPunct/>
        <w:topLinePunct w:val="0"/>
        <w:autoSpaceDE/>
        <w:autoSpaceDN/>
        <w:bidi w:val="0"/>
        <w:adjustRightInd w:val="0"/>
        <w:snapToGrid w:val="0"/>
        <w:spacing w:line="520" w:lineRule="exact"/>
        <w:ind w:firstLine="4800" w:firstLineChars="1500"/>
        <w:jc w:val="both"/>
        <w:textAlignment w:val="auto"/>
        <w:outlineLvl w:val="9"/>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鄂尔多斯市生态环境局</w:t>
      </w:r>
    </w:p>
    <w:p w14:paraId="6D8E092C">
      <w:pPr>
        <w:keepNext w:val="0"/>
        <w:keepLines w:val="0"/>
        <w:pageBreakBefore w:val="0"/>
        <w:widowControl w:val="0"/>
        <w:kinsoku/>
        <w:wordWrap/>
        <w:overflowPunct/>
        <w:topLinePunct w:val="0"/>
        <w:autoSpaceDE/>
        <w:autoSpaceDN/>
        <w:bidi w:val="0"/>
        <w:adjustRightInd w:val="0"/>
        <w:snapToGrid w:val="0"/>
        <w:spacing w:line="520" w:lineRule="exact"/>
        <w:ind w:right="320"/>
        <w:jc w:val="both"/>
        <w:textAlignment w:val="auto"/>
        <w:outlineLvl w:val="9"/>
        <w:rPr>
          <w:rFonts w:hint="eastAsia"/>
        </w:rPr>
      </w:pPr>
      <w:r>
        <w:rPr>
          <w:rFonts w:hint="eastAsia" w:ascii="仿宋_GB2312" w:hAnsi="仿宋_GB2312" w:eastAsia="仿宋_GB2312" w:cs="仿宋_GB2312"/>
          <w:color w:val="auto"/>
          <w:szCs w:val="32"/>
          <w:highlight w:val="none"/>
          <w:lang w:val="en-US" w:eastAsia="zh-CN"/>
        </w:rPr>
        <w:t xml:space="preserve">                            </w:t>
      </w:r>
      <w:r>
        <w:rPr>
          <w:rFonts w:hint="eastAsia" w:ascii="仿宋_GB2312" w:hAnsi="仿宋_GB2312" w:eastAsia="仿宋_GB2312" w:cs="仿宋_GB2312"/>
          <w:color w:val="auto"/>
          <w:szCs w:val="32"/>
          <w:highlight w:val="none"/>
        </w:rPr>
        <w:t>20</w:t>
      </w:r>
      <w:r>
        <w:rPr>
          <w:rFonts w:hint="eastAsia" w:ascii="仿宋_GB2312" w:hAnsi="仿宋_GB2312" w:eastAsia="仿宋_GB2312" w:cs="仿宋_GB2312"/>
          <w:color w:val="auto"/>
          <w:szCs w:val="32"/>
          <w:highlight w:val="none"/>
          <w:lang w:val="en-US" w:eastAsia="zh-CN"/>
        </w:rPr>
        <w:t>24</w:t>
      </w:r>
      <w:r>
        <w:rPr>
          <w:rFonts w:hint="eastAsia" w:ascii="仿宋_GB2312" w:hAnsi="仿宋_GB2312" w:eastAsia="仿宋_GB2312" w:cs="仿宋_GB2312"/>
          <w:color w:val="auto"/>
          <w:szCs w:val="32"/>
          <w:highlight w:val="none"/>
        </w:rPr>
        <w:t>年</w:t>
      </w:r>
      <w:r>
        <w:rPr>
          <w:rFonts w:hint="eastAsia" w:ascii="仿宋_GB2312" w:hAnsi="仿宋_GB2312" w:eastAsia="仿宋_GB2312" w:cs="仿宋_GB2312"/>
          <w:color w:val="auto"/>
          <w:szCs w:val="32"/>
          <w:highlight w:val="none"/>
          <w:lang w:val="en-US" w:eastAsia="zh-CN"/>
        </w:rPr>
        <w:t>8月</w:t>
      </w:r>
      <w:r>
        <w:rPr>
          <w:rFonts w:hint="eastAsia" w:ascii="仿宋_GB2312" w:hAnsi="仿宋_GB2312" w:cs="仿宋_GB2312"/>
          <w:color w:val="auto"/>
          <w:szCs w:val="32"/>
          <w:highlight w:val="none"/>
          <w:lang w:val="en-US" w:eastAsia="zh-CN"/>
        </w:rPr>
        <w:t>27</w:t>
      </w:r>
      <w:r>
        <w:rPr>
          <w:rFonts w:hint="eastAsia" w:ascii="仿宋_GB2312" w:hAnsi="仿宋_GB2312" w:eastAsia="仿宋_GB2312" w:cs="仿宋_GB2312"/>
          <w:color w:val="auto"/>
          <w:szCs w:val="32"/>
          <w:highlight w:val="none"/>
        </w:rPr>
        <w:t>日</w:t>
      </w:r>
    </w:p>
    <w:p w14:paraId="18961680">
      <w:pPr>
        <w:pStyle w:val="4"/>
        <w:ind w:left="0" w:leftChars="0" w:firstLine="0" w:firstLineChars="0"/>
        <w:rPr>
          <w:rFonts w:hint="eastAsia"/>
          <w:lang w:eastAsia="zh-CN"/>
        </w:rPr>
      </w:pPr>
    </w:p>
    <w:p w14:paraId="6F94B1C6">
      <w:pPr>
        <w:pStyle w:val="4"/>
        <w:ind w:left="0" w:leftChars="0" w:firstLine="0" w:firstLineChars="0"/>
        <w:rPr>
          <w:rFonts w:hint="eastAsia"/>
          <w:lang w:eastAsia="zh-CN"/>
        </w:rPr>
      </w:pPr>
    </w:p>
    <w:p w14:paraId="0BB17296">
      <w:pPr>
        <w:pStyle w:val="4"/>
        <w:ind w:left="0" w:leftChars="0" w:firstLine="0" w:firstLineChars="0"/>
        <w:rPr>
          <w:rFonts w:hint="eastAsia"/>
          <w:lang w:eastAsia="zh-CN"/>
        </w:rPr>
      </w:pPr>
    </w:p>
    <w:p w14:paraId="468DB587">
      <w:pPr>
        <w:pStyle w:val="4"/>
        <w:ind w:left="0" w:leftChars="0" w:firstLine="0" w:firstLineChars="0"/>
        <w:rPr>
          <w:rFonts w:hint="eastAsia"/>
          <w:lang w:eastAsia="zh-CN"/>
        </w:rPr>
      </w:pPr>
    </w:p>
    <w:p w14:paraId="7CE9D6FD">
      <w:pPr>
        <w:pStyle w:val="4"/>
        <w:ind w:left="0" w:leftChars="0" w:firstLine="0" w:firstLineChars="0"/>
        <w:rPr>
          <w:rFonts w:hint="eastAsia"/>
          <w:lang w:eastAsia="zh-CN"/>
        </w:rPr>
      </w:pPr>
    </w:p>
    <w:p w14:paraId="5B3E9535">
      <w:pPr>
        <w:pStyle w:val="4"/>
        <w:ind w:left="0" w:leftChars="0" w:firstLine="0" w:firstLineChars="0"/>
        <w:rPr>
          <w:rFonts w:hint="eastAsia"/>
          <w:lang w:eastAsia="zh-CN"/>
        </w:rPr>
      </w:pPr>
    </w:p>
    <w:p w14:paraId="146B588C">
      <w:pPr>
        <w:pStyle w:val="4"/>
        <w:ind w:left="0" w:leftChars="0" w:firstLine="0" w:firstLineChars="0"/>
        <w:rPr>
          <w:rFonts w:hint="eastAsia"/>
          <w:lang w:eastAsia="zh-CN"/>
        </w:rPr>
      </w:pPr>
    </w:p>
    <w:p w14:paraId="78DDF6E9">
      <w:pPr>
        <w:pStyle w:val="4"/>
        <w:ind w:left="0" w:leftChars="0" w:firstLine="0" w:firstLineChars="0"/>
        <w:rPr>
          <w:rFonts w:hint="eastAsia"/>
          <w:lang w:eastAsia="zh-CN"/>
        </w:rPr>
      </w:pPr>
    </w:p>
    <w:p w14:paraId="73AE87CE">
      <w:pPr>
        <w:ind w:left="0" w:leftChars="0" w:firstLine="0" w:firstLineChars="0"/>
        <w:rPr>
          <w:rFonts w:hint="eastAsia"/>
          <w:lang w:eastAsia="zh-CN"/>
        </w:rPr>
      </w:pPr>
    </w:p>
    <w:p w14:paraId="52879C7E">
      <w:pPr>
        <w:pStyle w:val="2"/>
        <w:rPr>
          <w:rFonts w:hint="eastAsia"/>
          <w:lang w:eastAsia="zh-CN"/>
        </w:rPr>
      </w:pPr>
    </w:p>
    <w:p w14:paraId="51D85322">
      <w:pPr>
        <w:pStyle w:val="4"/>
        <w:ind w:left="0" w:leftChars="0" w:firstLine="0" w:firstLineChars="0"/>
        <w:rPr>
          <w:rFonts w:hint="eastAsia"/>
          <w:lang w:eastAsia="zh-CN"/>
        </w:rPr>
      </w:pPr>
    </w:p>
    <w:p w14:paraId="3D4F11C0">
      <w:pPr>
        <w:keepNext w:val="0"/>
        <w:keepLines w:val="0"/>
        <w:pageBreakBefore w:val="0"/>
        <w:widowControl w:val="0"/>
        <w:kinsoku/>
        <w:wordWrap/>
        <w:overflowPunct/>
        <w:topLinePunct w:val="0"/>
        <w:autoSpaceDE/>
        <w:autoSpaceDN/>
        <w:bidi w:val="0"/>
        <w:spacing w:line="520" w:lineRule="exact"/>
        <w:ind w:left="840" w:hanging="840" w:hangingChars="3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6876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4pt;height:0pt;width:447.85pt;z-index:251660288;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elzLNEAAAACAQAADwAAAAAAAAABACAAAAAiAAAAZHJzL2Rvd25yZXYueG1sUEsBAhQAFAAA&#10;AAgAh07iQOt7KfP2AQAA5AMAAA4AAAAAAAAAAQAgAAAAIAEAAGRycy9lMm9Eb2MueG1sUEsFBgAA&#10;AAAGAAYAWQEAAIgFA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w:t>抄送：鄂尔多斯市生态环境局乌审旗</w:t>
      </w:r>
      <w:r>
        <w:rPr>
          <w:rFonts w:hint="eastAsia" w:ascii="仿宋_GB2312" w:hAnsi="仿宋_GB2312" w:cs="仿宋_GB2312"/>
          <w:color w:val="auto"/>
          <w:sz w:val="28"/>
          <w:szCs w:val="28"/>
          <w:highlight w:val="none"/>
          <w:lang w:eastAsia="zh-CN"/>
        </w:rPr>
        <w:t>、伊金霍洛旗</w:t>
      </w:r>
      <w:r>
        <w:rPr>
          <w:rFonts w:hint="eastAsia" w:ascii="仿宋_GB2312" w:hAnsi="仿宋_GB2312" w:eastAsia="仿宋_GB2312" w:cs="仿宋_GB2312"/>
          <w:color w:val="auto"/>
          <w:sz w:val="28"/>
          <w:szCs w:val="28"/>
          <w:highlight w:val="none"/>
        </w:rPr>
        <w:t>分局</w:t>
      </w:r>
      <w:r>
        <w:rPr>
          <w:rFonts w:hint="eastAsia" w:ascii="仿宋_GB2312" w:hAnsi="仿宋_GB2312" w:eastAsia="仿宋_GB2312" w:cs="仿宋_GB2312"/>
          <w:color w:val="auto"/>
          <w:sz w:val="28"/>
          <w:szCs w:val="28"/>
          <w:highlight w:val="none"/>
          <w:lang w:eastAsia="zh-CN"/>
        </w:rPr>
        <w:t>，鄂尔多斯</w:t>
      </w:r>
      <w:r>
        <w:rPr>
          <w:rFonts w:hint="eastAsia" w:ascii="仿宋_GB2312" w:hAnsi="仿宋_GB2312" w:eastAsia="仿宋_GB2312" w:cs="仿宋_GB2312"/>
          <w:color w:val="auto"/>
          <w:sz w:val="28"/>
          <w:szCs w:val="28"/>
          <w:highlight w:val="none"/>
        </w:rPr>
        <w:t>市生态环境综合行政执</w:t>
      </w:r>
      <w:r>
        <w:rPr>
          <w:rFonts w:hint="eastAsia" w:ascii="仿宋_GB2312" w:hAnsi="仿宋_GB2312" w:eastAsia="仿宋_GB2312" w:cs="仿宋_GB2312"/>
          <w:color w:val="auto"/>
          <w:sz w:val="28"/>
          <w:szCs w:val="28"/>
          <w:highlight w:val="none"/>
          <w:lang w:val="en-US" w:eastAsia="zh-CN"/>
        </w:rPr>
        <w:t>法</w:t>
      </w:r>
      <w:r>
        <w:rPr>
          <w:rFonts w:hint="eastAsia" w:ascii="仿宋_GB2312" w:hAnsi="仿宋_GB2312" w:eastAsia="仿宋_GB2312" w:cs="仿宋_GB2312"/>
          <w:color w:val="auto"/>
          <w:sz w:val="28"/>
          <w:szCs w:val="28"/>
          <w:highlight w:val="none"/>
        </w:rPr>
        <w:t>支队</w:t>
      </w:r>
      <w:r>
        <w:rPr>
          <w:rFonts w:hint="eastAsia" w:ascii="仿宋_GB2312" w:hAnsi="仿宋_GB2312" w:eastAsia="仿宋_GB2312" w:cs="仿宋_GB2312"/>
          <w:color w:val="auto"/>
          <w:sz w:val="28"/>
          <w:szCs w:val="28"/>
          <w:highlight w:val="none"/>
          <w:lang w:eastAsia="zh-CN"/>
        </w:rPr>
        <w:t>，鄂尔多斯</w:t>
      </w:r>
      <w:r>
        <w:rPr>
          <w:rFonts w:hint="eastAsia" w:ascii="仿宋_GB2312" w:hAnsi="仿宋_GB2312" w:eastAsia="仿宋_GB2312" w:cs="仿宋_GB2312"/>
          <w:b w:val="0"/>
          <w:bCs/>
          <w:sz w:val="28"/>
          <w:szCs w:val="28"/>
          <w:highlight w:val="none"/>
          <w:lang w:eastAsia="zh-CN"/>
        </w:rPr>
        <w:t>市生态环境局综合保障中心，</w:t>
      </w:r>
      <w:r>
        <w:rPr>
          <w:rFonts w:hint="eastAsia" w:ascii="仿宋_GB2312" w:hAnsi="仿宋_GB2312" w:eastAsia="仿宋_GB2312" w:cs="仿宋_GB2312"/>
          <w:color w:val="auto"/>
          <w:sz w:val="28"/>
          <w:szCs w:val="28"/>
          <w:highlight w:val="none"/>
          <w:lang w:val="en-US" w:eastAsia="zh-CN"/>
        </w:rPr>
        <w:t>核工业二〇三研究所</w:t>
      </w:r>
      <w:r>
        <w:rPr>
          <w:rFonts w:hint="eastAsia" w:ascii="仿宋_GB2312" w:hAnsi="仿宋_GB2312" w:cs="仿宋_GB2312"/>
          <w:color w:val="auto"/>
          <w:sz w:val="28"/>
          <w:szCs w:val="28"/>
          <w:highlight w:val="none"/>
          <w:lang w:val="en-US" w:eastAsia="zh-CN"/>
        </w:rPr>
        <w:t>。</w:t>
      </w:r>
    </w:p>
    <w:p w14:paraId="3F47F0AD">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textAlignment w:val="auto"/>
        <w:outlineLvl w:val="9"/>
        <w:rPr>
          <w:sz w:val="28"/>
          <w:szCs w:val="28"/>
        </w:rPr>
      </w:pP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-3175</wp:posOffset>
                </wp:positionH>
                <wp:positionV relativeFrom="paragraph">
                  <wp:posOffset>434340</wp:posOffset>
                </wp:positionV>
                <wp:extent cx="568769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25pt;margin-top:34.2pt;height:0pt;width:447.85pt;z-index:251662336;mso-width-relative:page;mso-height-relative:page;" filled="f" stroked="t" coordsize="21600,21600" o:gfxdata="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jPGJrVAAAABwEAAA8AAAAAAAAAAQAgAAAAIgAAAGRycy9kb3ducmV2LnhtbFBLAQIU&#10;ABQAAAAIAIdO4kD6EE2e9gEAAOQDAAAOAAAAAAAAAAEAIAAAACQBAABkcnMvZTJvRG9jLnhtbFBL&#10;BQYAAAAABgAGAFkBAACMBQAAAAA=&#10;">
                <v:fill on="f" focussize="0,0"/>
                <v:stroke color="#000000" joinstyle="round"/>
                <v:imagedata o:title=""/>
                <o:lock v:ext="edit" aspectratio="f"/>
              </v:line>
            </w:pict>
          </mc:Fallback>
        </mc:AlternateContent>
      </w:r>
      <w:r>
        <w:rPr>
          <w:rFonts w:hint="eastAsia" w:ascii="仿宋_GB2312" w:hAnsi="仿宋_GB2312" w:eastAsia="仿宋_GB2312" w:cs="仿宋_GB2312"/>
          <w:color w:val="auto"/>
          <w:sz w:val="28"/>
          <w:szCs w:val="28"/>
          <w:highlight w:val="none"/>
        </w:rPr>
        <w:t xml:space="preserve">鄂尔多斯市生态环境局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20</w:t>
      </w:r>
      <w:r>
        <w:rPr>
          <w:rFonts w:hint="eastAsia" w:ascii="仿宋_GB2312" w:hAnsi="仿宋_GB2312" w:eastAsia="仿宋_GB2312" w:cs="仿宋_GB2312"/>
          <w:color w:val="auto"/>
          <w:sz w:val="28"/>
          <w:szCs w:val="28"/>
          <w:highlight w:val="none"/>
          <w:lang w:val="en-US" w:eastAsia="zh-CN"/>
        </w:rPr>
        <w:t>24</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月</w:t>
      </w:r>
      <w:r>
        <w:rPr>
          <w:rFonts w:hint="eastAsia" w:ascii="仿宋_GB2312" w:hAnsi="仿宋_GB2312" w:cs="仿宋_GB2312"/>
          <w:color w:val="auto"/>
          <w:sz w:val="28"/>
          <w:szCs w:val="28"/>
          <w:highlight w:val="none"/>
          <w:lang w:val="en-US" w:eastAsia="zh-CN"/>
        </w:rPr>
        <w:t>27</w:t>
      </w:r>
      <w:r>
        <w:rPr>
          <w:rFonts w:hint="eastAsia" w:ascii="仿宋_GB2312" w:hAnsi="仿宋_GB2312" w:eastAsia="仿宋_GB2312" w:cs="仿宋_GB2312"/>
          <w:color w:val="auto"/>
          <w:sz w:val="28"/>
          <w:szCs w:val="28"/>
          <w:highlight w:val="none"/>
        </w:rPr>
        <w:t>日印发</w:t>
      </w:r>
      <w:r>
        <w:rPr>
          <w:rFonts w:hint="eastAsia" w:ascii="仿宋_GB2312" w:hAnsi="仿宋_GB2312" w:eastAsia="仿宋_GB2312" w:cs="仿宋_GB2312"/>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7620</wp:posOffset>
                </wp:positionV>
                <wp:extent cx="568769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7.85pt;z-index:251661312;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9t2ftIAAAAEAQAADwAAAAAAAAABACAAAAAiAAAAZHJzL2Rvd25yZXYueG1sUEsBAhQAFAAA&#10;AAgAh07iQNjGhUT1AQAA5AMAAA4AAAAAAAAAAQAgAAAAIQEAAGRycy9lMm9Eb2MueG1sUEsFBgAA&#10;AAAGAAYAWQEAAIgFAAAAAA==&#10;">
                <v:fill on="f" focussize="0,0"/>
                <v:stroke color="#000000" joinstyle="round"/>
                <v:imagedata o:title=""/>
                <o:lock v:ext="edit" aspectratio="f"/>
              </v:line>
            </w:pict>
          </mc:Fallback>
        </mc:AlternateContent>
      </w:r>
      <w:r>
        <w:rPr>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5687695" cy="0"/>
                <wp:effectExtent l="0" t="0" r="1905" b="0"/>
                <wp:wrapNone/>
                <wp:docPr id="52992888" name="直线 5"/>
                <wp:cNvGraphicFramePr/>
                <a:graphic xmlns:a="http://schemas.openxmlformats.org/drawingml/2006/main">
                  <a:graphicData uri="http://schemas.microsoft.com/office/word/2010/wordprocessingShape">
                    <wps:wsp>
                      <wps:cNvCnPr/>
                      <wps:spPr bwMode="auto">
                        <a:xfrm>
                          <a:off x="0" y="0"/>
                          <a:ext cx="5687695" cy="0"/>
                        </a:xfrm>
                        <a:prstGeom prst="line">
                          <a:avLst/>
                        </a:prstGeom>
                        <a:noFill/>
                        <a:ln w="9525" cmpd="sng">
                          <a:solidFill>
                            <a:srgbClr val="000000"/>
                          </a:solidFill>
                          <a:round/>
                        </a:ln>
                      </wps:spPr>
                      <wps:bodyPr/>
                    </wps:wsp>
                  </a:graphicData>
                </a:graphic>
              </wp:anchor>
            </w:drawing>
          </mc:Choice>
          <mc:Fallback>
            <w:pict>
              <v:line id="直线 5" o:spid="_x0000_s1026" o:spt="20" style="position:absolute;left:0pt;margin-left:0pt;margin-top:0.6pt;height:0pt;width:447.85pt;z-index:251659264;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v23Z+0gAAAAQBAAAPAAAAAAAAAAEAIAAAACIAAABkcnMvZG93bnJldi54&#10;bWxQSwECFAAUAAAACACHTuJAsN2wIccBAACBAwAADgAAAAAAAAABACAAAAAhAQAAZHJzL2Uyb0Rv&#10;Yy54bWxQSwUGAAAAAAYABgBZAQAAWgU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20B0604020202020204"/>
    <w:charset w:val="00"/>
    <w:family w:val="roma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3AA13">
    <w:pPr>
      <w:pStyle w:val="7"/>
      <w:tabs>
        <w:tab w:val="clear" w:pos="4153"/>
        <w:tab w:val="clear" w:pos="8306"/>
      </w:tabs>
      <w:ind w:firstLine="560"/>
      <w:jc w:val="right"/>
      <w:rPr>
        <w:rFonts w:hint="eastAsia"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eastAsia="zh-CN"/>
      </w:rPr>
      <w:t>-</w:t>
    </w:r>
    <w:r>
      <w:rPr>
        <w:rFonts w:ascii="宋体"/>
        <w:sz w:val="28"/>
        <w:szCs w:val="28"/>
        <w:lang w:val="en-US" w:eastAsia="zh-CN"/>
      </w:rPr>
      <w:t xml:space="preserve"> 4 -</w:t>
    </w:r>
    <w:r>
      <w:rPr>
        <w:rFonts w:hint="eastAsia" w:asci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C2C73">
    <w:pPr>
      <w:pStyle w:val="7"/>
      <w:tabs>
        <w:tab w:val="clear" w:pos="4153"/>
        <w:tab w:val="clear" w:pos="8306"/>
      </w:tabs>
      <w:ind w:firstLine="560"/>
      <w:rPr>
        <w:rFonts w:hint="eastAsia"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eastAsia="zh-CN"/>
      </w:rPr>
      <w:t>-</w:t>
    </w:r>
    <w:r>
      <w:rPr>
        <w:rFonts w:ascii="宋体"/>
        <w:sz w:val="28"/>
        <w:szCs w:val="28"/>
        <w:lang w:val="en-US" w:eastAsia="zh-CN"/>
      </w:rPr>
      <w:t xml:space="preserve"> 4 -</w:t>
    </w:r>
    <w:r>
      <w:rPr>
        <w:rFonts w:hint="eastAsia" w:asci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C7F32">
    <w:pPr>
      <w:pStyle w:val="7"/>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3365E">
    <w:pPr>
      <w:pStyle w:val="8"/>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6CD5">
    <w:pPr>
      <w:pStyle w:val="8"/>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34E19">
    <w:pPr>
      <w:pStyle w:val="8"/>
      <w:pBdr>
        <w:bottom w:val="none" w:color="auto" w:sz="0" w:space="0"/>
      </w:pBdr>
      <w:tabs>
        <w:tab w:val="clear" w:pos="4153"/>
        <w:tab w:val="clear" w:pos="8306"/>
      </w:tabs>
      <w:ind w:firstLine="360"/>
    </w:pPr>
  </w:p>
  <w:p w14:paraId="658D3865">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420"/>
  <w:drawingGridVerticalSpacing w:val="156"/>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5ZjkyNWM5NDA5YzI0MWZjNTA3MDA1ZjJiYmIxN2UifQ=="/>
  </w:docVars>
  <w:rsids>
    <w:rsidRoot w:val="00172A27"/>
    <w:rsid w:val="000010B2"/>
    <w:rsid w:val="00001F67"/>
    <w:rsid w:val="00004D61"/>
    <w:rsid w:val="0001010B"/>
    <w:rsid w:val="00010EAD"/>
    <w:rsid w:val="00012458"/>
    <w:rsid w:val="000129A7"/>
    <w:rsid w:val="00013172"/>
    <w:rsid w:val="00015DD6"/>
    <w:rsid w:val="00016067"/>
    <w:rsid w:val="00016B64"/>
    <w:rsid w:val="00022A2B"/>
    <w:rsid w:val="000232B9"/>
    <w:rsid w:val="0002488F"/>
    <w:rsid w:val="000266AE"/>
    <w:rsid w:val="00031A1C"/>
    <w:rsid w:val="0003615E"/>
    <w:rsid w:val="00037FE3"/>
    <w:rsid w:val="0004214D"/>
    <w:rsid w:val="000432CB"/>
    <w:rsid w:val="000432DB"/>
    <w:rsid w:val="00053836"/>
    <w:rsid w:val="00054A64"/>
    <w:rsid w:val="00054D2D"/>
    <w:rsid w:val="00062100"/>
    <w:rsid w:val="000670A5"/>
    <w:rsid w:val="00067842"/>
    <w:rsid w:val="00067A5D"/>
    <w:rsid w:val="00076502"/>
    <w:rsid w:val="000849E0"/>
    <w:rsid w:val="00091048"/>
    <w:rsid w:val="000912FD"/>
    <w:rsid w:val="0009568D"/>
    <w:rsid w:val="000A2477"/>
    <w:rsid w:val="000A73A1"/>
    <w:rsid w:val="000B045A"/>
    <w:rsid w:val="000B2F23"/>
    <w:rsid w:val="000B6AEE"/>
    <w:rsid w:val="000C1E08"/>
    <w:rsid w:val="000C2FB2"/>
    <w:rsid w:val="000C75D9"/>
    <w:rsid w:val="000D19B7"/>
    <w:rsid w:val="000D1DDC"/>
    <w:rsid w:val="000D489E"/>
    <w:rsid w:val="000D7D06"/>
    <w:rsid w:val="000E26A1"/>
    <w:rsid w:val="000E29AE"/>
    <w:rsid w:val="000E615F"/>
    <w:rsid w:val="000E6731"/>
    <w:rsid w:val="000F015F"/>
    <w:rsid w:val="000F1B9C"/>
    <w:rsid w:val="000F2596"/>
    <w:rsid w:val="000F3BB0"/>
    <w:rsid w:val="000F7546"/>
    <w:rsid w:val="000F7CC4"/>
    <w:rsid w:val="00101AFE"/>
    <w:rsid w:val="001028C6"/>
    <w:rsid w:val="00110E25"/>
    <w:rsid w:val="001129B9"/>
    <w:rsid w:val="00114C1E"/>
    <w:rsid w:val="001169D5"/>
    <w:rsid w:val="0011793F"/>
    <w:rsid w:val="00122435"/>
    <w:rsid w:val="00122996"/>
    <w:rsid w:val="00125E0E"/>
    <w:rsid w:val="00127DAA"/>
    <w:rsid w:val="001333FC"/>
    <w:rsid w:val="00136061"/>
    <w:rsid w:val="0014031D"/>
    <w:rsid w:val="00144D87"/>
    <w:rsid w:val="001509C2"/>
    <w:rsid w:val="0015123A"/>
    <w:rsid w:val="00151611"/>
    <w:rsid w:val="00152049"/>
    <w:rsid w:val="00152E27"/>
    <w:rsid w:val="001539A4"/>
    <w:rsid w:val="001561A8"/>
    <w:rsid w:val="001566F8"/>
    <w:rsid w:val="00160BAE"/>
    <w:rsid w:val="001665E5"/>
    <w:rsid w:val="001668CF"/>
    <w:rsid w:val="001841D2"/>
    <w:rsid w:val="00186FE7"/>
    <w:rsid w:val="001904DA"/>
    <w:rsid w:val="00193A61"/>
    <w:rsid w:val="001A083F"/>
    <w:rsid w:val="001A5536"/>
    <w:rsid w:val="001B14A0"/>
    <w:rsid w:val="001B2E5D"/>
    <w:rsid w:val="001B5501"/>
    <w:rsid w:val="001C127E"/>
    <w:rsid w:val="001C69EB"/>
    <w:rsid w:val="001C6E4B"/>
    <w:rsid w:val="001D07D5"/>
    <w:rsid w:val="001D0B24"/>
    <w:rsid w:val="001D3ED4"/>
    <w:rsid w:val="001E01E0"/>
    <w:rsid w:val="001E092D"/>
    <w:rsid w:val="001E54B0"/>
    <w:rsid w:val="001E6878"/>
    <w:rsid w:val="001F2150"/>
    <w:rsid w:val="001F3DFC"/>
    <w:rsid w:val="001F6D23"/>
    <w:rsid w:val="001F77FF"/>
    <w:rsid w:val="00200A57"/>
    <w:rsid w:val="00204714"/>
    <w:rsid w:val="0020680B"/>
    <w:rsid w:val="00206DDD"/>
    <w:rsid w:val="002111AD"/>
    <w:rsid w:val="00216FDC"/>
    <w:rsid w:val="0021703C"/>
    <w:rsid w:val="00217AA2"/>
    <w:rsid w:val="00217FAB"/>
    <w:rsid w:val="00223B5F"/>
    <w:rsid w:val="00223D3B"/>
    <w:rsid w:val="002252BB"/>
    <w:rsid w:val="0022574C"/>
    <w:rsid w:val="00226E1C"/>
    <w:rsid w:val="00230E89"/>
    <w:rsid w:val="00240DB6"/>
    <w:rsid w:val="0024359F"/>
    <w:rsid w:val="00243E1D"/>
    <w:rsid w:val="00244194"/>
    <w:rsid w:val="002458F3"/>
    <w:rsid w:val="00246E4E"/>
    <w:rsid w:val="0025077B"/>
    <w:rsid w:val="0025421D"/>
    <w:rsid w:val="0025443E"/>
    <w:rsid w:val="002602EB"/>
    <w:rsid w:val="00272EBD"/>
    <w:rsid w:val="00275E16"/>
    <w:rsid w:val="00281D70"/>
    <w:rsid w:val="00286F55"/>
    <w:rsid w:val="00287109"/>
    <w:rsid w:val="00287B46"/>
    <w:rsid w:val="00291E78"/>
    <w:rsid w:val="002924C3"/>
    <w:rsid w:val="00293068"/>
    <w:rsid w:val="002949F7"/>
    <w:rsid w:val="00296887"/>
    <w:rsid w:val="002A088B"/>
    <w:rsid w:val="002A5927"/>
    <w:rsid w:val="002A5F11"/>
    <w:rsid w:val="002A689E"/>
    <w:rsid w:val="002A7FC7"/>
    <w:rsid w:val="002B5A7D"/>
    <w:rsid w:val="002B61C8"/>
    <w:rsid w:val="002C0AED"/>
    <w:rsid w:val="002C72E7"/>
    <w:rsid w:val="002C7491"/>
    <w:rsid w:val="002C7EC2"/>
    <w:rsid w:val="002D1836"/>
    <w:rsid w:val="002D4A7D"/>
    <w:rsid w:val="002D5419"/>
    <w:rsid w:val="002F00AF"/>
    <w:rsid w:val="002F3904"/>
    <w:rsid w:val="002F4270"/>
    <w:rsid w:val="002F520C"/>
    <w:rsid w:val="002F56C7"/>
    <w:rsid w:val="002F6F5F"/>
    <w:rsid w:val="002F7BDB"/>
    <w:rsid w:val="00315790"/>
    <w:rsid w:val="00316D5A"/>
    <w:rsid w:val="00321EC8"/>
    <w:rsid w:val="00323A3C"/>
    <w:rsid w:val="0032426F"/>
    <w:rsid w:val="00324AC1"/>
    <w:rsid w:val="00324F9E"/>
    <w:rsid w:val="00325A3B"/>
    <w:rsid w:val="003307E2"/>
    <w:rsid w:val="003314F1"/>
    <w:rsid w:val="00335181"/>
    <w:rsid w:val="00336B28"/>
    <w:rsid w:val="003377A1"/>
    <w:rsid w:val="0034090F"/>
    <w:rsid w:val="00340F72"/>
    <w:rsid w:val="00341BE2"/>
    <w:rsid w:val="00341C19"/>
    <w:rsid w:val="00342E48"/>
    <w:rsid w:val="00346897"/>
    <w:rsid w:val="003513F4"/>
    <w:rsid w:val="00353E58"/>
    <w:rsid w:val="00354EA3"/>
    <w:rsid w:val="003625A9"/>
    <w:rsid w:val="00363F9B"/>
    <w:rsid w:val="00367BB1"/>
    <w:rsid w:val="00367EB4"/>
    <w:rsid w:val="00371071"/>
    <w:rsid w:val="00381ADC"/>
    <w:rsid w:val="003951DA"/>
    <w:rsid w:val="003A1694"/>
    <w:rsid w:val="003B04B4"/>
    <w:rsid w:val="003B382A"/>
    <w:rsid w:val="003C5A3E"/>
    <w:rsid w:val="003C601E"/>
    <w:rsid w:val="003D1D7F"/>
    <w:rsid w:val="003D21B1"/>
    <w:rsid w:val="003D32B6"/>
    <w:rsid w:val="003D496B"/>
    <w:rsid w:val="003D640C"/>
    <w:rsid w:val="003D6D0B"/>
    <w:rsid w:val="003D7810"/>
    <w:rsid w:val="003E2163"/>
    <w:rsid w:val="003E37EC"/>
    <w:rsid w:val="003E4427"/>
    <w:rsid w:val="003E67E1"/>
    <w:rsid w:val="003F68D8"/>
    <w:rsid w:val="004010DD"/>
    <w:rsid w:val="0040241F"/>
    <w:rsid w:val="00405622"/>
    <w:rsid w:val="0041149D"/>
    <w:rsid w:val="00416DF8"/>
    <w:rsid w:val="00421486"/>
    <w:rsid w:val="0042290C"/>
    <w:rsid w:val="004231C9"/>
    <w:rsid w:val="0042343B"/>
    <w:rsid w:val="0042475C"/>
    <w:rsid w:val="00425AEC"/>
    <w:rsid w:val="004306E5"/>
    <w:rsid w:val="00431E92"/>
    <w:rsid w:val="00434822"/>
    <w:rsid w:val="00435755"/>
    <w:rsid w:val="004414E2"/>
    <w:rsid w:val="004440FA"/>
    <w:rsid w:val="0044455B"/>
    <w:rsid w:val="00444C3B"/>
    <w:rsid w:val="00451C32"/>
    <w:rsid w:val="00453274"/>
    <w:rsid w:val="00454443"/>
    <w:rsid w:val="00455EB4"/>
    <w:rsid w:val="00462F9F"/>
    <w:rsid w:val="00466055"/>
    <w:rsid w:val="0047085F"/>
    <w:rsid w:val="00471736"/>
    <w:rsid w:val="00471AC9"/>
    <w:rsid w:val="00476994"/>
    <w:rsid w:val="00477EF8"/>
    <w:rsid w:val="0048359B"/>
    <w:rsid w:val="004843C4"/>
    <w:rsid w:val="00494C14"/>
    <w:rsid w:val="00495C3A"/>
    <w:rsid w:val="0049604E"/>
    <w:rsid w:val="0049753B"/>
    <w:rsid w:val="00497D16"/>
    <w:rsid w:val="00497EE3"/>
    <w:rsid w:val="004A06A0"/>
    <w:rsid w:val="004A0AAC"/>
    <w:rsid w:val="004A3FD2"/>
    <w:rsid w:val="004A4118"/>
    <w:rsid w:val="004A7123"/>
    <w:rsid w:val="004B02DD"/>
    <w:rsid w:val="004B2033"/>
    <w:rsid w:val="004B2ECC"/>
    <w:rsid w:val="004B3A14"/>
    <w:rsid w:val="004B5C64"/>
    <w:rsid w:val="004C319E"/>
    <w:rsid w:val="004C57BF"/>
    <w:rsid w:val="004C5908"/>
    <w:rsid w:val="004D01ED"/>
    <w:rsid w:val="004D0653"/>
    <w:rsid w:val="004D1F2D"/>
    <w:rsid w:val="004D76BD"/>
    <w:rsid w:val="004E0C6F"/>
    <w:rsid w:val="004E1C44"/>
    <w:rsid w:val="004E251E"/>
    <w:rsid w:val="004E4C9D"/>
    <w:rsid w:val="004E625F"/>
    <w:rsid w:val="004E739C"/>
    <w:rsid w:val="004F2963"/>
    <w:rsid w:val="004F7649"/>
    <w:rsid w:val="00501EAB"/>
    <w:rsid w:val="00504E99"/>
    <w:rsid w:val="0050753E"/>
    <w:rsid w:val="0050780F"/>
    <w:rsid w:val="00513336"/>
    <w:rsid w:val="00517D13"/>
    <w:rsid w:val="00520618"/>
    <w:rsid w:val="0052523D"/>
    <w:rsid w:val="00530A4A"/>
    <w:rsid w:val="00535824"/>
    <w:rsid w:val="00537927"/>
    <w:rsid w:val="00544DCA"/>
    <w:rsid w:val="00546F38"/>
    <w:rsid w:val="00547980"/>
    <w:rsid w:val="005512E1"/>
    <w:rsid w:val="0055220D"/>
    <w:rsid w:val="00553001"/>
    <w:rsid w:val="00570790"/>
    <w:rsid w:val="00573E13"/>
    <w:rsid w:val="0057416B"/>
    <w:rsid w:val="0057430C"/>
    <w:rsid w:val="00574430"/>
    <w:rsid w:val="00576D50"/>
    <w:rsid w:val="00581FB1"/>
    <w:rsid w:val="00581FEF"/>
    <w:rsid w:val="0058201E"/>
    <w:rsid w:val="00582960"/>
    <w:rsid w:val="00583262"/>
    <w:rsid w:val="005835E2"/>
    <w:rsid w:val="0058586E"/>
    <w:rsid w:val="0058648D"/>
    <w:rsid w:val="00586DA2"/>
    <w:rsid w:val="00587B2D"/>
    <w:rsid w:val="005960B3"/>
    <w:rsid w:val="005A00BE"/>
    <w:rsid w:val="005A0400"/>
    <w:rsid w:val="005A0788"/>
    <w:rsid w:val="005A2D5E"/>
    <w:rsid w:val="005A695A"/>
    <w:rsid w:val="005B1844"/>
    <w:rsid w:val="005B1952"/>
    <w:rsid w:val="005B5B11"/>
    <w:rsid w:val="005B5E42"/>
    <w:rsid w:val="005B650D"/>
    <w:rsid w:val="005C0B3B"/>
    <w:rsid w:val="005C39F1"/>
    <w:rsid w:val="005C48EE"/>
    <w:rsid w:val="005D0317"/>
    <w:rsid w:val="005D1A20"/>
    <w:rsid w:val="005D53F9"/>
    <w:rsid w:val="005E0680"/>
    <w:rsid w:val="005E1055"/>
    <w:rsid w:val="005E360B"/>
    <w:rsid w:val="005E5BFC"/>
    <w:rsid w:val="005E74A7"/>
    <w:rsid w:val="005E7940"/>
    <w:rsid w:val="005F0025"/>
    <w:rsid w:val="005F1C04"/>
    <w:rsid w:val="005F2D74"/>
    <w:rsid w:val="005F41DA"/>
    <w:rsid w:val="005F465E"/>
    <w:rsid w:val="005F5F96"/>
    <w:rsid w:val="0060037D"/>
    <w:rsid w:val="00605A80"/>
    <w:rsid w:val="00606B89"/>
    <w:rsid w:val="0061458A"/>
    <w:rsid w:val="00616027"/>
    <w:rsid w:val="00616B9E"/>
    <w:rsid w:val="00621043"/>
    <w:rsid w:val="006217B0"/>
    <w:rsid w:val="00622F5F"/>
    <w:rsid w:val="00624163"/>
    <w:rsid w:val="00631EE1"/>
    <w:rsid w:val="006333C3"/>
    <w:rsid w:val="00644B28"/>
    <w:rsid w:val="00647EF8"/>
    <w:rsid w:val="0065370E"/>
    <w:rsid w:val="006626F1"/>
    <w:rsid w:val="0067120E"/>
    <w:rsid w:val="006714DD"/>
    <w:rsid w:val="00676F32"/>
    <w:rsid w:val="00682EFB"/>
    <w:rsid w:val="00686E84"/>
    <w:rsid w:val="006874E3"/>
    <w:rsid w:val="00692BFA"/>
    <w:rsid w:val="006974EA"/>
    <w:rsid w:val="006A57D9"/>
    <w:rsid w:val="006A5DBD"/>
    <w:rsid w:val="006A7B4C"/>
    <w:rsid w:val="006B0DA5"/>
    <w:rsid w:val="006B1417"/>
    <w:rsid w:val="006B7475"/>
    <w:rsid w:val="006B7DD7"/>
    <w:rsid w:val="006C3015"/>
    <w:rsid w:val="006D28C0"/>
    <w:rsid w:val="006D3888"/>
    <w:rsid w:val="006E1463"/>
    <w:rsid w:val="006E2F77"/>
    <w:rsid w:val="006E66F1"/>
    <w:rsid w:val="006F47A7"/>
    <w:rsid w:val="006F5471"/>
    <w:rsid w:val="00704360"/>
    <w:rsid w:val="007058AA"/>
    <w:rsid w:val="00705E93"/>
    <w:rsid w:val="0071032B"/>
    <w:rsid w:val="00711EB0"/>
    <w:rsid w:val="00723364"/>
    <w:rsid w:val="00727622"/>
    <w:rsid w:val="007322D3"/>
    <w:rsid w:val="0073292D"/>
    <w:rsid w:val="0074279B"/>
    <w:rsid w:val="007437C3"/>
    <w:rsid w:val="007442C3"/>
    <w:rsid w:val="00752045"/>
    <w:rsid w:val="00754F4D"/>
    <w:rsid w:val="0076037D"/>
    <w:rsid w:val="007624DA"/>
    <w:rsid w:val="00762704"/>
    <w:rsid w:val="007660C5"/>
    <w:rsid w:val="00771937"/>
    <w:rsid w:val="00780D38"/>
    <w:rsid w:val="00783C16"/>
    <w:rsid w:val="00785DFE"/>
    <w:rsid w:val="007920C3"/>
    <w:rsid w:val="00797ADB"/>
    <w:rsid w:val="007B2A1D"/>
    <w:rsid w:val="007B457A"/>
    <w:rsid w:val="007C4ACD"/>
    <w:rsid w:val="007C6CCA"/>
    <w:rsid w:val="007C6D69"/>
    <w:rsid w:val="007D0B33"/>
    <w:rsid w:val="007D15D7"/>
    <w:rsid w:val="007D2054"/>
    <w:rsid w:val="007D2E83"/>
    <w:rsid w:val="007D4044"/>
    <w:rsid w:val="007D4CC6"/>
    <w:rsid w:val="007D70A3"/>
    <w:rsid w:val="007E443A"/>
    <w:rsid w:val="007F0B2F"/>
    <w:rsid w:val="007F2290"/>
    <w:rsid w:val="007F236F"/>
    <w:rsid w:val="007F46FE"/>
    <w:rsid w:val="007F5A5E"/>
    <w:rsid w:val="007F7D8F"/>
    <w:rsid w:val="008026A1"/>
    <w:rsid w:val="008028DD"/>
    <w:rsid w:val="00803D9C"/>
    <w:rsid w:val="00806300"/>
    <w:rsid w:val="00812C40"/>
    <w:rsid w:val="00814572"/>
    <w:rsid w:val="008152BB"/>
    <w:rsid w:val="0082091B"/>
    <w:rsid w:val="00820F55"/>
    <w:rsid w:val="008211EB"/>
    <w:rsid w:val="00821918"/>
    <w:rsid w:val="00825D00"/>
    <w:rsid w:val="00834C32"/>
    <w:rsid w:val="008437A0"/>
    <w:rsid w:val="008459A7"/>
    <w:rsid w:val="00847510"/>
    <w:rsid w:val="00847737"/>
    <w:rsid w:val="008513C1"/>
    <w:rsid w:val="00852E08"/>
    <w:rsid w:val="00853550"/>
    <w:rsid w:val="00853A7F"/>
    <w:rsid w:val="00865F22"/>
    <w:rsid w:val="00867677"/>
    <w:rsid w:val="00871AF0"/>
    <w:rsid w:val="00872EC9"/>
    <w:rsid w:val="00880B03"/>
    <w:rsid w:val="00894BFE"/>
    <w:rsid w:val="008A32D9"/>
    <w:rsid w:val="008A45EE"/>
    <w:rsid w:val="008A5E64"/>
    <w:rsid w:val="008B3B49"/>
    <w:rsid w:val="008C126F"/>
    <w:rsid w:val="008C283D"/>
    <w:rsid w:val="008C594D"/>
    <w:rsid w:val="008C5AF6"/>
    <w:rsid w:val="008D5D33"/>
    <w:rsid w:val="008D69E6"/>
    <w:rsid w:val="008D7643"/>
    <w:rsid w:val="008E0017"/>
    <w:rsid w:val="008E1F9F"/>
    <w:rsid w:val="008F0075"/>
    <w:rsid w:val="008F5823"/>
    <w:rsid w:val="009011B4"/>
    <w:rsid w:val="00913ED5"/>
    <w:rsid w:val="0091437D"/>
    <w:rsid w:val="009231F7"/>
    <w:rsid w:val="009279B1"/>
    <w:rsid w:val="009334AB"/>
    <w:rsid w:val="00941273"/>
    <w:rsid w:val="00943096"/>
    <w:rsid w:val="00943D05"/>
    <w:rsid w:val="00944B03"/>
    <w:rsid w:val="0094557A"/>
    <w:rsid w:val="00945DD8"/>
    <w:rsid w:val="00947149"/>
    <w:rsid w:val="00952947"/>
    <w:rsid w:val="00954B1E"/>
    <w:rsid w:val="009618B6"/>
    <w:rsid w:val="00962F5F"/>
    <w:rsid w:val="00962F71"/>
    <w:rsid w:val="00967045"/>
    <w:rsid w:val="009705A6"/>
    <w:rsid w:val="009715D6"/>
    <w:rsid w:val="0097219B"/>
    <w:rsid w:val="0098724E"/>
    <w:rsid w:val="00991AC8"/>
    <w:rsid w:val="00995010"/>
    <w:rsid w:val="009A6F84"/>
    <w:rsid w:val="009A7FE3"/>
    <w:rsid w:val="009B0735"/>
    <w:rsid w:val="009B0868"/>
    <w:rsid w:val="009B25E1"/>
    <w:rsid w:val="009B354B"/>
    <w:rsid w:val="009B5883"/>
    <w:rsid w:val="009C08CA"/>
    <w:rsid w:val="009C2EB3"/>
    <w:rsid w:val="009C6413"/>
    <w:rsid w:val="009C7C9F"/>
    <w:rsid w:val="009D2506"/>
    <w:rsid w:val="009D57D8"/>
    <w:rsid w:val="009D74A0"/>
    <w:rsid w:val="009D777A"/>
    <w:rsid w:val="009E2019"/>
    <w:rsid w:val="009E7339"/>
    <w:rsid w:val="009F13E8"/>
    <w:rsid w:val="009F1EED"/>
    <w:rsid w:val="009F2595"/>
    <w:rsid w:val="009F7279"/>
    <w:rsid w:val="00A007C5"/>
    <w:rsid w:val="00A0131E"/>
    <w:rsid w:val="00A04C22"/>
    <w:rsid w:val="00A04DC7"/>
    <w:rsid w:val="00A14A04"/>
    <w:rsid w:val="00A222AE"/>
    <w:rsid w:val="00A26B6D"/>
    <w:rsid w:val="00A27314"/>
    <w:rsid w:val="00A30579"/>
    <w:rsid w:val="00A3426F"/>
    <w:rsid w:val="00A36428"/>
    <w:rsid w:val="00A36CFA"/>
    <w:rsid w:val="00A4018E"/>
    <w:rsid w:val="00A40698"/>
    <w:rsid w:val="00A41723"/>
    <w:rsid w:val="00A41CE0"/>
    <w:rsid w:val="00A43136"/>
    <w:rsid w:val="00A47DD2"/>
    <w:rsid w:val="00A53DF4"/>
    <w:rsid w:val="00A54786"/>
    <w:rsid w:val="00A6165F"/>
    <w:rsid w:val="00A65EFC"/>
    <w:rsid w:val="00A741CB"/>
    <w:rsid w:val="00A750BD"/>
    <w:rsid w:val="00A752E7"/>
    <w:rsid w:val="00A82539"/>
    <w:rsid w:val="00A8387B"/>
    <w:rsid w:val="00A84FA2"/>
    <w:rsid w:val="00A8514D"/>
    <w:rsid w:val="00A878EF"/>
    <w:rsid w:val="00A87DA5"/>
    <w:rsid w:val="00A909ED"/>
    <w:rsid w:val="00A925FF"/>
    <w:rsid w:val="00A94034"/>
    <w:rsid w:val="00A9689E"/>
    <w:rsid w:val="00AA3DE5"/>
    <w:rsid w:val="00AB3BF1"/>
    <w:rsid w:val="00AB4677"/>
    <w:rsid w:val="00AB7FE2"/>
    <w:rsid w:val="00AC1D00"/>
    <w:rsid w:val="00AD293D"/>
    <w:rsid w:val="00AE4A3D"/>
    <w:rsid w:val="00AE51B6"/>
    <w:rsid w:val="00AE6D07"/>
    <w:rsid w:val="00AF0D2C"/>
    <w:rsid w:val="00AF5184"/>
    <w:rsid w:val="00B001B8"/>
    <w:rsid w:val="00B00804"/>
    <w:rsid w:val="00B00DD2"/>
    <w:rsid w:val="00B04333"/>
    <w:rsid w:val="00B04898"/>
    <w:rsid w:val="00B0539C"/>
    <w:rsid w:val="00B13341"/>
    <w:rsid w:val="00B149E8"/>
    <w:rsid w:val="00B15039"/>
    <w:rsid w:val="00B1707A"/>
    <w:rsid w:val="00B222D4"/>
    <w:rsid w:val="00B25521"/>
    <w:rsid w:val="00B25BD7"/>
    <w:rsid w:val="00B272B1"/>
    <w:rsid w:val="00B31CF8"/>
    <w:rsid w:val="00B3390C"/>
    <w:rsid w:val="00B35261"/>
    <w:rsid w:val="00B36BD3"/>
    <w:rsid w:val="00B37308"/>
    <w:rsid w:val="00B4436B"/>
    <w:rsid w:val="00B503B5"/>
    <w:rsid w:val="00B5142E"/>
    <w:rsid w:val="00B559DE"/>
    <w:rsid w:val="00B56F43"/>
    <w:rsid w:val="00B60E69"/>
    <w:rsid w:val="00B615C7"/>
    <w:rsid w:val="00B6576C"/>
    <w:rsid w:val="00B732BB"/>
    <w:rsid w:val="00B73BA3"/>
    <w:rsid w:val="00B75D51"/>
    <w:rsid w:val="00B76BEF"/>
    <w:rsid w:val="00B77C0F"/>
    <w:rsid w:val="00B86CEC"/>
    <w:rsid w:val="00B86D6F"/>
    <w:rsid w:val="00B92895"/>
    <w:rsid w:val="00B970A6"/>
    <w:rsid w:val="00BB1E01"/>
    <w:rsid w:val="00BB32A2"/>
    <w:rsid w:val="00BB3F12"/>
    <w:rsid w:val="00BB52D5"/>
    <w:rsid w:val="00BB5997"/>
    <w:rsid w:val="00BC013A"/>
    <w:rsid w:val="00BC2243"/>
    <w:rsid w:val="00BD1119"/>
    <w:rsid w:val="00BD18B3"/>
    <w:rsid w:val="00BD2C48"/>
    <w:rsid w:val="00BD500D"/>
    <w:rsid w:val="00BE1CC3"/>
    <w:rsid w:val="00BE2162"/>
    <w:rsid w:val="00BF472D"/>
    <w:rsid w:val="00C0530B"/>
    <w:rsid w:val="00C05507"/>
    <w:rsid w:val="00C14751"/>
    <w:rsid w:val="00C14DBB"/>
    <w:rsid w:val="00C157B9"/>
    <w:rsid w:val="00C17F36"/>
    <w:rsid w:val="00C225FD"/>
    <w:rsid w:val="00C248D5"/>
    <w:rsid w:val="00C27D77"/>
    <w:rsid w:val="00C30E0D"/>
    <w:rsid w:val="00C3433D"/>
    <w:rsid w:val="00C34927"/>
    <w:rsid w:val="00C349B3"/>
    <w:rsid w:val="00C37B7B"/>
    <w:rsid w:val="00C511A6"/>
    <w:rsid w:val="00C5146B"/>
    <w:rsid w:val="00C53066"/>
    <w:rsid w:val="00C53E6C"/>
    <w:rsid w:val="00C557E8"/>
    <w:rsid w:val="00C56616"/>
    <w:rsid w:val="00C60F9C"/>
    <w:rsid w:val="00C6396A"/>
    <w:rsid w:val="00C65214"/>
    <w:rsid w:val="00C65B7B"/>
    <w:rsid w:val="00C704C3"/>
    <w:rsid w:val="00C72D44"/>
    <w:rsid w:val="00C73BC7"/>
    <w:rsid w:val="00C77EB2"/>
    <w:rsid w:val="00C81122"/>
    <w:rsid w:val="00C9365C"/>
    <w:rsid w:val="00CA3D4C"/>
    <w:rsid w:val="00CA7614"/>
    <w:rsid w:val="00CA7940"/>
    <w:rsid w:val="00CB09AE"/>
    <w:rsid w:val="00CB452F"/>
    <w:rsid w:val="00CB4663"/>
    <w:rsid w:val="00CB559F"/>
    <w:rsid w:val="00CB6FD1"/>
    <w:rsid w:val="00CD07CB"/>
    <w:rsid w:val="00CD081A"/>
    <w:rsid w:val="00CD0B20"/>
    <w:rsid w:val="00CD2E3C"/>
    <w:rsid w:val="00CD7A4D"/>
    <w:rsid w:val="00CE15B2"/>
    <w:rsid w:val="00CF2C15"/>
    <w:rsid w:val="00CF33F5"/>
    <w:rsid w:val="00CF4114"/>
    <w:rsid w:val="00D0548E"/>
    <w:rsid w:val="00D07370"/>
    <w:rsid w:val="00D1169B"/>
    <w:rsid w:val="00D16071"/>
    <w:rsid w:val="00D23A74"/>
    <w:rsid w:val="00D2407F"/>
    <w:rsid w:val="00D24DFC"/>
    <w:rsid w:val="00D27515"/>
    <w:rsid w:val="00D31A2A"/>
    <w:rsid w:val="00D35922"/>
    <w:rsid w:val="00D43027"/>
    <w:rsid w:val="00D56D6A"/>
    <w:rsid w:val="00D57465"/>
    <w:rsid w:val="00D57F57"/>
    <w:rsid w:val="00D640BB"/>
    <w:rsid w:val="00D679C4"/>
    <w:rsid w:val="00D774EA"/>
    <w:rsid w:val="00D87C65"/>
    <w:rsid w:val="00D910B4"/>
    <w:rsid w:val="00D94518"/>
    <w:rsid w:val="00D950CB"/>
    <w:rsid w:val="00DA1064"/>
    <w:rsid w:val="00DA1397"/>
    <w:rsid w:val="00DA4973"/>
    <w:rsid w:val="00DA4987"/>
    <w:rsid w:val="00DA5249"/>
    <w:rsid w:val="00DA739C"/>
    <w:rsid w:val="00DB6864"/>
    <w:rsid w:val="00DC31BC"/>
    <w:rsid w:val="00DC70D6"/>
    <w:rsid w:val="00DD0EC3"/>
    <w:rsid w:val="00DD16C1"/>
    <w:rsid w:val="00DE171C"/>
    <w:rsid w:val="00DE1A04"/>
    <w:rsid w:val="00DE29DB"/>
    <w:rsid w:val="00DF21B5"/>
    <w:rsid w:val="00DF2468"/>
    <w:rsid w:val="00DF6FAE"/>
    <w:rsid w:val="00DF7A75"/>
    <w:rsid w:val="00E032FB"/>
    <w:rsid w:val="00E03918"/>
    <w:rsid w:val="00E066F5"/>
    <w:rsid w:val="00E12FA5"/>
    <w:rsid w:val="00E148C7"/>
    <w:rsid w:val="00E22541"/>
    <w:rsid w:val="00E230C7"/>
    <w:rsid w:val="00E2345B"/>
    <w:rsid w:val="00E25BB4"/>
    <w:rsid w:val="00E2623E"/>
    <w:rsid w:val="00E3184A"/>
    <w:rsid w:val="00E31A20"/>
    <w:rsid w:val="00E32404"/>
    <w:rsid w:val="00E324C2"/>
    <w:rsid w:val="00E32C0D"/>
    <w:rsid w:val="00E3407A"/>
    <w:rsid w:val="00E47602"/>
    <w:rsid w:val="00E57610"/>
    <w:rsid w:val="00E63719"/>
    <w:rsid w:val="00E64908"/>
    <w:rsid w:val="00E667E1"/>
    <w:rsid w:val="00E71BC6"/>
    <w:rsid w:val="00E7773E"/>
    <w:rsid w:val="00E80D06"/>
    <w:rsid w:val="00E83018"/>
    <w:rsid w:val="00E84348"/>
    <w:rsid w:val="00E85B1F"/>
    <w:rsid w:val="00E8631E"/>
    <w:rsid w:val="00E9036A"/>
    <w:rsid w:val="00E91580"/>
    <w:rsid w:val="00E95500"/>
    <w:rsid w:val="00E96A91"/>
    <w:rsid w:val="00EA12B9"/>
    <w:rsid w:val="00EA12C7"/>
    <w:rsid w:val="00EB0521"/>
    <w:rsid w:val="00EB74AF"/>
    <w:rsid w:val="00EB7992"/>
    <w:rsid w:val="00EC0692"/>
    <w:rsid w:val="00ED2CF6"/>
    <w:rsid w:val="00ED5490"/>
    <w:rsid w:val="00ED5A8C"/>
    <w:rsid w:val="00EE0091"/>
    <w:rsid w:val="00EE3201"/>
    <w:rsid w:val="00EE4446"/>
    <w:rsid w:val="00EE4559"/>
    <w:rsid w:val="00EF08F2"/>
    <w:rsid w:val="00EF2518"/>
    <w:rsid w:val="00EF312E"/>
    <w:rsid w:val="00EF341D"/>
    <w:rsid w:val="00F0569F"/>
    <w:rsid w:val="00F064FD"/>
    <w:rsid w:val="00F06619"/>
    <w:rsid w:val="00F10487"/>
    <w:rsid w:val="00F14222"/>
    <w:rsid w:val="00F14DAD"/>
    <w:rsid w:val="00F17C6F"/>
    <w:rsid w:val="00F17D67"/>
    <w:rsid w:val="00F21C4E"/>
    <w:rsid w:val="00F23FBA"/>
    <w:rsid w:val="00F26051"/>
    <w:rsid w:val="00F27039"/>
    <w:rsid w:val="00F272C6"/>
    <w:rsid w:val="00F2781E"/>
    <w:rsid w:val="00F31191"/>
    <w:rsid w:val="00F33845"/>
    <w:rsid w:val="00F34F36"/>
    <w:rsid w:val="00F40128"/>
    <w:rsid w:val="00F41085"/>
    <w:rsid w:val="00F42109"/>
    <w:rsid w:val="00F44A3F"/>
    <w:rsid w:val="00F44E18"/>
    <w:rsid w:val="00F47A5D"/>
    <w:rsid w:val="00F53E27"/>
    <w:rsid w:val="00F54830"/>
    <w:rsid w:val="00F560AB"/>
    <w:rsid w:val="00F561FC"/>
    <w:rsid w:val="00F57E90"/>
    <w:rsid w:val="00F626B6"/>
    <w:rsid w:val="00F64E87"/>
    <w:rsid w:val="00F65D24"/>
    <w:rsid w:val="00F66AB4"/>
    <w:rsid w:val="00F71382"/>
    <w:rsid w:val="00F72373"/>
    <w:rsid w:val="00F7532B"/>
    <w:rsid w:val="00F97BC8"/>
    <w:rsid w:val="00FA34E4"/>
    <w:rsid w:val="00FA6FC6"/>
    <w:rsid w:val="00FB227B"/>
    <w:rsid w:val="00FB35E3"/>
    <w:rsid w:val="00FC0786"/>
    <w:rsid w:val="00FC1E1D"/>
    <w:rsid w:val="00FC6523"/>
    <w:rsid w:val="00FC75FC"/>
    <w:rsid w:val="00FD65EF"/>
    <w:rsid w:val="00FD789A"/>
    <w:rsid w:val="00FE00CD"/>
    <w:rsid w:val="00FE7520"/>
    <w:rsid w:val="00FF1ADF"/>
    <w:rsid w:val="00FF5A81"/>
    <w:rsid w:val="014001AC"/>
    <w:rsid w:val="0162050F"/>
    <w:rsid w:val="01C24A92"/>
    <w:rsid w:val="02653FF9"/>
    <w:rsid w:val="05CE1732"/>
    <w:rsid w:val="05E45914"/>
    <w:rsid w:val="06771ED8"/>
    <w:rsid w:val="06F764EC"/>
    <w:rsid w:val="072647BD"/>
    <w:rsid w:val="09CB04E3"/>
    <w:rsid w:val="0C8F6929"/>
    <w:rsid w:val="0CEA3A89"/>
    <w:rsid w:val="10E62079"/>
    <w:rsid w:val="120A24A1"/>
    <w:rsid w:val="132402B2"/>
    <w:rsid w:val="138A2DDF"/>
    <w:rsid w:val="13C84D64"/>
    <w:rsid w:val="145B4126"/>
    <w:rsid w:val="155374AE"/>
    <w:rsid w:val="15D042E7"/>
    <w:rsid w:val="15DA4A20"/>
    <w:rsid w:val="15DB5AA0"/>
    <w:rsid w:val="15E1504F"/>
    <w:rsid w:val="1AAE2916"/>
    <w:rsid w:val="1BB56FDD"/>
    <w:rsid w:val="1D016A38"/>
    <w:rsid w:val="1F380236"/>
    <w:rsid w:val="220B6795"/>
    <w:rsid w:val="225A2044"/>
    <w:rsid w:val="238759DC"/>
    <w:rsid w:val="23DC3AA4"/>
    <w:rsid w:val="27030E94"/>
    <w:rsid w:val="2B384867"/>
    <w:rsid w:val="2BEBEF1B"/>
    <w:rsid w:val="2D2208DE"/>
    <w:rsid w:val="2DFE6D3A"/>
    <w:rsid w:val="2EE700D8"/>
    <w:rsid w:val="2F4D42B8"/>
    <w:rsid w:val="2F9E4C55"/>
    <w:rsid w:val="2FD03A28"/>
    <w:rsid w:val="313749C7"/>
    <w:rsid w:val="31650BD9"/>
    <w:rsid w:val="31660196"/>
    <w:rsid w:val="31FA2065"/>
    <w:rsid w:val="32866B8B"/>
    <w:rsid w:val="32F95906"/>
    <w:rsid w:val="362771DA"/>
    <w:rsid w:val="378D7051"/>
    <w:rsid w:val="38D47048"/>
    <w:rsid w:val="3AFF4B8B"/>
    <w:rsid w:val="3B873A6B"/>
    <w:rsid w:val="3BA813BB"/>
    <w:rsid w:val="3C0611CF"/>
    <w:rsid w:val="3DA51BE2"/>
    <w:rsid w:val="3DEC5331"/>
    <w:rsid w:val="3F6A0ABE"/>
    <w:rsid w:val="3F76CA64"/>
    <w:rsid w:val="3F7F4D17"/>
    <w:rsid w:val="3F8FF60C"/>
    <w:rsid w:val="3FBF4D91"/>
    <w:rsid w:val="3FC63954"/>
    <w:rsid w:val="3FDFA884"/>
    <w:rsid w:val="3FF66740"/>
    <w:rsid w:val="3FFB6081"/>
    <w:rsid w:val="3FFFF353"/>
    <w:rsid w:val="40276879"/>
    <w:rsid w:val="407738F0"/>
    <w:rsid w:val="43AA19A5"/>
    <w:rsid w:val="468E2C24"/>
    <w:rsid w:val="47D96A22"/>
    <w:rsid w:val="47DD5832"/>
    <w:rsid w:val="4839795D"/>
    <w:rsid w:val="491A2547"/>
    <w:rsid w:val="49E46288"/>
    <w:rsid w:val="4ACD0DB2"/>
    <w:rsid w:val="4BE30B45"/>
    <w:rsid w:val="4E74490B"/>
    <w:rsid w:val="4F387E5C"/>
    <w:rsid w:val="505428F9"/>
    <w:rsid w:val="518D282E"/>
    <w:rsid w:val="51A10B01"/>
    <w:rsid w:val="52C15AAB"/>
    <w:rsid w:val="537C00B0"/>
    <w:rsid w:val="55465BAE"/>
    <w:rsid w:val="557378EF"/>
    <w:rsid w:val="55B40137"/>
    <w:rsid w:val="56F81607"/>
    <w:rsid w:val="58DB1653"/>
    <w:rsid w:val="59DE57C7"/>
    <w:rsid w:val="5AED6949"/>
    <w:rsid w:val="5B7E27D9"/>
    <w:rsid w:val="5BFE10C5"/>
    <w:rsid w:val="5C220E07"/>
    <w:rsid w:val="5D2D2E0C"/>
    <w:rsid w:val="5DC82230"/>
    <w:rsid w:val="5E1E2067"/>
    <w:rsid w:val="5E9A74DF"/>
    <w:rsid w:val="5FC81A43"/>
    <w:rsid w:val="60D22F9F"/>
    <w:rsid w:val="60E05193"/>
    <w:rsid w:val="61B14697"/>
    <w:rsid w:val="638607CB"/>
    <w:rsid w:val="64BF0C68"/>
    <w:rsid w:val="66485569"/>
    <w:rsid w:val="675A3119"/>
    <w:rsid w:val="67EF3E96"/>
    <w:rsid w:val="689D0AE9"/>
    <w:rsid w:val="6AEE4C9C"/>
    <w:rsid w:val="6B0F2891"/>
    <w:rsid w:val="6B7E0622"/>
    <w:rsid w:val="6C165517"/>
    <w:rsid w:val="6CB69FE8"/>
    <w:rsid w:val="6ED72E1E"/>
    <w:rsid w:val="6EDC7D8E"/>
    <w:rsid w:val="6FE756B9"/>
    <w:rsid w:val="6FFD31CB"/>
    <w:rsid w:val="70975196"/>
    <w:rsid w:val="70E14550"/>
    <w:rsid w:val="72A03FF2"/>
    <w:rsid w:val="731D1FE7"/>
    <w:rsid w:val="7379727C"/>
    <w:rsid w:val="75A732FF"/>
    <w:rsid w:val="75B7FFAA"/>
    <w:rsid w:val="76CFCC74"/>
    <w:rsid w:val="76DF3323"/>
    <w:rsid w:val="76F6C973"/>
    <w:rsid w:val="77000835"/>
    <w:rsid w:val="77DF6891"/>
    <w:rsid w:val="77F7276B"/>
    <w:rsid w:val="77FF7725"/>
    <w:rsid w:val="784E0489"/>
    <w:rsid w:val="78593531"/>
    <w:rsid w:val="7A226E93"/>
    <w:rsid w:val="7AEB0DCC"/>
    <w:rsid w:val="7AF75590"/>
    <w:rsid w:val="7AF7FDA8"/>
    <w:rsid w:val="7B59292A"/>
    <w:rsid w:val="7B6C550C"/>
    <w:rsid w:val="7BFBE533"/>
    <w:rsid w:val="7DBFE989"/>
    <w:rsid w:val="7DEE03BB"/>
    <w:rsid w:val="7E27C8B3"/>
    <w:rsid w:val="7E460EBE"/>
    <w:rsid w:val="7E522E7A"/>
    <w:rsid w:val="7E5A1359"/>
    <w:rsid w:val="7EDF1F1F"/>
    <w:rsid w:val="7EFE33A0"/>
    <w:rsid w:val="7F4DFA45"/>
    <w:rsid w:val="7FD84AE6"/>
    <w:rsid w:val="7FF9F901"/>
    <w:rsid w:val="7FFDB2DB"/>
    <w:rsid w:val="7FFF3D43"/>
    <w:rsid w:val="AFF9D651"/>
    <w:rsid w:val="B7F79173"/>
    <w:rsid w:val="BBFF9530"/>
    <w:rsid w:val="BD8EC0D4"/>
    <w:rsid w:val="BDFE4EBA"/>
    <w:rsid w:val="BEDA76B3"/>
    <w:rsid w:val="CDD48D56"/>
    <w:rsid w:val="D8EE7967"/>
    <w:rsid w:val="DACE3FAB"/>
    <w:rsid w:val="DCEEA867"/>
    <w:rsid w:val="DDBF74A4"/>
    <w:rsid w:val="DDFFEC68"/>
    <w:rsid w:val="DEFD583C"/>
    <w:rsid w:val="DF3BC9E4"/>
    <w:rsid w:val="DFEFCA28"/>
    <w:rsid w:val="E8EFF36D"/>
    <w:rsid w:val="EB93449E"/>
    <w:rsid w:val="EDF565B9"/>
    <w:rsid w:val="EDFF7A5F"/>
    <w:rsid w:val="EF4E6D07"/>
    <w:rsid w:val="EF57D1CB"/>
    <w:rsid w:val="EFFF6A58"/>
    <w:rsid w:val="F917E080"/>
    <w:rsid w:val="FA37D5FD"/>
    <w:rsid w:val="FB9BA93C"/>
    <w:rsid w:val="FBA6852E"/>
    <w:rsid w:val="FBB3E8F3"/>
    <w:rsid w:val="FCF72C95"/>
    <w:rsid w:val="FD3BE043"/>
    <w:rsid w:val="FEF67772"/>
    <w:rsid w:val="FEFC93B7"/>
    <w:rsid w:val="FF0F4CD7"/>
    <w:rsid w:val="FF7F0876"/>
    <w:rsid w:val="FF849D11"/>
    <w:rsid w:val="FF9F0D84"/>
    <w:rsid w:val="FFAEBF91"/>
    <w:rsid w:val="FFB5CC9B"/>
    <w:rsid w:val="FFBF58BB"/>
    <w:rsid w:val="FFD38F12"/>
    <w:rsid w:val="FFD520AC"/>
    <w:rsid w:val="FFFFB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qFormat/>
    <w:uiPriority w:val="0"/>
    <w:rPr>
      <w:rFonts w:ascii="Times New Roman" w:hAnsi="Times New Roman" w:eastAsia="宋体" w:cs="Times New Roman"/>
    </w:rPr>
  </w:style>
  <w:style w:type="table" w:default="1" w:styleId="10">
    <w:name w:val="Normal Table"/>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rPr>
      <w:rFonts w:eastAsia="宋体"/>
    </w:rPr>
  </w:style>
  <w:style w:type="paragraph" w:styleId="3">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rPr>
  </w:style>
  <w:style w:type="paragraph" w:styleId="4">
    <w:name w:val="Normal Indent"/>
    <w:basedOn w:val="1"/>
    <w:next w:val="5"/>
    <w:link w:val="12"/>
    <w:qFormat/>
    <w:uiPriority w:val="0"/>
    <w:rPr>
      <w:rFonts w:ascii="Calibri" w:hAnsi="Calibri" w:eastAsia="宋体"/>
      <w:kern w:val="0"/>
    </w:rPr>
  </w:style>
  <w:style w:type="paragraph" w:styleId="5">
    <w:name w:val="Body Text First Indent 2"/>
    <w:basedOn w:val="6"/>
    <w:next w:val="1"/>
    <w:qFormat/>
    <w:uiPriority w:val="0"/>
    <w:pPr>
      <w:ind w:firstLine="420"/>
    </w:pPr>
  </w:style>
  <w:style w:type="paragraph" w:styleId="6">
    <w:name w:val="Body Text Indent"/>
    <w:basedOn w:val="1"/>
    <w:next w:val="1"/>
    <w:qFormat/>
    <w:uiPriority w:val="0"/>
    <w:pPr>
      <w:spacing w:after="120"/>
      <w:ind w:left="420" w:leftChars="200"/>
    </w:pPr>
    <w:rPr>
      <w:rFonts w:eastAsia="宋体"/>
    </w:rPr>
  </w:style>
  <w:style w:type="paragraph" w:styleId="7">
    <w:name w:val="footer"/>
    <w:basedOn w:val="1"/>
    <w:link w:val="13"/>
    <w:qFormat/>
    <w:uiPriority w:val="0"/>
    <w:pPr>
      <w:tabs>
        <w:tab w:val="center" w:pos="4153"/>
        <w:tab w:val="right" w:pos="8306"/>
      </w:tabs>
      <w:snapToGrid w:val="0"/>
      <w:jc w:val="left"/>
    </w:pPr>
    <w:rPr>
      <w:rFonts w:eastAsia="宋体"/>
      <w:kern w:val="0"/>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rFonts w:eastAsia="宋体"/>
      <w:kern w:val="0"/>
      <w:sz w:val="18"/>
      <w:szCs w:val="18"/>
    </w:rPr>
  </w:style>
  <w:style w:type="paragraph" w:styleId="9">
    <w:name w:val="Body Text First Indent"/>
    <w:basedOn w:val="2"/>
    <w:next w:val="1"/>
    <w:qFormat/>
    <w:uiPriority w:val="0"/>
    <w:pPr>
      <w:ind w:firstLine="420" w:firstLineChars="100"/>
    </w:pPr>
  </w:style>
  <w:style w:type="character" w:customStyle="1" w:styleId="12">
    <w:name w:val="正文缩进 字符"/>
    <w:link w:val="4"/>
    <w:qFormat/>
    <w:uiPriority w:val="0"/>
    <w:rPr>
      <w:rFonts w:ascii="Times New Roman" w:hAnsi="Times New Roman" w:eastAsia="仿宋_GB2312" w:cs="Times New Roman"/>
      <w:sz w:val="32"/>
      <w:szCs w:val="24"/>
    </w:rPr>
  </w:style>
  <w:style w:type="character" w:customStyle="1" w:styleId="13">
    <w:name w:val="页脚 字符"/>
    <w:link w:val="7"/>
    <w:qFormat/>
    <w:uiPriority w:val="0"/>
    <w:rPr>
      <w:rFonts w:ascii="Times New Roman" w:hAnsi="Times New Roman" w:eastAsia="仿宋_GB2312" w:cs="Times New Roman"/>
      <w:sz w:val="18"/>
      <w:szCs w:val="18"/>
    </w:rPr>
  </w:style>
  <w:style w:type="character" w:customStyle="1" w:styleId="14">
    <w:name w:val="页眉 字符"/>
    <w:link w:val="8"/>
    <w:qFormat/>
    <w:uiPriority w:val="0"/>
    <w:rPr>
      <w:rFonts w:ascii="Times New Roman" w:hAnsi="Times New Roman" w:eastAsia="仿宋_GB2312" w:cs="Times New Roman"/>
      <w:sz w:val="18"/>
      <w:szCs w:val="18"/>
    </w:rPr>
  </w:style>
  <w:style w:type="paragraph" w:customStyle="1" w:styleId="15">
    <w:name w:val="样式 正文缩进正文缩进2正文缩进 Char Char正文缩进 Char Char Char Char正文缩进 Char ..."/>
    <w:basedOn w:val="4"/>
    <w:qFormat/>
    <w:uiPriority w:val="0"/>
    <w:pPr>
      <w:spacing w:line="360" w:lineRule="auto"/>
    </w:pPr>
    <w:rPr>
      <w:rFonts w:ascii="Times New Roman" w:hAnsi="Times New Roman" w:cs="宋体"/>
      <w:sz w:val="24"/>
    </w:rPr>
  </w:style>
  <w:style w:type="paragraph" w:customStyle="1" w:styleId="16">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character" w:customStyle="1" w:styleId="17">
    <w:name w:val="fontstyle21"/>
    <w:qFormat/>
    <w:uiPriority w:val="0"/>
    <w:rPr>
      <w:rFonts w:hint="eastAsia" w:ascii="TimesNewRomanPSMT" w:hAnsi="Times New Roman" w:eastAsia="TimesNewRomanPSMT" w:cs="Times New Roman"/>
      <w:color w:val="000000"/>
      <w:sz w:val="22"/>
      <w:szCs w:val="22"/>
    </w:rPr>
  </w:style>
  <w:style w:type="character" w:customStyle="1" w:styleId="18">
    <w:name w:val="fontstyle01"/>
    <w:qFormat/>
    <w:uiPriority w:val="0"/>
    <w:rPr>
      <w:rFonts w:hint="eastAsia" w:ascii="宋体" w:hAnsi="宋体" w:eastAsia="宋体" w:cs="Times New Roman"/>
      <w:color w:val="000000"/>
      <w:sz w:val="22"/>
      <w:szCs w:val="22"/>
    </w:rPr>
  </w:style>
  <w:style w:type="character" w:customStyle="1" w:styleId="19">
    <w:name w:val="大标题"/>
    <w:qFormat/>
    <w:uiPriority w:val="0"/>
    <w:rPr>
      <w:rFonts w:ascii="Times New Roman" w:hAnsi="Times New Roman" w:eastAsia="宋体" w:cs="Times New Roman"/>
      <w:b/>
      <w:spacing w:val="0"/>
      <w:w w:val="100"/>
      <w:position w:val="0"/>
      <w:sz w:val="28"/>
    </w:rPr>
  </w:style>
  <w:style w:type="paragraph" w:customStyle="1" w:styleId="20">
    <w:name w:val="111111正文"/>
    <w:basedOn w:val="1"/>
    <w:qFormat/>
    <w:uiPriority w:val="0"/>
    <w:pPr>
      <w:spacing w:line="360" w:lineRule="auto"/>
    </w:pPr>
    <w:rPr>
      <w:sz w:val="24"/>
    </w:rPr>
  </w:style>
  <w:style w:type="paragraph" w:customStyle="1" w:styleId="21">
    <w:name w:val="正文格式"/>
    <w:basedOn w:val="1"/>
    <w:qFormat/>
    <w:uiPriority w:val="0"/>
    <w:pPr>
      <w:spacing w:line="360" w:lineRule="auto"/>
      <w:ind w:firstLine="482"/>
    </w:pPr>
    <w:rPr>
      <w:rFonts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2798</Words>
  <Characters>3018</Characters>
  <Lines>2</Lines>
  <Paragraphs>6</Paragraphs>
  <TotalTime>11</TotalTime>
  <ScaleCrop>false</ScaleCrop>
  <LinksUpToDate>false</LinksUpToDate>
  <CharactersWithSpaces>3076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2024-08-28T02:57:00Z</dcterms:created>
  <dc:creator>Administrator</dc:creator>
  <cp:lastModifiedBy>Administrator</cp:lastModifiedBy>
  <cp:lastPrinted>2024-08-27T18:28:00Z</cp:lastPrinted>
  <dcterms:modified xsi:type="dcterms:W3CDTF">2024-08-30T09:09:17Z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B1BB5D3AAFF64680927727BA884CAE7A_13</vt:lpwstr>
  </property>
</Properties>
</file>