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tabs>
          <w:tab w:val="left" w:pos="8280"/>
        </w:tabs>
        <w:kinsoku/>
        <w:wordWrap/>
        <w:overflowPunct/>
        <w:topLinePunct w:val="0"/>
        <w:autoSpaceDE/>
        <w:autoSpaceDN/>
        <w:bidi w:val="0"/>
        <w:spacing w:line="600" w:lineRule="exact"/>
        <w:ind w:right="26" w:firstLine="0" w:firstLineChars="0"/>
        <w:jc w:val="right"/>
        <w:textAlignment w:val="auto"/>
        <w:rPr>
          <w:rFonts w:hint="eastAsia" w:eastAsia="仿宋"/>
          <w:highlight w:val="none"/>
        </w:rPr>
      </w:pPr>
    </w:p>
    <w:p>
      <w:pPr>
        <w:keepNext w:val="0"/>
        <w:keepLines w:val="0"/>
        <w:pageBreakBefore w:val="0"/>
        <w:widowControl w:val="0"/>
        <w:tabs>
          <w:tab w:val="left" w:pos="8280"/>
        </w:tabs>
        <w:kinsoku/>
        <w:wordWrap/>
        <w:overflowPunct/>
        <w:topLinePunct w:val="0"/>
        <w:autoSpaceDE/>
        <w:autoSpaceDN/>
        <w:bidi w:val="0"/>
        <w:spacing w:line="600" w:lineRule="exact"/>
        <w:ind w:right="26" w:firstLine="0" w:firstLineChars="0"/>
        <w:jc w:val="right"/>
        <w:textAlignment w:val="auto"/>
        <w:rPr>
          <w:rFonts w:eastAsia="仿宋"/>
          <w:highlight w:val="none"/>
        </w:rPr>
      </w:pPr>
    </w:p>
    <w:p>
      <w:pPr>
        <w:keepNext w:val="0"/>
        <w:keepLines w:val="0"/>
        <w:pageBreakBefore w:val="0"/>
        <w:widowControl w:val="0"/>
        <w:tabs>
          <w:tab w:val="left" w:pos="8280"/>
        </w:tabs>
        <w:kinsoku/>
        <w:wordWrap/>
        <w:overflowPunct/>
        <w:topLinePunct w:val="0"/>
        <w:autoSpaceDE/>
        <w:autoSpaceDN/>
        <w:bidi w:val="0"/>
        <w:spacing w:line="600" w:lineRule="exact"/>
        <w:ind w:right="26" w:firstLine="0" w:firstLineChars="0"/>
        <w:jc w:val="center"/>
        <w:textAlignment w:val="auto"/>
        <w:rPr>
          <w:highlight w:val="none"/>
        </w:rPr>
      </w:pPr>
    </w:p>
    <w:p>
      <w:pPr>
        <w:keepNext w:val="0"/>
        <w:keepLines w:val="0"/>
        <w:pageBreakBefore w:val="0"/>
        <w:widowControl w:val="0"/>
        <w:tabs>
          <w:tab w:val="left" w:pos="8280"/>
        </w:tabs>
        <w:kinsoku/>
        <w:wordWrap/>
        <w:overflowPunct/>
        <w:topLinePunct w:val="0"/>
        <w:autoSpaceDE/>
        <w:autoSpaceDN/>
        <w:bidi w:val="0"/>
        <w:spacing w:line="600" w:lineRule="exact"/>
        <w:ind w:right="26" w:firstLine="0" w:firstLineChars="0"/>
        <w:jc w:val="center"/>
        <w:textAlignment w:val="auto"/>
        <w:rPr>
          <w:highlight w:val="none"/>
        </w:rPr>
      </w:pPr>
    </w:p>
    <w:p>
      <w:pPr>
        <w:keepNext w:val="0"/>
        <w:keepLines w:val="0"/>
        <w:pageBreakBefore w:val="0"/>
        <w:widowControl w:val="0"/>
        <w:tabs>
          <w:tab w:val="left" w:pos="8280"/>
        </w:tabs>
        <w:kinsoku/>
        <w:wordWrap/>
        <w:overflowPunct/>
        <w:topLinePunct w:val="0"/>
        <w:autoSpaceDE/>
        <w:autoSpaceDN/>
        <w:bidi w:val="0"/>
        <w:spacing w:line="600" w:lineRule="exact"/>
        <w:ind w:right="26" w:firstLine="0" w:firstLineChars="0"/>
        <w:jc w:val="center"/>
        <w:textAlignment w:val="auto"/>
        <w:rPr>
          <w:highlight w:val="none"/>
        </w:rPr>
      </w:pPr>
    </w:p>
    <w:p>
      <w:pPr>
        <w:pStyle w:val="6"/>
        <w:keepNext w:val="0"/>
        <w:keepLines w:val="0"/>
        <w:pageBreakBefore w:val="0"/>
        <w:widowControl w:val="0"/>
        <w:kinsoku/>
        <w:wordWrap/>
        <w:overflowPunct/>
        <w:topLinePunct w:val="0"/>
        <w:autoSpaceDE/>
        <w:autoSpaceDN/>
        <w:bidi w:val="0"/>
        <w:spacing w:line="600" w:lineRule="exact"/>
        <w:ind w:firstLine="0" w:firstLineChars="0"/>
        <w:textAlignment w:val="auto"/>
        <w:rPr>
          <w:highlight w:val="none"/>
        </w:rPr>
      </w:pPr>
    </w:p>
    <w:p>
      <w:pPr>
        <w:keepNext w:val="0"/>
        <w:keepLines w:val="0"/>
        <w:pageBreakBefore w:val="0"/>
        <w:widowControl w:val="0"/>
        <w:tabs>
          <w:tab w:val="left" w:pos="8280"/>
        </w:tabs>
        <w:kinsoku/>
        <w:wordWrap/>
        <w:overflowPunct/>
        <w:topLinePunct w:val="0"/>
        <w:autoSpaceDE/>
        <w:autoSpaceDN/>
        <w:bidi w:val="0"/>
        <w:spacing w:line="600" w:lineRule="exact"/>
        <w:ind w:right="26" w:firstLine="0" w:firstLineChars="0"/>
        <w:jc w:val="center"/>
        <w:textAlignment w:val="auto"/>
        <w:rPr>
          <w:highlight w:val="none"/>
        </w:rPr>
      </w:pPr>
    </w:p>
    <w:p>
      <w:pPr>
        <w:keepNext w:val="0"/>
        <w:keepLines w:val="0"/>
        <w:pageBreakBefore w:val="0"/>
        <w:widowControl w:val="0"/>
        <w:tabs>
          <w:tab w:val="left" w:pos="8280"/>
        </w:tabs>
        <w:kinsoku/>
        <w:wordWrap/>
        <w:overflowPunct/>
        <w:topLinePunct w:val="0"/>
        <w:autoSpaceDE/>
        <w:autoSpaceDN/>
        <w:bidi w:val="0"/>
        <w:spacing w:line="600" w:lineRule="exact"/>
        <w:ind w:right="26" w:firstLine="0" w:firstLineChars="0"/>
        <w:jc w:val="center"/>
        <w:textAlignment w:val="auto"/>
        <w:rPr>
          <w:highlight w:val="none"/>
        </w:rPr>
      </w:pPr>
    </w:p>
    <w:p>
      <w:pPr>
        <w:keepNext w:val="0"/>
        <w:keepLines w:val="0"/>
        <w:pageBreakBefore w:val="0"/>
        <w:widowControl w:val="0"/>
        <w:tabs>
          <w:tab w:val="left" w:pos="8280"/>
        </w:tabs>
        <w:kinsoku/>
        <w:wordWrap/>
        <w:overflowPunct/>
        <w:topLinePunct w:val="0"/>
        <w:autoSpaceDE/>
        <w:autoSpaceDN/>
        <w:bidi w:val="0"/>
        <w:spacing w:line="600" w:lineRule="exact"/>
        <w:ind w:right="26" w:firstLine="0" w:firstLineChars="0"/>
        <w:jc w:val="center"/>
        <w:textAlignment w:val="auto"/>
        <w:rPr>
          <w:highlight w:val="none"/>
        </w:rPr>
      </w:pPr>
    </w:p>
    <w:p>
      <w:pPr>
        <w:pStyle w:val="6"/>
        <w:keepNext w:val="0"/>
        <w:keepLines w:val="0"/>
        <w:pageBreakBefore w:val="0"/>
        <w:widowControl w:val="0"/>
        <w:kinsoku/>
        <w:wordWrap/>
        <w:overflowPunct/>
        <w:topLinePunct w:val="0"/>
        <w:autoSpaceDE/>
        <w:autoSpaceDN/>
        <w:bidi w:val="0"/>
        <w:spacing w:line="600" w:lineRule="exact"/>
        <w:ind w:left="0" w:leftChars="0" w:firstLine="0" w:firstLineChars="0"/>
        <w:textAlignment w:val="auto"/>
        <w:rPr>
          <w:highlight w:val="none"/>
        </w:rPr>
      </w:pPr>
    </w:p>
    <w:p>
      <w:pPr>
        <w:keepNext w:val="0"/>
        <w:keepLines w:val="0"/>
        <w:pageBreakBefore w:val="0"/>
        <w:widowControl w:val="0"/>
        <w:tabs>
          <w:tab w:val="left" w:pos="8280"/>
        </w:tabs>
        <w:kinsoku/>
        <w:wordWrap/>
        <w:overflowPunct/>
        <w:topLinePunct w:val="0"/>
        <w:autoSpaceDE/>
        <w:autoSpaceDN/>
        <w:bidi w:val="0"/>
        <w:spacing w:line="600" w:lineRule="exact"/>
        <w:ind w:right="26" w:firstLine="0" w:firstLineChars="0"/>
        <w:jc w:val="center"/>
        <w:textAlignment w:val="auto"/>
        <w:rPr>
          <w:highlight w:val="none"/>
        </w:rPr>
      </w:pPr>
      <w:r>
        <w:rPr>
          <w:highlight w:val="none"/>
        </w:rPr>
        <w:t>鄂环</w:t>
      </w:r>
      <w:r>
        <w:rPr>
          <w:rFonts w:hint="eastAsia"/>
          <w:highlight w:val="none"/>
        </w:rPr>
        <w:t>审</w:t>
      </w:r>
      <w:r>
        <w:rPr>
          <w:highlight w:val="none"/>
        </w:rPr>
        <w:t>字〔</w:t>
      </w:r>
      <w:r>
        <w:rPr>
          <w:rFonts w:hint="eastAsia"/>
          <w:highlight w:val="none"/>
        </w:rPr>
        <w:t>202</w:t>
      </w:r>
      <w:r>
        <w:rPr>
          <w:rFonts w:hint="eastAsia"/>
          <w:highlight w:val="none"/>
          <w:lang w:val="en-US" w:eastAsia="zh-CN"/>
        </w:rPr>
        <w:t>3</w:t>
      </w:r>
      <w:r>
        <w:rPr>
          <w:highlight w:val="none"/>
        </w:rPr>
        <w:t>〕</w:t>
      </w:r>
      <w:r>
        <w:rPr>
          <w:rFonts w:hint="eastAsia"/>
          <w:highlight w:val="none"/>
          <w:lang w:val="en-US" w:eastAsia="zh-CN"/>
        </w:rPr>
        <w:t>176</w:t>
      </w:r>
      <w:r>
        <w:rPr>
          <w:highlight w:val="none"/>
        </w:rPr>
        <w:t>号</w:t>
      </w:r>
    </w:p>
    <w:p>
      <w:pPr>
        <w:keepNext w:val="0"/>
        <w:keepLines w:val="0"/>
        <w:pageBreakBefore w:val="0"/>
        <w:widowControl w:val="0"/>
        <w:tabs>
          <w:tab w:val="left" w:pos="6780"/>
        </w:tabs>
        <w:kinsoku/>
        <w:wordWrap/>
        <w:overflowPunct/>
        <w:topLinePunct w:val="0"/>
        <w:autoSpaceDE/>
        <w:autoSpaceDN/>
        <w:bidi w:val="0"/>
        <w:spacing w:line="600" w:lineRule="exact"/>
        <w:ind w:firstLine="0" w:firstLineChars="0"/>
        <w:jc w:val="center"/>
        <w:textAlignment w:val="auto"/>
        <w:rPr>
          <w:rFonts w:eastAsia="仿宋"/>
          <w:b/>
          <w:sz w:val="36"/>
          <w:szCs w:val="36"/>
          <w:highlight w:val="none"/>
        </w:rPr>
      </w:pPr>
    </w:p>
    <w:p>
      <w:pPr>
        <w:keepNext w:val="0"/>
        <w:keepLines w:val="0"/>
        <w:pageBreakBefore w:val="0"/>
        <w:widowControl w:val="0"/>
        <w:kinsoku/>
        <w:wordWrap/>
        <w:overflowPunct/>
        <w:topLinePunct w:val="0"/>
        <w:autoSpaceDE/>
        <w:autoSpaceDN/>
        <w:bidi w:val="0"/>
        <w:spacing w:line="600" w:lineRule="exact"/>
        <w:ind w:firstLine="0" w:firstLineChars="0"/>
        <w:jc w:val="center"/>
        <w:textAlignment w:val="auto"/>
        <w:rPr>
          <w:rFonts w:eastAsia="宋体"/>
          <w:b/>
          <w:w w:val="95"/>
          <w:sz w:val="44"/>
          <w:szCs w:val="44"/>
          <w:highlight w:val="none"/>
        </w:rPr>
      </w:pPr>
      <w:r>
        <w:rPr>
          <w:rFonts w:eastAsia="宋体"/>
          <w:b/>
          <w:w w:val="95"/>
          <w:sz w:val="44"/>
          <w:szCs w:val="44"/>
          <w:highlight w:val="none"/>
        </w:rPr>
        <w:t>鄂尔多斯市生态环境局</w:t>
      </w:r>
    </w:p>
    <w:p>
      <w:pPr>
        <w:keepNext w:val="0"/>
        <w:keepLines w:val="0"/>
        <w:pageBreakBefore w:val="0"/>
        <w:widowControl w:val="0"/>
        <w:kinsoku/>
        <w:wordWrap/>
        <w:overflowPunct/>
        <w:topLinePunct w:val="0"/>
        <w:autoSpaceDE/>
        <w:autoSpaceDN/>
        <w:bidi w:val="0"/>
        <w:spacing w:line="600" w:lineRule="exact"/>
        <w:ind w:firstLine="0" w:firstLineChars="0"/>
        <w:jc w:val="center"/>
        <w:textAlignment w:val="auto"/>
        <w:rPr>
          <w:rFonts w:hint="eastAsia" w:eastAsia="宋体"/>
          <w:b/>
          <w:w w:val="95"/>
          <w:sz w:val="44"/>
          <w:szCs w:val="44"/>
          <w:highlight w:val="none"/>
          <w:lang w:eastAsia="zh-CN"/>
        </w:rPr>
      </w:pPr>
      <w:r>
        <w:rPr>
          <w:rFonts w:eastAsia="宋体"/>
          <w:b/>
          <w:w w:val="95"/>
          <w:sz w:val="44"/>
          <w:szCs w:val="44"/>
          <w:highlight w:val="none"/>
        </w:rPr>
        <w:t>关于</w:t>
      </w:r>
      <w:r>
        <w:rPr>
          <w:rFonts w:hint="eastAsia" w:eastAsia="宋体"/>
          <w:b/>
          <w:w w:val="95"/>
          <w:sz w:val="44"/>
          <w:szCs w:val="44"/>
          <w:highlight w:val="none"/>
          <w:lang w:eastAsia="zh-CN"/>
        </w:rPr>
        <w:t>内蒙古伊东集团东方能源化工有限责任公司直立炉绿色转型节能技改项目</w:t>
      </w:r>
    </w:p>
    <w:p>
      <w:pPr>
        <w:keepNext w:val="0"/>
        <w:keepLines w:val="0"/>
        <w:pageBreakBefore w:val="0"/>
        <w:widowControl w:val="0"/>
        <w:kinsoku/>
        <w:wordWrap/>
        <w:overflowPunct/>
        <w:topLinePunct w:val="0"/>
        <w:autoSpaceDE/>
        <w:autoSpaceDN/>
        <w:bidi w:val="0"/>
        <w:spacing w:line="600" w:lineRule="exact"/>
        <w:ind w:firstLine="0" w:firstLineChars="0"/>
        <w:jc w:val="center"/>
        <w:textAlignment w:val="auto"/>
        <w:rPr>
          <w:rFonts w:hint="eastAsia" w:eastAsia="宋体"/>
          <w:b/>
          <w:w w:val="95"/>
          <w:sz w:val="44"/>
          <w:szCs w:val="44"/>
          <w:highlight w:val="none"/>
        </w:rPr>
      </w:pPr>
      <w:r>
        <w:rPr>
          <w:rFonts w:hint="eastAsia" w:eastAsia="宋体"/>
          <w:b/>
          <w:w w:val="95"/>
          <w:sz w:val="44"/>
          <w:szCs w:val="44"/>
          <w:highlight w:val="none"/>
        </w:rPr>
        <w:t>环境影响报告书的批复</w:t>
      </w:r>
    </w:p>
    <w:p>
      <w:pPr>
        <w:keepNext w:val="0"/>
        <w:keepLines w:val="0"/>
        <w:pageBreakBefore w:val="0"/>
        <w:widowControl w:val="0"/>
        <w:kinsoku/>
        <w:wordWrap/>
        <w:overflowPunct/>
        <w:topLinePunct w:val="0"/>
        <w:autoSpaceDE/>
        <w:autoSpaceDN/>
        <w:bidi w:val="0"/>
        <w:spacing w:line="600" w:lineRule="exact"/>
        <w:ind w:firstLine="723"/>
        <w:jc w:val="center"/>
        <w:textAlignment w:val="auto"/>
        <w:rPr>
          <w:rFonts w:eastAsia="仿宋"/>
          <w:b/>
          <w:sz w:val="36"/>
          <w:szCs w:val="36"/>
          <w:highlight w:val="none"/>
        </w:rPr>
      </w:pPr>
    </w:p>
    <w:p>
      <w:pPr>
        <w:keepNext w:val="0"/>
        <w:keepLines w:val="0"/>
        <w:pageBreakBefore w:val="0"/>
        <w:widowControl w:val="0"/>
        <w:kinsoku/>
        <w:wordWrap/>
        <w:overflowPunct/>
        <w:topLinePunct w:val="0"/>
        <w:autoSpaceDE/>
        <w:autoSpaceDN/>
        <w:bidi w:val="0"/>
        <w:adjustRightInd w:val="0"/>
        <w:snapToGrid w:val="0"/>
        <w:spacing w:line="600" w:lineRule="exact"/>
        <w:ind w:firstLine="0" w:firstLineChars="0"/>
        <w:textAlignment w:val="auto"/>
        <w:rPr>
          <w:rFonts w:hint="eastAsia" w:ascii="仿宋" w:hAnsi="仿宋" w:eastAsia="仿宋" w:cs="仿宋"/>
          <w:color w:val="000000"/>
          <w:szCs w:val="32"/>
          <w:highlight w:val="none"/>
        </w:rPr>
      </w:pPr>
      <w:r>
        <w:rPr>
          <w:rFonts w:hint="eastAsia" w:ascii="仿宋" w:hAnsi="仿宋" w:eastAsia="仿宋" w:cs="仿宋"/>
          <w:color w:val="000000"/>
          <w:szCs w:val="32"/>
          <w:highlight w:val="none"/>
          <w:lang w:eastAsia="zh-CN"/>
        </w:rPr>
        <w:t>内蒙古伊东集团东方能源化工有限责任公司</w:t>
      </w:r>
      <w:r>
        <w:rPr>
          <w:rFonts w:hint="eastAsia" w:ascii="仿宋" w:hAnsi="仿宋" w:eastAsia="仿宋" w:cs="仿宋"/>
          <w:color w:val="000000"/>
          <w:szCs w:val="32"/>
          <w:highlight w:val="none"/>
        </w:rPr>
        <w:t>：</w:t>
      </w:r>
    </w:p>
    <w:p>
      <w:pPr>
        <w:keepNext w:val="0"/>
        <w:keepLines w:val="0"/>
        <w:pageBreakBefore w:val="0"/>
        <w:widowControl w:val="0"/>
        <w:kinsoku/>
        <w:wordWrap/>
        <w:overflowPunct/>
        <w:topLinePunct w:val="0"/>
        <w:autoSpaceDE/>
        <w:autoSpaceDN/>
        <w:bidi w:val="0"/>
        <w:adjustRightInd w:val="0"/>
        <w:snapToGrid w:val="0"/>
        <w:spacing w:line="600" w:lineRule="exact"/>
        <w:ind w:firstLine="640"/>
        <w:textAlignment w:val="auto"/>
        <w:rPr>
          <w:rFonts w:hint="eastAsia" w:ascii="仿宋" w:hAnsi="仿宋" w:eastAsia="仿宋" w:cs="仿宋"/>
          <w:color w:val="000000"/>
          <w:szCs w:val="32"/>
          <w:highlight w:val="none"/>
        </w:rPr>
      </w:pPr>
      <w:r>
        <w:rPr>
          <w:rFonts w:hint="eastAsia" w:ascii="仿宋" w:hAnsi="仿宋" w:eastAsia="仿宋" w:cs="仿宋"/>
          <w:color w:val="000000"/>
          <w:szCs w:val="32"/>
          <w:highlight w:val="none"/>
        </w:rPr>
        <w:t>你公</w:t>
      </w:r>
      <w:bookmarkStart w:id="0" w:name="_GoBack"/>
      <w:bookmarkEnd w:id="0"/>
      <w:r>
        <w:rPr>
          <w:rFonts w:hint="eastAsia" w:ascii="仿宋" w:hAnsi="仿宋" w:eastAsia="仿宋" w:cs="仿宋"/>
          <w:color w:val="000000"/>
          <w:szCs w:val="32"/>
          <w:highlight w:val="none"/>
        </w:rPr>
        <w:t>司报送的由</w:t>
      </w:r>
      <w:r>
        <w:rPr>
          <w:rFonts w:hint="eastAsia" w:ascii="仿宋" w:hAnsi="仿宋" w:eastAsia="仿宋" w:cs="仿宋"/>
          <w:color w:val="000000"/>
          <w:szCs w:val="32"/>
          <w:highlight w:val="none"/>
          <w:lang w:eastAsia="zh-CN"/>
        </w:rPr>
        <w:t>内蒙古绿疆环境科技有限公司</w:t>
      </w:r>
      <w:r>
        <w:rPr>
          <w:rFonts w:hint="eastAsia" w:ascii="仿宋" w:hAnsi="仿宋" w:eastAsia="仿宋" w:cs="仿宋"/>
          <w:color w:val="000000"/>
          <w:szCs w:val="32"/>
          <w:highlight w:val="none"/>
        </w:rPr>
        <w:t>编制的《</w:t>
      </w:r>
      <w:r>
        <w:rPr>
          <w:rFonts w:hint="eastAsia" w:ascii="仿宋" w:hAnsi="仿宋" w:eastAsia="仿宋" w:cs="仿宋"/>
          <w:color w:val="000000"/>
          <w:szCs w:val="32"/>
          <w:highlight w:val="none"/>
          <w:lang w:eastAsia="zh-CN"/>
        </w:rPr>
        <w:t>内蒙古伊东集团东方能源化工有限责任公司直立炉绿色转型节能技改项目</w:t>
      </w:r>
      <w:r>
        <w:rPr>
          <w:rFonts w:hint="eastAsia" w:ascii="仿宋" w:hAnsi="仿宋" w:eastAsia="仿宋" w:cs="仿宋"/>
          <w:color w:val="000000"/>
          <w:szCs w:val="32"/>
          <w:highlight w:val="none"/>
        </w:rPr>
        <w:t>环境影响报告书》（以下简称《报告书》）收悉，我局综合保障中心组织专家对该项目进行了技术评估，并形成了技术评估报告，根据《报告书》和《技术评估报告》，经研究，现批复如下：</w:t>
      </w:r>
    </w:p>
    <w:p>
      <w:pPr>
        <w:adjustRightInd w:val="0"/>
        <w:snapToGrid w:val="0"/>
        <w:spacing w:line="600" w:lineRule="exact"/>
        <w:ind w:firstLine="640" w:firstLineChars="200"/>
        <w:rPr>
          <w:rFonts w:hint="eastAsia" w:ascii="仿宋" w:hAnsi="仿宋" w:eastAsia="仿宋" w:cs="仿宋"/>
          <w:color w:val="auto"/>
          <w:sz w:val="32"/>
          <w:szCs w:val="32"/>
          <w:highlight w:val="none"/>
          <w:lang w:val="en-US" w:eastAsia="zh-CN"/>
        </w:rPr>
      </w:pPr>
      <w:r>
        <w:rPr>
          <w:rFonts w:hint="eastAsia" w:ascii="仿宋" w:hAnsi="仿宋" w:eastAsia="仿宋" w:cs="仿宋"/>
          <w:color w:val="000000"/>
          <w:szCs w:val="32"/>
          <w:highlight w:val="none"/>
          <w:lang w:val="en-US" w:eastAsia="zh-CN"/>
        </w:rPr>
        <w:t>一、</w:t>
      </w:r>
      <w:r>
        <w:rPr>
          <w:rFonts w:hint="eastAsia" w:ascii="仿宋" w:hAnsi="仿宋" w:eastAsia="仿宋" w:cs="仿宋"/>
          <w:color w:val="000000"/>
          <w:szCs w:val="32"/>
          <w:highlight w:val="none"/>
        </w:rPr>
        <w:t>项目位于</w:t>
      </w:r>
      <w:r>
        <w:rPr>
          <w:rFonts w:hint="eastAsia" w:ascii="仿宋" w:hAnsi="仿宋" w:eastAsia="仿宋" w:cs="仿宋"/>
          <w:color w:val="auto"/>
          <w:sz w:val="32"/>
          <w:szCs w:val="32"/>
          <w:lang w:val="en-US" w:eastAsia="zh-CN"/>
        </w:rPr>
        <w:t>鄂尔多斯市内蒙古准格尔经济开发区伊东循环经济基地内蒙古伊东集团东方能源化工有限责任公司现有厂区</w:t>
      </w:r>
      <w:r>
        <w:rPr>
          <w:rFonts w:hint="eastAsia" w:ascii="仿宋" w:hAnsi="仿宋" w:eastAsia="仿宋" w:cs="仿宋"/>
          <w:color w:val="000000"/>
          <w:szCs w:val="32"/>
          <w:highlight w:val="none"/>
        </w:rPr>
        <w:t>。</w:t>
      </w:r>
      <w:r>
        <w:rPr>
          <w:rFonts w:hint="eastAsia" w:ascii="仿宋" w:hAnsi="仿宋" w:eastAsia="仿宋" w:cs="仿宋"/>
          <w:color w:val="auto"/>
          <w:sz w:val="32"/>
          <w:szCs w:val="32"/>
          <w:highlight w:val="none"/>
          <w:lang w:val="en-US" w:eastAsia="zh-CN"/>
        </w:rPr>
        <w:t>2007年6月，原内蒙古自治区环境保护局出具了《关于内蒙古伊东集团循环经济产业基地能源化工项目（60万吨/年兰炭联产10万吨/年甲醇）环境影响报告书的批复》（内环审〔2007〕106号）。2011年4月，原内蒙古自治区环境保护厅出具了《关于内蒙古伊东集团循环经济产业基地能源化工项目竣工环境保护验收的意见》（内环验〔2011〕26号）。</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bCs/>
          <w:sz w:val="32"/>
          <w:szCs w:val="32"/>
          <w:lang w:eastAsia="zh-CN"/>
        </w:rPr>
      </w:pPr>
      <w:r>
        <w:rPr>
          <w:rFonts w:hint="eastAsia" w:ascii="仿宋" w:hAnsi="仿宋" w:eastAsia="仿宋" w:cs="仿宋"/>
          <w:color w:val="000000"/>
          <w:szCs w:val="32"/>
          <w:highlight w:val="none"/>
          <w:lang w:val="en-US" w:eastAsia="zh-CN"/>
        </w:rPr>
        <w:t>本项目为技改工程，将原2台外热式直立干馏炉改建为2台内热直立式干馏炉，单台产能25万吨/年，主要建设内容为重新砌筑炉体，配套改建煤气净化装置及出焦系统、备煤装置、煤气净化装置等公辅设施及环保设施。技改后年产50万吨兰炭，</w:t>
      </w:r>
      <w:r>
        <w:rPr>
          <w:rFonts w:hint="eastAsia" w:ascii="仿宋" w:hAnsi="仿宋" w:eastAsia="仿宋" w:cs="仿宋"/>
          <w:bCs/>
          <w:sz w:val="32"/>
          <w:szCs w:val="32"/>
          <w:lang w:eastAsia="zh-CN"/>
        </w:rPr>
        <w:t>项目</w:t>
      </w:r>
      <w:r>
        <w:rPr>
          <w:rFonts w:hint="eastAsia" w:ascii="仿宋" w:hAnsi="仿宋" w:eastAsia="仿宋" w:cs="仿宋"/>
          <w:bCs/>
          <w:sz w:val="32"/>
          <w:szCs w:val="32"/>
        </w:rPr>
        <w:t>总投资</w:t>
      </w:r>
      <w:r>
        <w:rPr>
          <w:rFonts w:hint="eastAsia" w:ascii="仿宋" w:hAnsi="仿宋" w:eastAsia="仿宋" w:cs="仿宋"/>
          <w:bCs/>
          <w:sz w:val="32"/>
          <w:szCs w:val="32"/>
          <w:lang w:val="zh-CN"/>
        </w:rPr>
        <w:t>7190.39</w:t>
      </w:r>
      <w:r>
        <w:rPr>
          <w:rFonts w:hint="eastAsia" w:ascii="仿宋" w:hAnsi="仿宋" w:eastAsia="仿宋" w:cs="仿宋"/>
          <w:bCs/>
          <w:sz w:val="32"/>
          <w:szCs w:val="32"/>
        </w:rPr>
        <w:t>万元，其中环保投资</w:t>
      </w:r>
      <w:r>
        <w:rPr>
          <w:rFonts w:hint="eastAsia" w:ascii="仿宋" w:hAnsi="仿宋" w:eastAsia="仿宋" w:cs="仿宋"/>
          <w:bCs/>
          <w:sz w:val="32"/>
          <w:szCs w:val="32"/>
          <w:highlight w:val="none"/>
          <w:lang w:val="en-US" w:eastAsia="zh-CN"/>
        </w:rPr>
        <w:t>501</w:t>
      </w:r>
      <w:r>
        <w:rPr>
          <w:rFonts w:hint="eastAsia" w:ascii="仿宋" w:hAnsi="仿宋" w:eastAsia="仿宋" w:cs="仿宋"/>
          <w:bCs/>
          <w:sz w:val="32"/>
          <w:szCs w:val="32"/>
          <w:highlight w:val="none"/>
        </w:rPr>
        <w:t>万</w:t>
      </w:r>
      <w:r>
        <w:rPr>
          <w:rFonts w:hint="eastAsia" w:ascii="仿宋" w:hAnsi="仿宋" w:eastAsia="仿宋" w:cs="仿宋"/>
          <w:bCs/>
          <w:sz w:val="32"/>
          <w:szCs w:val="32"/>
        </w:rPr>
        <w:t>元</w:t>
      </w:r>
      <w:r>
        <w:rPr>
          <w:rFonts w:hint="eastAsia" w:ascii="仿宋" w:hAnsi="仿宋" w:eastAsia="仿宋" w:cs="仿宋"/>
          <w:bCs/>
          <w:sz w:val="32"/>
          <w:szCs w:val="32"/>
          <w:lang w:eastAsia="zh-CN"/>
        </w:rPr>
        <w:t>。</w:t>
      </w:r>
    </w:p>
    <w:p>
      <w:pPr>
        <w:keepNext w:val="0"/>
        <w:keepLines w:val="0"/>
        <w:pageBreakBefore w:val="0"/>
        <w:widowControl w:val="0"/>
        <w:kinsoku/>
        <w:wordWrap/>
        <w:overflowPunct/>
        <w:topLinePunct w:val="0"/>
        <w:autoSpaceDE/>
        <w:autoSpaceDN/>
        <w:bidi w:val="0"/>
        <w:adjustRightInd w:val="0"/>
        <w:snapToGrid w:val="0"/>
        <w:spacing w:line="600" w:lineRule="exact"/>
        <w:ind w:firstLine="640"/>
        <w:textAlignment w:val="auto"/>
        <w:rPr>
          <w:rFonts w:hint="eastAsia" w:ascii="仿宋" w:hAnsi="仿宋" w:eastAsia="仿宋" w:cs="仿宋"/>
          <w:color w:val="000000"/>
          <w:szCs w:val="32"/>
          <w:highlight w:val="none"/>
        </w:rPr>
      </w:pPr>
      <w:r>
        <w:rPr>
          <w:rFonts w:hint="eastAsia" w:ascii="仿宋" w:hAnsi="仿宋" w:eastAsia="仿宋" w:cs="仿宋"/>
          <w:color w:val="000000"/>
          <w:szCs w:val="32"/>
          <w:highlight w:val="none"/>
        </w:rPr>
        <w:t>《报告书》和《技术评估报告》认为，在全面落实各项生态环境保护和环境污染防治措施的前提下，项目建设对环境的不利影响能够得到一定的缓解和控制。因此，我局原则同意你公司按照《报告书》和《技术评估报告》中所列的建设项目性质、规模、地点、工艺、环境保护措施进行建设。</w:t>
      </w:r>
    </w:p>
    <w:p>
      <w:pPr>
        <w:keepNext w:val="0"/>
        <w:keepLines w:val="0"/>
        <w:pageBreakBefore w:val="0"/>
        <w:widowControl w:val="0"/>
        <w:kinsoku/>
        <w:wordWrap/>
        <w:overflowPunct/>
        <w:topLinePunct w:val="0"/>
        <w:autoSpaceDE/>
        <w:autoSpaceDN/>
        <w:bidi w:val="0"/>
        <w:adjustRightInd w:val="0"/>
        <w:snapToGrid w:val="0"/>
        <w:spacing w:line="600" w:lineRule="exact"/>
        <w:ind w:firstLine="640"/>
        <w:textAlignment w:val="auto"/>
        <w:rPr>
          <w:rFonts w:hint="eastAsia" w:ascii="仿宋" w:hAnsi="仿宋" w:eastAsia="仿宋" w:cs="仿宋"/>
          <w:color w:val="000000"/>
          <w:szCs w:val="32"/>
          <w:highlight w:val="none"/>
        </w:rPr>
      </w:pPr>
      <w:r>
        <w:rPr>
          <w:rFonts w:hint="eastAsia" w:ascii="仿宋" w:hAnsi="仿宋" w:eastAsia="仿宋" w:cs="仿宋"/>
          <w:color w:val="000000"/>
          <w:szCs w:val="32"/>
          <w:highlight w:val="none"/>
        </w:rPr>
        <w:t>二、项目建设与运行管理中应重点做好的工作：</w:t>
      </w:r>
    </w:p>
    <w:p>
      <w:pPr>
        <w:keepNext w:val="0"/>
        <w:keepLines w:val="0"/>
        <w:pageBreakBefore w:val="0"/>
        <w:widowControl w:val="0"/>
        <w:kinsoku/>
        <w:wordWrap/>
        <w:overflowPunct/>
        <w:topLinePunct w:val="0"/>
        <w:autoSpaceDE/>
        <w:autoSpaceDN/>
        <w:bidi w:val="0"/>
        <w:spacing w:line="600" w:lineRule="exact"/>
        <w:ind w:firstLine="640" w:firstLineChars="200"/>
        <w:textAlignment w:val="auto"/>
        <w:rPr>
          <w:rFonts w:hint="eastAsia" w:ascii="仿宋" w:hAnsi="仿宋" w:eastAsia="仿宋" w:cs="仿宋"/>
          <w:color w:val="000000"/>
          <w:szCs w:val="32"/>
          <w:highlight w:val="yellow"/>
        </w:rPr>
      </w:pPr>
      <w:r>
        <w:rPr>
          <w:rFonts w:hint="eastAsia" w:ascii="仿宋" w:hAnsi="仿宋" w:eastAsia="仿宋" w:cs="仿宋"/>
          <w:color w:val="000000"/>
          <w:szCs w:val="32"/>
          <w:highlight w:val="none"/>
        </w:rPr>
        <w:t>1.</w:t>
      </w:r>
      <w:r>
        <w:rPr>
          <w:rFonts w:hint="eastAsia" w:ascii="仿宋" w:hAnsi="仿宋" w:eastAsia="仿宋" w:cs="仿宋"/>
          <w:highlight w:val="none"/>
        </w:rPr>
        <w:t>加</w:t>
      </w:r>
      <w:r>
        <w:rPr>
          <w:rFonts w:hint="eastAsia" w:ascii="仿宋" w:hAnsi="仿宋" w:eastAsia="仿宋" w:cs="仿宋"/>
        </w:rPr>
        <w:t>强施工期环境管理，土石方开挖及设备安装过程中应严格按照设计要求施工，尽可能缩小施工活动范围，并及时采取场地洒水等措施，减少裸露土地面积和扬尘。施工场界设围墙或遮挡物；定时对施工现场扬尘区及道路洒水；严禁在施工场地焚烧废弃物。加强车辆运输的密闭管理。施工期产生的废水和固体废弃物须集中收集后统一处置。</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 w:hAnsi="仿宋" w:eastAsia="仿宋" w:cs="仿宋"/>
          <w:snapToGrid w:val="0"/>
          <w:kern w:val="24"/>
          <w:sz w:val="32"/>
          <w:szCs w:val="32"/>
          <w:highlight w:val="none"/>
          <w:lang w:bidi="he-IL"/>
        </w:rPr>
      </w:pPr>
      <w:r>
        <w:rPr>
          <w:rFonts w:hint="eastAsia" w:ascii="仿宋" w:hAnsi="仿宋" w:eastAsia="仿宋" w:cs="仿宋"/>
          <w:color w:val="000000"/>
          <w:szCs w:val="32"/>
          <w:highlight w:val="none"/>
        </w:rPr>
        <w:t>2.认真落实《报告书》中提出的大气污染防治措施。</w:t>
      </w:r>
      <w:r>
        <w:rPr>
          <w:rFonts w:hint="eastAsia" w:ascii="仿宋" w:hAnsi="仿宋" w:eastAsia="仿宋" w:cs="仿宋"/>
          <w:color w:val="000000"/>
          <w:szCs w:val="32"/>
          <w:highlight w:val="none"/>
          <w:lang w:eastAsia="zh-CN"/>
        </w:rPr>
        <w:t>备煤工段</w:t>
      </w:r>
      <w:r>
        <w:rPr>
          <w:rFonts w:hint="eastAsia" w:ascii="仿宋" w:hAnsi="仿宋" w:eastAsia="仿宋" w:cs="仿宋"/>
          <w:color w:val="000000"/>
          <w:szCs w:val="32"/>
          <w:highlight w:val="none"/>
          <w:lang w:val="en-US" w:eastAsia="zh-CN"/>
        </w:rPr>
        <w:t>产生的废气经集气罩收集，通过脉冲布袋除尘器净化后由1根22米高排气筒排放，须满足《炼焦化学工业污染物排放标准》(GB16171-2012)表6大气污染物特别排放限值要求。筛焦工段废气经集气罩收集，通过脉冲布袋除尘器净化后由1根31米高排气筒排放，须满足《炼焦化学工业污染物排放标准》(GB16171-2012)表6大气污染物特别排放限值要求。</w:t>
      </w:r>
      <w:r>
        <w:rPr>
          <w:rFonts w:hint="eastAsia" w:ascii="仿宋" w:hAnsi="仿宋" w:eastAsia="仿宋" w:cs="仿宋"/>
          <w:color w:val="auto"/>
          <w:sz w:val="32"/>
          <w:szCs w:val="28"/>
          <w:highlight w:val="none"/>
          <w:lang w:val="en-US" w:eastAsia="zh-CN"/>
        </w:rPr>
        <w:t>企业边界颗粒物、硫化氢、氨、氰化物、酚类、苯并（a）芘须满足《炼焦化学工业污染物排放标准》(GB16171-2012)表7限值要求，非甲烷总</w:t>
      </w:r>
      <w:r>
        <w:rPr>
          <w:rFonts w:hint="eastAsia" w:ascii="仿宋" w:hAnsi="仿宋" w:eastAsia="仿宋" w:cs="仿宋"/>
          <w:color w:val="auto"/>
          <w:sz w:val="32"/>
          <w:szCs w:val="32"/>
          <w:highlight w:val="none"/>
          <w:lang w:val="en-US" w:eastAsia="zh-CN"/>
        </w:rPr>
        <w:t>烃须满足《挥发性有机物无组织排放控制标准》（GB37822-2019）相关要求。</w:t>
      </w:r>
    </w:p>
    <w:p>
      <w:pPr>
        <w:adjustRightInd w:val="0"/>
        <w:snapToGrid w:val="0"/>
        <w:spacing w:line="600" w:lineRule="exact"/>
        <w:ind w:firstLine="640" w:firstLineChars="200"/>
        <w:rPr>
          <w:rFonts w:hint="eastAsia" w:ascii="仿宋" w:hAnsi="仿宋" w:eastAsia="仿宋" w:cs="仿宋"/>
          <w:b/>
          <w:bCs/>
          <w:color w:val="auto"/>
          <w:kern w:val="2"/>
          <w:sz w:val="32"/>
          <w:highlight w:val="none"/>
          <w:lang w:val="en-US" w:eastAsia="zh-CN"/>
        </w:rPr>
      </w:pPr>
      <w:r>
        <w:rPr>
          <w:rFonts w:hint="eastAsia" w:ascii="仿宋" w:hAnsi="仿宋" w:eastAsia="仿宋" w:cs="仿宋"/>
          <w:color w:val="000000"/>
          <w:szCs w:val="32"/>
          <w:highlight w:val="none"/>
        </w:rPr>
        <w:t>3.按照《报告书》相关要求，强化废水处理与回用，实行雨污分流、清污分流。</w:t>
      </w:r>
      <w:r>
        <w:rPr>
          <w:rFonts w:hint="eastAsia" w:ascii="仿宋" w:hAnsi="仿宋" w:eastAsia="仿宋" w:cs="仿宋"/>
          <w:color w:val="auto"/>
          <w:kern w:val="2"/>
          <w:sz w:val="32"/>
          <w:highlight w:val="none"/>
          <w:lang w:val="zh-CN" w:bidi="zh-CN"/>
        </w:rPr>
        <w:t>生产废水蒸氨废水</w:t>
      </w:r>
      <w:r>
        <w:rPr>
          <w:rFonts w:hint="eastAsia" w:ascii="仿宋" w:hAnsi="仿宋" w:eastAsia="仿宋" w:cs="仿宋"/>
          <w:color w:val="auto"/>
          <w:sz w:val="32"/>
          <w:szCs w:val="28"/>
          <w:highlight w:val="none"/>
          <w:lang w:eastAsia="zh-CN"/>
        </w:rPr>
        <w:t>全部雾化后引入直立炉进行焚烧处理，不外排</w:t>
      </w:r>
      <w:r>
        <w:rPr>
          <w:rFonts w:hint="eastAsia" w:ascii="仿宋" w:hAnsi="仿宋" w:eastAsia="仿宋" w:cs="仿宋"/>
          <w:color w:val="auto"/>
          <w:sz w:val="32"/>
          <w:szCs w:val="28"/>
          <w:highlight w:val="none"/>
        </w:rPr>
        <w:t>。</w:t>
      </w:r>
      <w:r>
        <w:rPr>
          <w:rFonts w:hint="eastAsia" w:ascii="仿宋" w:hAnsi="仿宋" w:eastAsia="仿宋" w:cs="仿宋"/>
          <w:color w:val="auto"/>
          <w:sz w:val="32"/>
          <w:highlight w:val="none"/>
        </w:rPr>
        <w:t>循环水站清净下水回用于</w:t>
      </w:r>
      <w:r>
        <w:rPr>
          <w:rFonts w:hint="eastAsia" w:ascii="仿宋" w:hAnsi="仿宋" w:eastAsia="仿宋" w:cs="仿宋"/>
          <w:color w:val="auto"/>
          <w:sz w:val="32"/>
          <w:szCs w:val="28"/>
          <w:highlight w:val="none"/>
        </w:rPr>
        <w:t>煤气净化工段</w:t>
      </w:r>
      <w:r>
        <w:rPr>
          <w:rFonts w:hint="eastAsia" w:ascii="仿宋" w:hAnsi="仿宋" w:eastAsia="仿宋" w:cs="仿宋"/>
          <w:color w:val="auto"/>
          <w:sz w:val="32"/>
          <w:highlight w:val="none"/>
          <w:lang w:eastAsia="zh-CN"/>
        </w:rPr>
        <w:t>，</w:t>
      </w:r>
      <w:r>
        <w:rPr>
          <w:rFonts w:hint="eastAsia" w:ascii="仿宋" w:hAnsi="仿宋" w:eastAsia="仿宋" w:cs="仿宋"/>
          <w:color w:val="auto"/>
          <w:sz w:val="32"/>
          <w:highlight w:val="none"/>
          <w:lang w:val="en-US" w:eastAsia="zh-CN"/>
        </w:rPr>
        <w:t>不外排</w:t>
      </w:r>
      <w:r>
        <w:rPr>
          <w:rFonts w:hint="eastAsia" w:ascii="仿宋" w:hAnsi="仿宋" w:eastAsia="仿宋" w:cs="仿宋"/>
          <w:color w:val="auto"/>
          <w:sz w:val="32"/>
          <w:highlight w:val="none"/>
          <w:lang w:eastAsia="zh-CN"/>
        </w:rPr>
        <w:t>。</w:t>
      </w:r>
      <w:r>
        <w:rPr>
          <w:rFonts w:hint="eastAsia" w:ascii="仿宋" w:hAnsi="仿宋" w:eastAsia="仿宋" w:cs="仿宋"/>
          <w:color w:val="auto"/>
          <w:sz w:val="32"/>
          <w:highlight w:val="none"/>
        </w:rPr>
        <w:t>生活污水</w:t>
      </w:r>
      <w:r>
        <w:rPr>
          <w:rFonts w:hint="eastAsia" w:ascii="仿宋" w:hAnsi="仿宋" w:eastAsia="仿宋" w:cs="仿宋"/>
          <w:color w:val="auto"/>
          <w:sz w:val="32"/>
          <w:szCs w:val="28"/>
          <w:highlight w:val="none"/>
        </w:rPr>
        <w:t>依托现有化粪池处理后送准格尔旗国资燃气热力有限责任公司污水处理厂</w:t>
      </w:r>
      <w:r>
        <w:rPr>
          <w:rFonts w:hint="eastAsia" w:ascii="仿宋" w:hAnsi="仿宋" w:eastAsia="仿宋" w:cs="仿宋"/>
          <w:color w:val="auto"/>
          <w:sz w:val="32"/>
          <w:highlight w:val="none"/>
        </w:rPr>
        <w:t>。</w:t>
      </w:r>
    </w:p>
    <w:p>
      <w:pPr>
        <w:keepNext w:val="0"/>
        <w:keepLines w:val="0"/>
        <w:pageBreakBefore w:val="0"/>
        <w:widowControl w:val="0"/>
        <w:kinsoku/>
        <w:wordWrap/>
        <w:overflowPunct/>
        <w:topLinePunct w:val="0"/>
        <w:autoSpaceDE/>
        <w:autoSpaceDN/>
        <w:bidi w:val="0"/>
        <w:adjustRightInd w:val="0"/>
        <w:snapToGrid w:val="0"/>
        <w:spacing w:line="600" w:lineRule="exact"/>
        <w:ind w:firstLine="640"/>
        <w:textAlignment w:val="auto"/>
        <w:rPr>
          <w:rFonts w:hint="eastAsia" w:ascii="仿宋" w:hAnsi="仿宋" w:eastAsia="仿宋" w:cs="仿宋"/>
          <w:szCs w:val="32"/>
          <w:lang w:val="en-US" w:eastAsia="zh-CN"/>
        </w:rPr>
      </w:pPr>
      <w:r>
        <w:rPr>
          <w:rFonts w:hint="eastAsia" w:ascii="仿宋" w:hAnsi="仿宋" w:eastAsia="仿宋" w:cs="仿宋"/>
          <w:szCs w:val="32"/>
          <w:lang w:val="en-US" w:eastAsia="zh-CN"/>
        </w:rPr>
        <w:t>4.</w:t>
      </w:r>
      <w:r>
        <w:rPr>
          <w:rFonts w:hint="eastAsia" w:ascii="仿宋" w:hAnsi="仿宋" w:eastAsia="仿宋" w:cs="仿宋"/>
          <w:szCs w:val="32"/>
        </w:rPr>
        <w:t>切实落实地下水</w:t>
      </w:r>
      <w:r>
        <w:rPr>
          <w:rFonts w:hint="eastAsia" w:ascii="仿宋" w:hAnsi="仿宋" w:eastAsia="仿宋" w:cs="仿宋"/>
          <w:szCs w:val="32"/>
          <w:lang w:val="en-US" w:eastAsia="zh-CN"/>
        </w:rPr>
        <w:t>和土壤</w:t>
      </w:r>
      <w:r>
        <w:rPr>
          <w:rFonts w:hint="eastAsia" w:ascii="仿宋" w:hAnsi="仿宋" w:eastAsia="仿宋" w:cs="仿宋"/>
          <w:szCs w:val="32"/>
        </w:rPr>
        <w:t>污染防治措施。结合区域地下水分布现状、水文地质条件和防渗措施，进一步优化重点污染防治区平面布置，严格按照《报告书》、《技术评估报告》的要求，对重点污染防治区、一般污染防治区等采取分区防渗措施。布设</w:t>
      </w:r>
      <w:r>
        <w:rPr>
          <w:rFonts w:hint="eastAsia" w:ascii="仿宋" w:hAnsi="仿宋" w:eastAsia="仿宋" w:cs="仿宋"/>
          <w:szCs w:val="32"/>
          <w:lang w:val="en-US" w:eastAsia="zh-CN"/>
        </w:rPr>
        <w:t>3</w:t>
      </w:r>
      <w:r>
        <w:rPr>
          <w:rFonts w:hint="eastAsia" w:ascii="仿宋" w:hAnsi="仿宋" w:eastAsia="仿宋" w:cs="仿宋"/>
          <w:szCs w:val="32"/>
        </w:rPr>
        <w:t>口地下水跟踪监测井</w:t>
      </w:r>
      <w:r>
        <w:rPr>
          <w:rFonts w:hint="eastAsia" w:ascii="仿宋" w:hAnsi="仿宋" w:eastAsia="仿宋" w:cs="仿宋"/>
          <w:szCs w:val="32"/>
          <w:lang w:val="en-US" w:eastAsia="zh-CN"/>
        </w:rPr>
        <w:t>和</w:t>
      </w:r>
      <w:r>
        <w:rPr>
          <w:rFonts w:hint="eastAsia" w:eastAsia="仿宋_GB2312"/>
          <w:color w:val="auto"/>
          <w:sz w:val="32"/>
          <w:szCs w:val="32"/>
          <w:highlight w:val="none"/>
          <w:lang w:val="en-US" w:eastAsia="zh-CN"/>
        </w:rPr>
        <w:t>3</w:t>
      </w:r>
      <w:r>
        <w:rPr>
          <w:rFonts w:hint="eastAsia" w:eastAsia="仿宋_GB2312"/>
          <w:color w:val="auto"/>
          <w:sz w:val="32"/>
          <w:szCs w:val="32"/>
          <w:highlight w:val="none"/>
        </w:rPr>
        <w:t>个土壤跟踪监测点</w:t>
      </w:r>
      <w:r>
        <w:rPr>
          <w:rFonts w:hint="eastAsia"/>
          <w:color w:val="auto"/>
          <w:sz w:val="32"/>
          <w:szCs w:val="32"/>
          <w:highlight w:val="none"/>
          <w:lang w:eastAsia="zh-CN"/>
        </w:rPr>
        <w:t>，</w:t>
      </w:r>
      <w:r>
        <w:rPr>
          <w:rFonts w:hint="eastAsia" w:ascii="仿宋" w:hAnsi="仿宋" w:eastAsia="仿宋" w:cs="仿宋"/>
          <w:szCs w:val="32"/>
        </w:rPr>
        <w:t>定期对地下水和土壤进行跟踪监测，以免造成地下水和土壤污染。</w:t>
      </w:r>
    </w:p>
    <w:p>
      <w:pPr>
        <w:keepNext w:val="0"/>
        <w:keepLines w:val="0"/>
        <w:pageBreakBefore w:val="0"/>
        <w:widowControl w:val="0"/>
        <w:numPr>
          <w:ilvl w:val="0"/>
          <w:numId w:val="0"/>
        </w:numPr>
        <w:kinsoku/>
        <w:wordWrap/>
        <w:overflowPunct/>
        <w:topLinePunct w:val="0"/>
        <w:autoSpaceDE/>
        <w:autoSpaceDN/>
        <w:bidi w:val="0"/>
        <w:spacing w:line="600" w:lineRule="exact"/>
        <w:ind w:firstLine="640" w:firstLineChars="200"/>
        <w:textAlignment w:val="auto"/>
        <w:rPr>
          <w:rFonts w:hint="eastAsia" w:ascii="仿宋" w:hAnsi="仿宋" w:eastAsia="仿宋" w:cs="仿宋"/>
          <w:szCs w:val="32"/>
        </w:rPr>
      </w:pPr>
      <w:r>
        <w:rPr>
          <w:rFonts w:hint="eastAsia" w:ascii="仿宋" w:hAnsi="仿宋" w:eastAsia="仿宋" w:cs="仿宋"/>
          <w:szCs w:val="32"/>
          <w:lang w:val="en-US" w:eastAsia="zh-CN"/>
        </w:rPr>
        <w:t>5.</w:t>
      </w:r>
      <w:r>
        <w:rPr>
          <w:rFonts w:hint="eastAsia" w:ascii="仿宋" w:hAnsi="仿宋" w:eastAsia="仿宋" w:cs="仿宋"/>
          <w:szCs w:val="32"/>
        </w:rPr>
        <w:t>强化声环境保护措施，优先选用低噪声设备，采取减震、隔声、消声等降噪措施，确保厂界噪声满足《工业企业厂界环境噪声排放标准》（GB12348-2008）3类标准限值要求。</w:t>
      </w:r>
    </w:p>
    <w:p>
      <w:pPr>
        <w:keepNext w:val="0"/>
        <w:keepLines w:val="0"/>
        <w:pageBreakBefore w:val="0"/>
        <w:widowControl w:val="0"/>
        <w:numPr>
          <w:ilvl w:val="0"/>
          <w:numId w:val="0"/>
        </w:numPr>
        <w:kinsoku/>
        <w:wordWrap/>
        <w:overflowPunct/>
        <w:topLinePunct w:val="0"/>
        <w:autoSpaceDE/>
        <w:autoSpaceDN/>
        <w:bidi w:val="0"/>
        <w:spacing w:line="600" w:lineRule="exact"/>
        <w:ind w:firstLine="640" w:firstLineChars="200"/>
        <w:textAlignment w:val="auto"/>
        <w:rPr>
          <w:rFonts w:hint="eastAsia" w:ascii="仿宋" w:hAnsi="仿宋" w:eastAsia="仿宋" w:cs="仿宋"/>
          <w:szCs w:val="32"/>
          <w:lang w:val="en-US" w:eastAsia="zh-CN"/>
        </w:rPr>
      </w:pPr>
      <w:r>
        <w:rPr>
          <w:rFonts w:hint="eastAsia" w:ascii="仿宋" w:hAnsi="仿宋" w:eastAsia="仿宋" w:cs="仿宋"/>
          <w:szCs w:val="32"/>
          <w:lang w:val="en-US" w:eastAsia="zh-CN"/>
        </w:rPr>
        <w:t>6.根据《报告书》和《技术评估报告》提出的固废污染防治措施，做好固体废物处置工作。建设单位须严格按照《一般工业固体废物贮存和填埋污染控制标准》（GB 18599-2020）及《危险废物贮存污染控制标准》（GB18597-2023）要求对一般固废和危险废物进行处置，备煤工段和筛焦工段废气处理产生的除尘灰集中收集外售。沥青渣、焦油渣、废机油和废油桶等危险废物暂存于危废暂存库，定期委托有资质单位处置。</w:t>
      </w:r>
    </w:p>
    <w:p>
      <w:pPr>
        <w:adjustRightInd w:val="0"/>
        <w:snapToGrid w:val="0"/>
        <w:spacing w:line="560" w:lineRule="exact"/>
        <w:ind w:firstLine="640"/>
        <w:rPr>
          <w:rFonts w:hint="eastAsia" w:ascii="仿宋" w:hAnsi="仿宋" w:eastAsia="仿宋" w:cs="仿宋"/>
          <w:color w:val="auto"/>
          <w:sz w:val="32"/>
          <w:szCs w:val="32"/>
          <w:highlight w:val="none"/>
        </w:rPr>
      </w:pPr>
      <w:r>
        <w:rPr>
          <w:rFonts w:hint="eastAsia" w:ascii="仿宋" w:hAnsi="仿宋" w:eastAsia="仿宋" w:cs="仿宋"/>
          <w:color w:val="000000"/>
          <w:szCs w:val="32"/>
          <w:highlight w:val="none"/>
          <w:lang w:val="en-US" w:eastAsia="zh-CN"/>
        </w:rPr>
        <w:t>7</w:t>
      </w:r>
      <w:r>
        <w:rPr>
          <w:rFonts w:hint="eastAsia" w:ascii="仿宋" w:hAnsi="仿宋" w:eastAsia="仿宋" w:cs="仿宋"/>
          <w:color w:val="000000"/>
          <w:szCs w:val="32"/>
          <w:highlight w:val="none"/>
        </w:rPr>
        <w:t>.</w:t>
      </w:r>
      <w:r>
        <w:rPr>
          <w:rFonts w:hint="eastAsia" w:ascii="仿宋" w:hAnsi="仿宋" w:eastAsia="仿宋" w:cs="仿宋"/>
          <w:color w:val="auto"/>
          <w:sz w:val="32"/>
          <w:szCs w:val="32"/>
          <w:highlight w:val="none"/>
        </w:rPr>
        <w:t>建设单位须强化环境风险防范，落实环保设施安全生产要求，项目污染防治设施须与主体工程一起按照安全生产要求设计，有效防范因污染物事故排放或安全生产事故可能引发的环境风险。</w:t>
      </w:r>
    </w:p>
    <w:p>
      <w:pPr>
        <w:keepNext w:val="0"/>
        <w:keepLines w:val="0"/>
        <w:pageBreakBefore w:val="0"/>
        <w:widowControl w:val="0"/>
        <w:kinsoku/>
        <w:wordWrap/>
        <w:overflowPunct/>
        <w:topLinePunct w:val="0"/>
        <w:autoSpaceDE/>
        <w:autoSpaceDN/>
        <w:bidi w:val="0"/>
        <w:adjustRightInd w:val="0"/>
        <w:snapToGrid w:val="0"/>
        <w:spacing w:line="600" w:lineRule="exact"/>
        <w:ind w:firstLine="640"/>
        <w:textAlignment w:val="auto"/>
        <w:rPr>
          <w:rFonts w:hint="eastAsia" w:ascii="仿宋" w:hAnsi="仿宋" w:eastAsia="仿宋" w:cs="仿宋"/>
          <w:color w:val="000000"/>
          <w:szCs w:val="32"/>
          <w:highlight w:val="none"/>
        </w:rPr>
      </w:pPr>
      <w:r>
        <w:rPr>
          <w:rFonts w:hint="eastAsia" w:ascii="仿宋" w:hAnsi="仿宋" w:eastAsia="仿宋" w:cs="仿宋"/>
          <w:color w:val="000000"/>
          <w:szCs w:val="32"/>
          <w:highlight w:val="none"/>
        </w:rPr>
        <w:t>三、项目建设必须严格执行环境保护“三同时”制度。项目竣工后，按照规定程序实施竣工环境保护验收，经验收合格后，方可正式投入运行。</w:t>
      </w:r>
    </w:p>
    <w:p>
      <w:pPr>
        <w:keepNext w:val="0"/>
        <w:keepLines w:val="0"/>
        <w:pageBreakBefore w:val="0"/>
        <w:widowControl w:val="0"/>
        <w:kinsoku/>
        <w:wordWrap/>
        <w:overflowPunct/>
        <w:topLinePunct w:val="0"/>
        <w:autoSpaceDE/>
        <w:autoSpaceDN/>
        <w:bidi w:val="0"/>
        <w:adjustRightInd w:val="0"/>
        <w:snapToGrid w:val="0"/>
        <w:spacing w:line="600" w:lineRule="exact"/>
        <w:ind w:firstLine="640"/>
        <w:textAlignment w:val="auto"/>
        <w:rPr>
          <w:rFonts w:hint="eastAsia" w:ascii="仿宋" w:hAnsi="仿宋" w:eastAsia="仿宋" w:cs="仿宋"/>
          <w:color w:val="000000"/>
          <w:szCs w:val="32"/>
          <w:highlight w:val="none"/>
        </w:rPr>
      </w:pPr>
      <w:r>
        <w:rPr>
          <w:rFonts w:hint="eastAsia" w:ascii="仿宋" w:hAnsi="仿宋" w:eastAsia="仿宋" w:cs="仿宋"/>
          <w:color w:val="000000"/>
          <w:szCs w:val="32"/>
          <w:highlight w:val="none"/>
        </w:rPr>
        <w:t>四、你公司应在收到本批复20日内，将《报告书》(报批版)及批复文件送至鄂尔多斯市生态环境局</w:t>
      </w:r>
      <w:r>
        <w:rPr>
          <w:rFonts w:hint="eastAsia" w:ascii="仿宋" w:hAnsi="仿宋" w:eastAsia="仿宋" w:cs="仿宋"/>
          <w:color w:val="000000"/>
          <w:szCs w:val="32"/>
          <w:highlight w:val="none"/>
          <w:lang w:val="en-US" w:eastAsia="zh-CN"/>
        </w:rPr>
        <w:t>准格尔旗</w:t>
      </w:r>
      <w:r>
        <w:rPr>
          <w:rFonts w:hint="eastAsia" w:ascii="仿宋" w:hAnsi="仿宋" w:eastAsia="仿宋" w:cs="仿宋"/>
          <w:color w:val="000000"/>
          <w:szCs w:val="32"/>
          <w:highlight w:val="none"/>
        </w:rPr>
        <w:t>分局和内蒙古</w:t>
      </w:r>
      <w:r>
        <w:rPr>
          <w:rFonts w:hint="eastAsia" w:ascii="仿宋" w:hAnsi="仿宋" w:eastAsia="仿宋" w:cs="仿宋"/>
          <w:color w:val="000000"/>
          <w:szCs w:val="32"/>
          <w:highlight w:val="none"/>
          <w:lang w:val="en-US" w:eastAsia="zh-CN"/>
        </w:rPr>
        <w:t>准格尔</w:t>
      </w:r>
      <w:r>
        <w:rPr>
          <w:rFonts w:hint="eastAsia" w:ascii="仿宋" w:hAnsi="仿宋" w:eastAsia="仿宋" w:cs="仿宋"/>
          <w:color w:val="000000"/>
          <w:szCs w:val="32"/>
          <w:highlight w:val="none"/>
        </w:rPr>
        <w:t>经济开发区管理委员会建设管理局(生态环境管理办公室)，我局委托鄂尔多斯市生态环境局</w:t>
      </w:r>
      <w:r>
        <w:rPr>
          <w:rFonts w:hint="eastAsia" w:ascii="仿宋" w:hAnsi="仿宋" w:eastAsia="仿宋" w:cs="仿宋"/>
          <w:color w:val="000000"/>
          <w:szCs w:val="32"/>
          <w:highlight w:val="none"/>
          <w:lang w:val="en-US" w:eastAsia="zh-CN"/>
        </w:rPr>
        <w:t>准格尔旗</w:t>
      </w:r>
      <w:r>
        <w:rPr>
          <w:rFonts w:hint="eastAsia" w:ascii="仿宋" w:hAnsi="仿宋" w:eastAsia="仿宋" w:cs="仿宋"/>
          <w:color w:val="000000"/>
          <w:szCs w:val="32"/>
          <w:highlight w:val="none"/>
        </w:rPr>
        <w:t>分局和内蒙古</w:t>
      </w:r>
      <w:r>
        <w:rPr>
          <w:rFonts w:hint="eastAsia" w:ascii="仿宋" w:hAnsi="仿宋" w:eastAsia="仿宋" w:cs="仿宋"/>
          <w:color w:val="000000"/>
          <w:szCs w:val="32"/>
          <w:highlight w:val="none"/>
          <w:lang w:val="en-US" w:eastAsia="zh-CN"/>
        </w:rPr>
        <w:t>准格尔</w:t>
      </w:r>
      <w:r>
        <w:rPr>
          <w:rFonts w:hint="eastAsia" w:ascii="仿宋" w:hAnsi="仿宋" w:eastAsia="仿宋" w:cs="仿宋"/>
          <w:color w:val="000000"/>
          <w:szCs w:val="32"/>
          <w:highlight w:val="none"/>
        </w:rPr>
        <w:t>经济开发区管理委员会建设管理局(生态环境管理办公室)负责该项目的日常监管工作。</w:t>
      </w:r>
    </w:p>
    <w:p>
      <w:pPr>
        <w:keepNext w:val="0"/>
        <w:keepLines w:val="0"/>
        <w:pageBreakBefore w:val="0"/>
        <w:widowControl w:val="0"/>
        <w:kinsoku/>
        <w:wordWrap/>
        <w:overflowPunct/>
        <w:topLinePunct w:val="0"/>
        <w:autoSpaceDE/>
        <w:autoSpaceDN/>
        <w:bidi w:val="0"/>
        <w:adjustRightInd w:val="0"/>
        <w:snapToGrid w:val="0"/>
        <w:spacing w:line="600" w:lineRule="exact"/>
        <w:ind w:firstLine="640"/>
        <w:textAlignment w:val="auto"/>
        <w:rPr>
          <w:rFonts w:hint="eastAsia" w:ascii="仿宋" w:hAnsi="仿宋" w:eastAsia="仿宋" w:cs="仿宋"/>
          <w:color w:val="000000"/>
          <w:szCs w:val="32"/>
          <w:highlight w:val="none"/>
        </w:rPr>
      </w:pPr>
      <w:r>
        <w:rPr>
          <w:rFonts w:hint="eastAsia" w:ascii="仿宋" w:hAnsi="仿宋" w:eastAsia="仿宋" w:cs="仿宋"/>
          <w:color w:val="000000"/>
          <w:szCs w:val="32"/>
          <w:highlight w:val="none"/>
        </w:rPr>
        <w:t>五、该项目从批准之日起超过5年方决定开工建设，其环评文件应重新审核。如果建设地点、规模、防治污染和防止生态破坏的措施等发生重大变化时，需重新报批环评文件。</w:t>
      </w:r>
    </w:p>
    <w:p>
      <w:pPr>
        <w:keepNext w:val="0"/>
        <w:keepLines w:val="0"/>
        <w:pageBreakBefore w:val="0"/>
        <w:widowControl w:val="0"/>
        <w:kinsoku/>
        <w:wordWrap/>
        <w:overflowPunct/>
        <w:topLinePunct w:val="0"/>
        <w:autoSpaceDE/>
        <w:autoSpaceDN/>
        <w:bidi w:val="0"/>
        <w:adjustRightInd w:val="0"/>
        <w:snapToGrid w:val="0"/>
        <w:spacing w:line="600" w:lineRule="exact"/>
        <w:ind w:firstLine="640"/>
        <w:jc w:val="right"/>
        <w:textAlignment w:val="auto"/>
        <w:rPr>
          <w:rFonts w:hint="eastAsia" w:ascii="仿宋" w:hAnsi="仿宋" w:eastAsia="仿宋" w:cs="仿宋"/>
          <w:color w:val="000000"/>
          <w:szCs w:val="32"/>
          <w:highlight w:val="none"/>
        </w:rPr>
      </w:pPr>
    </w:p>
    <w:p>
      <w:pPr>
        <w:pStyle w:val="2"/>
        <w:keepNext w:val="0"/>
        <w:keepLines w:val="0"/>
        <w:pageBreakBefore w:val="0"/>
        <w:widowControl w:val="0"/>
        <w:kinsoku/>
        <w:wordWrap/>
        <w:overflowPunct/>
        <w:topLinePunct w:val="0"/>
        <w:autoSpaceDE/>
        <w:autoSpaceDN/>
        <w:bidi w:val="0"/>
        <w:spacing w:line="600" w:lineRule="exact"/>
        <w:ind w:left="0" w:leftChars="0" w:firstLine="0" w:firstLineChars="0"/>
        <w:textAlignment w:val="auto"/>
        <w:rPr>
          <w:rFonts w:hint="eastAsia" w:ascii="仿宋" w:hAnsi="仿宋" w:eastAsia="仿宋" w:cs="仿宋"/>
          <w:highlight w:val="none"/>
        </w:rPr>
      </w:pPr>
    </w:p>
    <w:p>
      <w:pPr>
        <w:keepNext w:val="0"/>
        <w:keepLines w:val="0"/>
        <w:pageBreakBefore w:val="0"/>
        <w:widowControl w:val="0"/>
        <w:kinsoku/>
        <w:wordWrap/>
        <w:overflowPunct/>
        <w:topLinePunct w:val="0"/>
        <w:autoSpaceDE/>
        <w:autoSpaceDN/>
        <w:bidi w:val="0"/>
        <w:adjustRightInd w:val="0"/>
        <w:snapToGrid w:val="0"/>
        <w:spacing w:line="600" w:lineRule="exact"/>
        <w:ind w:firstLine="640"/>
        <w:jc w:val="center"/>
        <w:textAlignment w:val="auto"/>
        <w:rPr>
          <w:rFonts w:hint="eastAsia" w:ascii="仿宋" w:hAnsi="仿宋" w:eastAsia="仿宋" w:cs="仿宋"/>
          <w:color w:val="000000"/>
          <w:szCs w:val="32"/>
          <w:highlight w:val="none"/>
        </w:rPr>
      </w:pPr>
      <w:r>
        <w:rPr>
          <w:rFonts w:hint="eastAsia" w:ascii="仿宋" w:hAnsi="仿宋" w:eastAsia="仿宋" w:cs="仿宋"/>
          <w:color w:val="000000"/>
          <w:szCs w:val="32"/>
          <w:highlight w:val="none"/>
          <w:lang w:val="en-US" w:eastAsia="zh-CN"/>
        </w:rPr>
        <w:t xml:space="preserve">                    </w:t>
      </w:r>
      <w:r>
        <w:rPr>
          <w:rFonts w:hint="eastAsia" w:ascii="仿宋" w:hAnsi="仿宋" w:eastAsia="仿宋" w:cs="仿宋"/>
          <w:color w:val="000000"/>
          <w:szCs w:val="32"/>
          <w:highlight w:val="none"/>
        </w:rPr>
        <w:t>鄂尔多斯市生态环境局</w:t>
      </w:r>
    </w:p>
    <w:p>
      <w:pPr>
        <w:keepNext w:val="0"/>
        <w:keepLines w:val="0"/>
        <w:pageBreakBefore w:val="0"/>
        <w:widowControl w:val="0"/>
        <w:kinsoku/>
        <w:wordWrap/>
        <w:overflowPunct/>
        <w:topLinePunct w:val="0"/>
        <w:autoSpaceDE/>
        <w:autoSpaceDN/>
        <w:bidi w:val="0"/>
        <w:adjustRightInd w:val="0"/>
        <w:snapToGrid w:val="0"/>
        <w:spacing w:line="600" w:lineRule="exact"/>
        <w:ind w:right="320" w:firstLine="640"/>
        <w:jc w:val="center"/>
        <w:textAlignment w:val="auto"/>
        <w:rPr>
          <w:rFonts w:hint="eastAsia" w:ascii="仿宋" w:hAnsi="仿宋" w:eastAsia="仿宋" w:cs="仿宋"/>
          <w:color w:val="000000"/>
          <w:szCs w:val="32"/>
          <w:highlight w:val="none"/>
        </w:rPr>
      </w:pPr>
      <w:r>
        <w:rPr>
          <w:rFonts w:hint="eastAsia" w:ascii="仿宋" w:hAnsi="仿宋" w:eastAsia="仿宋" w:cs="仿宋"/>
          <w:color w:val="000000"/>
          <w:szCs w:val="32"/>
          <w:highlight w:val="none"/>
          <w:lang w:val="en-US" w:eastAsia="zh-CN"/>
        </w:rPr>
        <w:t xml:space="preserve">                       </w:t>
      </w:r>
      <w:r>
        <w:rPr>
          <w:rFonts w:hint="eastAsia" w:ascii="仿宋" w:hAnsi="仿宋" w:eastAsia="仿宋" w:cs="仿宋"/>
          <w:color w:val="000000"/>
          <w:szCs w:val="32"/>
          <w:highlight w:val="none"/>
        </w:rPr>
        <w:t>202</w:t>
      </w:r>
      <w:r>
        <w:rPr>
          <w:rFonts w:hint="eastAsia" w:ascii="仿宋" w:hAnsi="仿宋" w:eastAsia="仿宋" w:cs="仿宋"/>
          <w:color w:val="000000"/>
          <w:szCs w:val="32"/>
          <w:highlight w:val="none"/>
          <w:lang w:val="en-US" w:eastAsia="zh-CN"/>
        </w:rPr>
        <w:t>3</w:t>
      </w:r>
      <w:r>
        <w:rPr>
          <w:rFonts w:hint="eastAsia" w:ascii="仿宋" w:hAnsi="仿宋" w:eastAsia="仿宋" w:cs="仿宋"/>
          <w:color w:val="000000"/>
          <w:szCs w:val="32"/>
          <w:highlight w:val="none"/>
        </w:rPr>
        <w:t>年</w:t>
      </w:r>
      <w:r>
        <w:rPr>
          <w:rFonts w:hint="eastAsia" w:ascii="仿宋" w:hAnsi="仿宋" w:eastAsia="仿宋" w:cs="仿宋"/>
          <w:color w:val="000000"/>
          <w:szCs w:val="32"/>
          <w:highlight w:val="none"/>
          <w:lang w:val="en-US" w:eastAsia="zh-CN"/>
        </w:rPr>
        <w:t>8</w:t>
      </w:r>
      <w:r>
        <w:rPr>
          <w:rFonts w:hint="eastAsia" w:ascii="仿宋" w:hAnsi="仿宋" w:eastAsia="仿宋" w:cs="仿宋"/>
          <w:color w:val="000000"/>
          <w:szCs w:val="32"/>
          <w:highlight w:val="none"/>
        </w:rPr>
        <w:t>月</w:t>
      </w:r>
      <w:r>
        <w:rPr>
          <w:rFonts w:hint="eastAsia" w:ascii="仿宋" w:hAnsi="仿宋" w:eastAsia="仿宋" w:cs="仿宋"/>
          <w:color w:val="000000"/>
          <w:szCs w:val="32"/>
          <w:highlight w:val="none"/>
          <w:lang w:val="en-US" w:eastAsia="zh-CN"/>
        </w:rPr>
        <w:t>4</w:t>
      </w:r>
      <w:r>
        <w:rPr>
          <w:rFonts w:hint="eastAsia" w:ascii="仿宋" w:hAnsi="仿宋" w:eastAsia="仿宋" w:cs="仿宋"/>
          <w:color w:val="000000"/>
          <w:szCs w:val="32"/>
          <w:highlight w:val="none"/>
        </w:rPr>
        <w:t>日</w:t>
      </w:r>
    </w:p>
    <w:p>
      <w:pPr>
        <w:pStyle w:val="2"/>
        <w:keepNext w:val="0"/>
        <w:keepLines w:val="0"/>
        <w:pageBreakBefore w:val="0"/>
        <w:widowControl w:val="0"/>
        <w:kinsoku/>
        <w:wordWrap/>
        <w:overflowPunct/>
        <w:topLinePunct w:val="0"/>
        <w:autoSpaceDE/>
        <w:autoSpaceDN/>
        <w:bidi w:val="0"/>
        <w:spacing w:line="600" w:lineRule="exact"/>
        <w:ind w:left="640" w:firstLine="640"/>
        <w:textAlignment w:val="auto"/>
        <w:rPr>
          <w:highlight w:val="none"/>
        </w:rPr>
      </w:pPr>
    </w:p>
    <w:p>
      <w:pPr>
        <w:keepNext w:val="0"/>
        <w:keepLines w:val="0"/>
        <w:pageBreakBefore w:val="0"/>
        <w:widowControl w:val="0"/>
        <w:kinsoku/>
        <w:wordWrap/>
        <w:overflowPunct/>
        <w:topLinePunct w:val="0"/>
        <w:autoSpaceDE/>
        <w:autoSpaceDN/>
        <w:bidi w:val="0"/>
        <w:spacing w:line="600" w:lineRule="exact"/>
        <w:textAlignment w:val="auto"/>
        <w:rPr>
          <w:highlight w:val="none"/>
        </w:rPr>
      </w:pPr>
    </w:p>
    <w:p>
      <w:pPr>
        <w:keepNext w:val="0"/>
        <w:keepLines w:val="0"/>
        <w:pageBreakBefore w:val="0"/>
        <w:widowControl w:val="0"/>
        <w:kinsoku/>
        <w:wordWrap/>
        <w:overflowPunct/>
        <w:topLinePunct w:val="0"/>
        <w:autoSpaceDE/>
        <w:autoSpaceDN/>
        <w:bidi w:val="0"/>
        <w:spacing w:line="600" w:lineRule="exact"/>
        <w:ind w:left="0" w:leftChars="0" w:firstLine="0" w:firstLineChars="0"/>
        <w:textAlignment w:val="auto"/>
      </w:pPr>
    </w:p>
    <w:p>
      <w:pPr>
        <w:pStyle w:val="6"/>
        <w:keepNext w:val="0"/>
        <w:keepLines w:val="0"/>
        <w:pageBreakBefore w:val="0"/>
        <w:widowControl w:val="0"/>
        <w:kinsoku/>
        <w:wordWrap/>
        <w:overflowPunct/>
        <w:topLinePunct w:val="0"/>
        <w:autoSpaceDE/>
        <w:autoSpaceDN/>
        <w:bidi w:val="0"/>
        <w:spacing w:line="600" w:lineRule="exact"/>
        <w:textAlignment w:val="auto"/>
      </w:pPr>
    </w:p>
    <w:p>
      <w:pPr>
        <w:pStyle w:val="2"/>
        <w:keepNext w:val="0"/>
        <w:keepLines w:val="0"/>
        <w:pageBreakBefore w:val="0"/>
        <w:widowControl w:val="0"/>
        <w:kinsoku/>
        <w:wordWrap/>
        <w:overflowPunct/>
        <w:topLinePunct w:val="0"/>
        <w:autoSpaceDE/>
        <w:autoSpaceDN/>
        <w:bidi w:val="0"/>
        <w:spacing w:line="600" w:lineRule="exact"/>
        <w:textAlignment w:val="auto"/>
      </w:pPr>
    </w:p>
    <w:p>
      <w:pPr>
        <w:keepNext w:val="0"/>
        <w:keepLines w:val="0"/>
        <w:pageBreakBefore w:val="0"/>
        <w:widowControl w:val="0"/>
        <w:kinsoku/>
        <w:wordWrap/>
        <w:overflowPunct/>
        <w:topLinePunct w:val="0"/>
        <w:autoSpaceDE/>
        <w:autoSpaceDN/>
        <w:bidi w:val="0"/>
        <w:spacing w:line="600" w:lineRule="exact"/>
        <w:textAlignment w:val="auto"/>
      </w:pPr>
    </w:p>
    <w:p>
      <w:pPr>
        <w:pStyle w:val="6"/>
        <w:keepNext w:val="0"/>
        <w:keepLines w:val="0"/>
        <w:pageBreakBefore w:val="0"/>
        <w:widowControl w:val="0"/>
        <w:kinsoku/>
        <w:wordWrap/>
        <w:overflowPunct/>
        <w:topLinePunct w:val="0"/>
        <w:autoSpaceDE/>
        <w:autoSpaceDN/>
        <w:bidi w:val="0"/>
        <w:spacing w:line="600" w:lineRule="exact"/>
        <w:textAlignment w:val="auto"/>
      </w:pPr>
    </w:p>
    <w:p>
      <w:pPr>
        <w:pStyle w:val="2"/>
        <w:keepNext w:val="0"/>
        <w:keepLines w:val="0"/>
        <w:pageBreakBefore w:val="0"/>
        <w:widowControl w:val="0"/>
        <w:kinsoku/>
        <w:wordWrap/>
        <w:overflowPunct/>
        <w:topLinePunct w:val="0"/>
        <w:autoSpaceDE/>
        <w:autoSpaceDN/>
        <w:bidi w:val="0"/>
        <w:spacing w:line="600" w:lineRule="exact"/>
        <w:textAlignment w:val="auto"/>
      </w:pPr>
    </w:p>
    <w:p>
      <w:pPr>
        <w:keepNext w:val="0"/>
        <w:keepLines w:val="0"/>
        <w:pageBreakBefore w:val="0"/>
        <w:widowControl w:val="0"/>
        <w:kinsoku/>
        <w:wordWrap/>
        <w:overflowPunct/>
        <w:topLinePunct w:val="0"/>
        <w:autoSpaceDE/>
        <w:autoSpaceDN/>
        <w:bidi w:val="0"/>
        <w:spacing w:line="600" w:lineRule="exact"/>
        <w:textAlignment w:val="auto"/>
      </w:pPr>
    </w:p>
    <w:p>
      <w:pPr>
        <w:pStyle w:val="2"/>
        <w:keepNext w:val="0"/>
        <w:keepLines w:val="0"/>
        <w:pageBreakBefore w:val="0"/>
        <w:widowControl w:val="0"/>
        <w:kinsoku/>
        <w:wordWrap/>
        <w:overflowPunct/>
        <w:topLinePunct w:val="0"/>
        <w:autoSpaceDE/>
        <w:autoSpaceDN/>
        <w:bidi w:val="0"/>
        <w:spacing w:line="600" w:lineRule="exact"/>
        <w:ind w:left="0" w:leftChars="0" w:firstLine="0" w:firstLineChars="0"/>
        <w:textAlignment w:val="auto"/>
      </w:pPr>
    </w:p>
    <w:p>
      <w:pPr>
        <w:keepNext w:val="0"/>
        <w:keepLines w:val="0"/>
        <w:pageBreakBefore w:val="0"/>
        <w:widowControl w:val="0"/>
        <w:kinsoku/>
        <w:wordWrap/>
        <w:overflowPunct/>
        <w:topLinePunct w:val="0"/>
        <w:autoSpaceDE/>
        <w:autoSpaceDN/>
        <w:bidi w:val="0"/>
        <w:spacing w:line="600" w:lineRule="exact"/>
        <w:textAlignment w:val="auto"/>
      </w:pPr>
    </w:p>
    <w:p>
      <w:pPr>
        <w:pStyle w:val="6"/>
        <w:keepNext w:val="0"/>
        <w:keepLines w:val="0"/>
        <w:pageBreakBefore w:val="0"/>
        <w:widowControl w:val="0"/>
        <w:kinsoku/>
        <w:wordWrap/>
        <w:overflowPunct/>
        <w:topLinePunct w:val="0"/>
        <w:autoSpaceDE/>
        <w:autoSpaceDN/>
        <w:bidi w:val="0"/>
        <w:spacing w:line="600" w:lineRule="exact"/>
        <w:textAlignment w:val="auto"/>
      </w:pPr>
    </w:p>
    <w:p>
      <w:pPr>
        <w:pStyle w:val="6"/>
        <w:ind w:left="0" w:leftChars="0" w:firstLine="0" w:firstLineChars="0"/>
      </w:pPr>
    </w:p>
    <w:p>
      <w:pPr>
        <w:ind w:left="0" w:leftChars="0" w:firstLine="0" w:firstLineChars="0"/>
      </w:pPr>
    </w:p>
    <w:p>
      <w:pPr>
        <w:pStyle w:val="2"/>
      </w:pPr>
    </w:p>
    <w:p/>
    <w:p>
      <w:pPr>
        <w:pStyle w:val="6"/>
      </w:pPr>
    </w:p>
    <w:p>
      <w:pPr>
        <w:ind w:left="0" w:leftChars="0" w:firstLine="0" w:firstLineChars="0"/>
      </w:pPr>
    </w:p>
    <w:p>
      <w:pPr>
        <w:pStyle w:val="2"/>
      </w:pPr>
    </w:p>
    <w:p/>
    <w:p>
      <w:pPr>
        <w:ind w:left="0" w:leftChars="0" w:firstLine="0" w:firstLineChars="0"/>
      </w:pPr>
    </w:p>
    <w:p/>
    <w:p>
      <w:pPr>
        <w:pStyle w:val="2"/>
      </w:pPr>
    </w:p>
    <w:p>
      <w:pPr>
        <w:pStyle w:val="2"/>
        <w:ind w:left="0" w:leftChars="0" w:firstLine="0" w:firstLineChars="0"/>
      </w:pPr>
    </w:p>
    <w:tbl>
      <w:tblPr>
        <w:tblStyle w:val="17"/>
        <w:tblW w:w="9040" w:type="dxa"/>
        <w:tblInd w:w="0" w:type="dxa"/>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Layout w:type="fixed"/>
        <w:tblCellMar>
          <w:top w:w="0" w:type="dxa"/>
          <w:left w:w="0" w:type="dxa"/>
          <w:bottom w:w="0" w:type="dxa"/>
          <w:right w:w="0" w:type="dxa"/>
        </w:tblCellMar>
      </w:tblPr>
      <w:tblGrid>
        <w:gridCol w:w="9040"/>
      </w:tblGrid>
      <w:tr>
        <w:tblPrEx>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CellMar>
            <w:top w:w="0" w:type="dxa"/>
            <w:left w:w="0" w:type="dxa"/>
            <w:bottom w:w="0" w:type="dxa"/>
            <w:right w:w="0" w:type="dxa"/>
          </w:tblCellMar>
        </w:tblPrEx>
        <w:trPr>
          <w:trHeight w:val="1521" w:hRule="atLeast"/>
        </w:trPr>
        <w:tc>
          <w:tcPr>
            <w:tcW w:w="9040" w:type="dxa"/>
            <w:tcBorders>
              <w:top w:val="single" w:color="000000" w:sz="2" w:space="0"/>
              <w:bottom w:val="single" w:color="000000" w:sz="2" w:space="0"/>
            </w:tcBorders>
            <w:vAlign w:val="top"/>
          </w:tcPr>
          <w:p>
            <w:pPr>
              <w:keepNext w:val="0"/>
              <w:keepLines w:val="0"/>
              <w:pageBreakBefore w:val="0"/>
              <w:widowControl w:val="0"/>
              <w:kinsoku/>
              <w:wordWrap/>
              <w:overflowPunct/>
              <w:topLinePunct w:val="0"/>
              <w:autoSpaceDE/>
              <w:autoSpaceDN/>
              <w:bidi w:val="0"/>
              <w:adjustRightInd/>
              <w:snapToGrid/>
              <w:spacing w:line="600" w:lineRule="exact"/>
              <w:ind w:left="840" w:hanging="840" w:hangingChars="300"/>
              <w:textAlignment w:val="auto"/>
              <w:rPr>
                <w:rFonts w:ascii="仿宋_GB2312" w:hAnsi="仿宋_GB2312" w:cs="仿宋_GB2312"/>
                <w:snapToGrid/>
                <w:color w:val="000000"/>
                <w:kern w:val="2"/>
                <w:szCs w:val="32"/>
                <w:highlight w:val="none"/>
              </w:rPr>
            </w:pPr>
            <w:r>
              <w:rPr>
                <w:rFonts w:hint="eastAsia" w:ascii="仿宋" w:hAnsi="仿宋" w:eastAsia="仿宋" w:cs="仿宋"/>
                <w:snapToGrid/>
                <w:color w:val="000000"/>
                <w:kern w:val="2"/>
                <w:sz w:val="28"/>
                <w:szCs w:val="28"/>
                <w:highlight w:val="none"/>
              </w:rPr>
              <w:t>抄送：鄂尔多斯市生态环境局</w:t>
            </w:r>
            <w:r>
              <w:rPr>
                <w:rFonts w:hint="eastAsia" w:ascii="仿宋" w:hAnsi="仿宋" w:eastAsia="仿宋" w:cs="仿宋"/>
                <w:snapToGrid/>
                <w:color w:val="000000"/>
                <w:kern w:val="2"/>
                <w:sz w:val="28"/>
                <w:szCs w:val="28"/>
                <w:highlight w:val="none"/>
                <w:lang w:val="en-US" w:eastAsia="zh-CN"/>
              </w:rPr>
              <w:t>准格尔旗</w:t>
            </w:r>
            <w:r>
              <w:rPr>
                <w:rFonts w:hint="eastAsia" w:ascii="仿宋" w:hAnsi="仿宋" w:eastAsia="仿宋" w:cs="仿宋"/>
                <w:snapToGrid/>
                <w:color w:val="000000"/>
                <w:kern w:val="2"/>
                <w:sz w:val="28"/>
                <w:szCs w:val="28"/>
                <w:highlight w:val="none"/>
              </w:rPr>
              <w:t>分局，内蒙古</w:t>
            </w:r>
            <w:r>
              <w:rPr>
                <w:rFonts w:hint="eastAsia" w:ascii="仿宋" w:hAnsi="仿宋" w:eastAsia="仿宋" w:cs="仿宋"/>
                <w:snapToGrid/>
                <w:color w:val="000000"/>
                <w:kern w:val="2"/>
                <w:sz w:val="28"/>
                <w:szCs w:val="28"/>
                <w:highlight w:val="none"/>
                <w:lang w:val="en-US" w:eastAsia="zh-CN"/>
              </w:rPr>
              <w:t>准格尔</w:t>
            </w:r>
            <w:r>
              <w:rPr>
                <w:rFonts w:hint="eastAsia" w:ascii="仿宋" w:hAnsi="仿宋" w:eastAsia="仿宋" w:cs="仿宋"/>
                <w:snapToGrid/>
                <w:color w:val="000000"/>
                <w:kern w:val="2"/>
                <w:sz w:val="28"/>
                <w:szCs w:val="28"/>
                <w:highlight w:val="none"/>
              </w:rPr>
              <w:t>经济开发区管理委员会建设管理局(生态环境管理办公室)，市生态环境综合行政执法支队，</w:t>
            </w:r>
            <w:r>
              <w:rPr>
                <w:rFonts w:hint="eastAsia" w:ascii="仿宋" w:hAnsi="仿宋" w:eastAsia="仿宋" w:cs="仿宋"/>
                <w:snapToGrid/>
                <w:color w:val="000000"/>
                <w:kern w:val="2"/>
                <w:sz w:val="28"/>
                <w:szCs w:val="28"/>
                <w:highlight w:val="none"/>
                <w:lang w:eastAsia="zh-CN"/>
              </w:rPr>
              <w:t>内蒙古绿疆环境科技有限公司</w:t>
            </w:r>
            <w:r>
              <w:rPr>
                <w:rFonts w:hint="eastAsia" w:ascii="仿宋" w:hAnsi="仿宋" w:eastAsia="仿宋" w:cs="仿宋"/>
                <w:snapToGrid/>
                <w:color w:val="000000"/>
                <w:kern w:val="2"/>
                <w:sz w:val="28"/>
                <w:szCs w:val="28"/>
                <w:highlight w:val="none"/>
              </w:rPr>
              <w:t>，市生态环境局综合保障中心。</w:t>
            </w:r>
          </w:p>
        </w:tc>
      </w:tr>
      <w:tr>
        <w:tblPrEx>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PrEx>
        <w:trPr>
          <w:trHeight w:val="583" w:hRule="atLeast"/>
        </w:trPr>
        <w:tc>
          <w:tcPr>
            <w:tcW w:w="9040" w:type="dxa"/>
            <w:tcBorders>
              <w:top w:val="single" w:color="000000" w:sz="2" w:space="0"/>
              <w:bottom w:val="single" w:color="000000" w:sz="2" w:space="0"/>
            </w:tcBorders>
            <w:vAlign w:val="top"/>
          </w:tcPr>
          <w:p>
            <w:pPr>
              <w:keepNext w:val="0"/>
              <w:keepLines w:val="0"/>
              <w:pageBreakBefore w:val="0"/>
              <w:widowControl w:val="0"/>
              <w:kinsoku/>
              <w:wordWrap/>
              <w:overflowPunct/>
              <w:topLinePunct w:val="0"/>
              <w:autoSpaceDE/>
              <w:autoSpaceDN/>
              <w:bidi w:val="0"/>
              <w:adjustRightInd/>
              <w:snapToGrid/>
              <w:spacing w:line="600" w:lineRule="exact"/>
              <w:ind w:firstLine="0" w:firstLineChars="0"/>
              <w:textAlignment w:val="auto"/>
              <w:rPr>
                <w:rFonts w:hint="eastAsia" w:ascii="仿宋" w:hAnsi="仿宋" w:eastAsia="仿宋" w:cs="仿宋"/>
                <w:snapToGrid/>
                <w:color w:val="000000"/>
                <w:kern w:val="2"/>
                <w:sz w:val="28"/>
                <w:szCs w:val="28"/>
                <w:highlight w:val="none"/>
              </w:rPr>
            </w:pPr>
            <w:r>
              <w:rPr>
                <w:rFonts w:hint="eastAsia" w:ascii="仿宋" w:hAnsi="仿宋" w:eastAsia="仿宋" w:cs="仿宋"/>
                <w:snapToGrid/>
                <w:color w:val="000000"/>
                <w:kern w:val="2"/>
                <w:sz w:val="28"/>
                <w:szCs w:val="28"/>
                <w:highlight w:val="none"/>
              </w:rPr>
              <w:t xml:space="preserve">鄂尔多斯市生态环境局              </w:t>
            </w:r>
            <w:r>
              <w:rPr>
                <w:rFonts w:hint="eastAsia" w:ascii="仿宋" w:hAnsi="仿宋" w:eastAsia="仿宋" w:cs="仿宋"/>
                <w:snapToGrid/>
                <w:color w:val="000000"/>
                <w:kern w:val="2"/>
                <w:sz w:val="28"/>
                <w:szCs w:val="28"/>
                <w:highlight w:val="none"/>
                <w:lang w:val="en-US" w:eastAsia="zh-CN"/>
              </w:rPr>
              <w:t xml:space="preserve">        </w:t>
            </w:r>
            <w:r>
              <w:rPr>
                <w:rFonts w:hint="eastAsia" w:ascii="仿宋" w:hAnsi="仿宋" w:eastAsia="仿宋" w:cs="仿宋"/>
                <w:snapToGrid/>
                <w:color w:val="000000"/>
                <w:kern w:val="2"/>
                <w:sz w:val="28"/>
                <w:szCs w:val="28"/>
                <w:highlight w:val="none"/>
              </w:rPr>
              <w:t xml:space="preserve">   202</w:t>
            </w:r>
            <w:r>
              <w:rPr>
                <w:rFonts w:hint="eastAsia" w:ascii="仿宋" w:hAnsi="仿宋" w:eastAsia="仿宋" w:cs="仿宋"/>
                <w:snapToGrid/>
                <w:color w:val="000000"/>
                <w:kern w:val="2"/>
                <w:sz w:val="28"/>
                <w:szCs w:val="28"/>
                <w:highlight w:val="none"/>
                <w:lang w:val="en-US" w:eastAsia="zh-CN"/>
              </w:rPr>
              <w:t>3</w:t>
            </w:r>
            <w:r>
              <w:rPr>
                <w:rFonts w:hint="eastAsia" w:ascii="仿宋" w:hAnsi="仿宋" w:eastAsia="仿宋" w:cs="仿宋"/>
                <w:snapToGrid/>
                <w:color w:val="000000"/>
                <w:kern w:val="2"/>
                <w:sz w:val="28"/>
                <w:szCs w:val="28"/>
                <w:highlight w:val="none"/>
              </w:rPr>
              <w:t>年</w:t>
            </w:r>
            <w:r>
              <w:rPr>
                <w:rFonts w:hint="eastAsia" w:ascii="仿宋" w:hAnsi="仿宋" w:eastAsia="仿宋" w:cs="仿宋"/>
                <w:snapToGrid/>
                <w:color w:val="000000"/>
                <w:kern w:val="2"/>
                <w:sz w:val="28"/>
                <w:szCs w:val="28"/>
                <w:highlight w:val="none"/>
                <w:lang w:val="en-US" w:eastAsia="zh-CN"/>
              </w:rPr>
              <w:t>8</w:t>
            </w:r>
            <w:r>
              <w:rPr>
                <w:rFonts w:hint="eastAsia" w:ascii="仿宋" w:hAnsi="仿宋" w:eastAsia="仿宋" w:cs="仿宋"/>
                <w:snapToGrid/>
                <w:color w:val="000000"/>
                <w:kern w:val="2"/>
                <w:sz w:val="28"/>
                <w:szCs w:val="28"/>
                <w:highlight w:val="none"/>
              </w:rPr>
              <w:t>月</w:t>
            </w:r>
            <w:r>
              <w:rPr>
                <w:rFonts w:hint="eastAsia" w:ascii="仿宋" w:hAnsi="仿宋" w:eastAsia="仿宋" w:cs="仿宋"/>
                <w:snapToGrid/>
                <w:color w:val="000000"/>
                <w:kern w:val="2"/>
                <w:sz w:val="28"/>
                <w:szCs w:val="28"/>
                <w:highlight w:val="none"/>
                <w:lang w:val="en-US" w:eastAsia="zh-CN"/>
              </w:rPr>
              <w:t>4</w:t>
            </w:r>
            <w:r>
              <w:rPr>
                <w:rFonts w:hint="eastAsia" w:ascii="仿宋" w:hAnsi="仿宋" w:eastAsia="仿宋" w:cs="仿宋"/>
                <w:snapToGrid/>
                <w:color w:val="000000"/>
                <w:kern w:val="2"/>
                <w:sz w:val="28"/>
                <w:szCs w:val="28"/>
                <w:highlight w:val="none"/>
              </w:rPr>
              <w:t>日印发</w:t>
            </w:r>
          </w:p>
        </w:tc>
      </w:tr>
    </w:tbl>
    <w:p>
      <w:pPr>
        <w:pStyle w:val="6"/>
        <w:ind w:left="0" w:leftChars="0" w:firstLine="0" w:firstLineChars="0"/>
        <w:rPr>
          <w:rFonts w:hint="eastAsia" w:eastAsia="仿宋_GB2312"/>
          <w:highlight w:val="none"/>
          <w:lang w:val="en-US" w:eastAsia="zh-CN"/>
        </w:rPr>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ind w:firstLine="640"/>
      </w:pPr>
      <w:r>
        <w:separator/>
      </w:r>
    </w:p>
  </w:endnote>
  <w:endnote w:type="continuationSeparator" w:id="1">
    <w:p>
      <w:pPr>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等线">
    <w:altName w:val="微软雅黑"/>
    <w:panose1 w:val="02010600030101010101"/>
    <w:charset w:val="86"/>
    <w:family w:val="auto"/>
    <w:pitch w:val="default"/>
    <w:sig w:usb0="00000000" w:usb1="00000000" w:usb2="00000016" w:usb3="00000000" w:csb0="0004000F" w:csb1="00000000"/>
  </w:font>
  <w:font w:name="Arial Unicode MS">
    <w:altName w:val="宋体"/>
    <w:panose1 w:val="020B0604020202020204"/>
    <w:charset w:val="86"/>
    <w:family w:val="swiss"/>
    <w:pitch w:val="default"/>
    <w:sig w:usb0="00000000" w:usb1="00000000" w:usb2="0000003F" w:usb3="00000000" w:csb0="603F01FF" w:csb1="FFFF0000"/>
  </w:font>
  <w:font w:name="仿宋">
    <w:panose1 w:val="02010609060101010101"/>
    <w:charset w:val="86"/>
    <w:family w:val="auto"/>
    <w:pitch w:val="default"/>
    <w:sig w:usb0="800002BF" w:usb1="38CF7CFA" w:usb2="00000016" w:usb3="00000000" w:csb0="00040001" w:csb1="00000000"/>
  </w:font>
  <w:font w:name="等线">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ind w:firstLine="640"/>
      </w:pPr>
      <w:r>
        <w:separator/>
      </w:r>
    </w:p>
  </w:footnote>
  <w:footnote w:type="continuationSeparator" w:id="1">
    <w:p>
      <w:pPr>
        <w:ind w:firstLine="64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WQ5OWQxM2NlNTU3ZjA0ZjkzODUyMmVlYWVlMDVjZmMifQ=="/>
  </w:docVars>
  <w:rsids>
    <w:rsidRoot w:val="00805F8E"/>
    <w:rsid w:val="002A5198"/>
    <w:rsid w:val="003160F5"/>
    <w:rsid w:val="00805F8E"/>
    <w:rsid w:val="00967D21"/>
    <w:rsid w:val="02417937"/>
    <w:rsid w:val="032213EB"/>
    <w:rsid w:val="03CF5E7E"/>
    <w:rsid w:val="29DA4494"/>
    <w:rsid w:val="3AFB643D"/>
    <w:rsid w:val="3C7C2C4D"/>
    <w:rsid w:val="3D8A7112"/>
    <w:rsid w:val="3FDF1244"/>
    <w:rsid w:val="41166990"/>
    <w:rsid w:val="473420AD"/>
    <w:rsid w:val="47350E2C"/>
    <w:rsid w:val="48EB0474"/>
    <w:rsid w:val="4F445C26"/>
    <w:rsid w:val="51DD5CA7"/>
    <w:rsid w:val="52161855"/>
    <w:rsid w:val="59842CF7"/>
    <w:rsid w:val="5F813B7F"/>
    <w:rsid w:val="720A068C"/>
    <w:rsid w:val="78793730"/>
    <w:rsid w:val="7AE6171D"/>
    <w:rsid w:val="7CAC74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qFormat="1"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ind w:firstLine="200" w:firstLineChars="200"/>
      <w:jc w:val="both"/>
    </w:pPr>
    <w:rPr>
      <w:rFonts w:ascii="Times New Roman" w:hAnsi="Times New Roman" w:eastAsia="仿宋_GB2312" w:cs="Times New Roman"/>
      <w:kern w:val="2"/>
      <w:sz w:val="32"/>
      <w:szCs w:val="24"/>
      <w:lang w:val="en-US" w:eastAsia="zh-CN" w:bidi="ar-SA"/>
    </w:rPr>
  </w:style>
  <w:style w:type="paragraph" w:styleId="5">
    <w:name w:val="heading 1"/>
    <w:basedOn w:val="1"/>
    <w:next w:val="1"/>
    <w:qFormat/>
    <w:uiPriority w:val="9"/>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11">
    <w:name w:val="Default Paragraph Font"/>
    <w:unhideWhenUsed/>
    <w:qFormat/>
    <w:uiPriority w:val="1"/>
  </w:style>
  <w:style w:type="table" w:default="1" w:styleId="10">
    <w:name w:val="Normal Table"/>
    <w:autoRedefine/>
    <w:semiHidden/>
    <w:unhideWhenUsed/>
    <w:qFormat/>
    <w:uiPriority w:val="99"/>
    <w:tblPr>
      <w:tblCellMar>
        <w:top w:w="0" w:type="dxa"/>
        <w:left w:w="108" w:type="dxa"/>
        <w:bottom w:w="0" w:type="dxa"/>
        <w:right w:w="108" w:type="dxa"/>
      </w:tblCellMar>
    </w:tblPr>
  </w:style>
  <w:style w:type="paragraph" w:styleId="2">
    <w:name w:val="Body Text First Indent 2"/>
    <w:basedOn w:val="3"/>
    <w:next w:val="1"/>
    <w:link w:val="15"/>
    <w:semiHidden/>
    <w:unhideWhenUsed/>
    <w:qFormat/>
    <w:uiPriority w:val="99"/>
    <w:pPr>
      <w:ind w:firstLine="420"/>
    </w:pPr>
  </w:style>
  <w:style w:type="paragraph" w:styleId="3">
    <w:name w:val="Body Text Indent"/>
    <w:basedOn w:val="1"/>
    <w:next w:val="4"/>
    <w:link w:val="14"/>
    <w:semiHidden/>
    <w:unhideWhenUsed/>
    <w:qFormat/>
    <w:uiPriority w:val="99"/>
    <w:pPr>
      <w:spacing w:after="120"/>
      <w:ind w:left="420" w:leftChars="200"/>
    </w:pPr>
  </w:style>
  <w:style w:type="paragraph" w:customStyle="1" w:styleId="4">
    <w:name w:val="样式 正文文本缩进 + 行距: 1.5 倍行距"/>
    <w:basedOn w:val="1"/>
    <w:qFormat/>
    <w:uiPriority w:val="0"/>
    <w:pPr>
      <w:spacing w:after="120" w:line="360" w:lineRule="auto"/>
      <w:ind w:left="90" w:leftChars="32" w:firstLine="560" w:firstLineChars="200"/>
    </w:pPr>
    <w:rPr>
      <w:rFonts w:ascii="Calibri" w:hAnsi="Calibri" w:eastAsia="宋体" w:cs="宋体"/>
      <w:szCs w:val="24"/>
    </w:rPr>
  </w:style>
  <w:style w:type="paragraph" w:styleId="6">
    <w:name w:val="Normal Indent"/>
    <w:basedOn w:val="1"/>
    <w:next w:val="2"/>
    <w:link w:val="13"/>
    <w:qFormat/>
    <w:uiPriority w:val="0"/>
    <w:rPr>
      <w:rFonts w:asciiTheme="minorHAnsi" w:hAnsiTheme="minorHAnsi" w:cstheme="minorBidi"/>
    </w:rPr>
  </w:style>
  <w:style w:type="paragraph" w:styleId="7">
    <w:name w:val="Date"/>
    <w:basedOn w:val="1"/>
    <w:next w:val="1"/>
    <w:link w:val="16"/>
    <w:semiHidden/>
    <w:unhideWhenUsed/>
    <w:qFormat/>
    <w:uiPriority w:val="99"/>
    <w:pPr>
      <w:ind w:left="100" w:leftChars="2500"/>
    </w:pPr>
  </w:style>
  <w:style w:type="paragraph" w:styleId="8">
    <w:name w:val="toc 2"/>
    <w:basedOn w:val="1"/>
    <w:next w:val="1"/>
    <w:unhideWhenUsed/>
    <w:qFormat/>
    <w:uiPriority w:val="39"/>
    <w:pPr>
      <w:ind w:left="420" w:leftChars="200"/>
    </w:pPr>
    <w:rPr>
      <w:rFonts w:ascii="Calibri" w:hAnsi="Calibri"/>
      <w:szCs w:val="22"/>
    </w:rPr>
  </w:style>
  <w:style w:type="paragraph" w:styleId="9">
    <w:name w:val="Normal (Web)"/>
    <w:basedOn w:val="1"/>
    <w:qFormat/>
    <w:uiPriority w:val="0"/>
    <w:pPr>
      <w:widowControl/>
      <w:spacing w:before="100" w:after="100"/>
      <w:jc w:val="left"/>
    </w:pPr>
    <w:rPr>
      <w:rFonts w:ascii="Arial Unicode MS" w:hAnsi="Arial Unicode MS" w:eastAsia="Arial Unicode MS"/>
      <w:kern w:val="0"/>
      <w:sz w:val="24"/>
    </w:rPr>
  </w:style>
  <w:style w:type="character" w:styleId="12">
    <w:name w:val="Emphasis"/>
    <w:basedOn w:val="11"/>
    <w:qFormat/>
    <w:uiPriority w:val="20"/>
    <w:rPr>
      <w:i/>
    </w:rPr>
  </w:style>
  <w:style w:type="character" w:customStyle="1" w:styleId="13">
    <w:name w:val="正文缩进 字符"/>
    <w:link w:val="6"/>
    <w:qFormat/>
    <w:uiPriority w:val="0"/>
    <w:rPr>
      <w:rFonts w:eastAsia="仿宋_GB2312"/>
      <w:sz w:val="32"/>
      <w:szCs w:val="24"/>
    </w:rPr>
  </w:style>
  <w:style w:type="character" w:customStyle="1" w:styleId="14">
    <w:name w:val="正文文本缩进 字符"/>
    <w:basedOn w:val="11"/>
    <w:link w:val="3"/>
    <w:autoRedefine/>
    <w:semiHidden/>
    <w:qFormat/>
    <w:uiPriority w:val="99"/>
    <w:rPr>
      <w:rFonts w:ascii="Times New Roman" w:hAnsi="Times New Roman" w:eastAsia="仿宋_GB2312" w:cs="Times New Roman"/>
      <w:sz w:val="32"/>
      <w:szCs w:val="24"/>
    </w:rPr>
  </w:style>
  <w:style w:type="character" w:customStyle="1" w:styleId="15">
    <w:name w:val="正文文本首行缩进 2 字符"/>
    <w:basedOn w:val="14"/>
    <w:link w:val="2"/>
    <w:autoRedefine/>
    <w:semiHidden/>
    <w:qFormat/>
    <w:uiPriority w:val="99"/>
    <w:rPr>
      <w:rFonts w:ascii="Times New Roman" w:hAnsi="Times New Roman" w:eastAsia="仿宋_GB2312" w:cs="Times New Roman"/>
      <w:sz w:val="32"/>
      <w:szCs w:val="24"/>
    </w:rPr>
  </w:style>
  <w:style w:type="character" w:customStyle="1" w:styleId="16">
    <w:name w:val="日期 字符"/>
    <w:basedOn w:val="11"/>
    <w:link w:val="7"/>
    <w:autoRedefine/>
    <w:semiHidden/>
    <w:qFormat/>
    <w:uiPriority w:val="99"/>
    <w:rPr>
      <w:rFonts w:ascii="Times New Roman" w:hAnsi="Times New Roman" w:eastAsia="仿宋_GB2312" w:cs="Times New Roman"/>
      <w:sz w:val="32"/>
      <w:szCs w:val="24"/>
    </w:rPr>
  </w:style>
  <w:style w:type="table" w:customStyle="1" w:styleId="17">
    <w:name w:val="Table Normal"/>
    <w:autoRedefine/>
    <w:semiHidden/>
    <w:unhideWhenUsed/>
    <w:qFormat/>
    <w:uiPriority w:val="0"/>
    <w:rPr>
      <w:rFonts w:ascii="Arial" w:hAnsi="Arial" w:cs="Arial"/>
      <w:snapToGrid w:val="0"/>
      <w:color w:val="000000"/>
      <w:kern w:val="0"/>
      <w:szCs w:val="21"/>
    </w:rPr>
    <w:tblPr>
      <w:tblCellMar>
        <w:top w:w="0" w:type="dxa"/>
        <w:left w:w="0" w:type="dxa"/>
        <w:bottom w:w="0" w:type="dxa"/>
        <w:right w:w="0" w:type="dxa"/>
      </w:tblCellMar>
    </w:tblPr>
  </w:style>
  <w:style w:type="paragraph" w:customStyle="1" w:styleId="18">
    <w:name w:val="样式 样式 样式 四号 左侧:  1.53 厘米 + 首行缩进:  2 字符 + 居中 左侧:  2 字符 首行缩进:  2..."/>
    <w:basedOn w:val="19"/>
    <w:autoRedefine/>
    <w:qFormat/>
    <w:uiPriority w:val="0"/>
    <w:pPr>
      <w:jc w:val="center"/>
    </w:pPr>
  </w:style>
  <w:style w:type="paragraph" w:customStyle="1" w:styleId="19">
    <w:name w:val="样式 样式 四号 左侧:  1.53 厘米 + 首行缩进:  2 字符"/>
    <w:basedOn w:val="20"/>
    <w:autoRedefine/>
    <w:qFormat/>
    <w:uiPriority w:val="0"/>
    <w:pPr>
      <w:ind w:left="200" w:leftChars="200"/>
    </w:pPr>
    <w:rPr>
      <w:szCs w:val="20"/>
    </w:rPr>
  </w:style>
  <w:style w:type="paragraph" w:customStyle="1" w:styleId="20">
    <w:name w:val="样式 四号 左侧:  1.53 厘米"/>
    <w:basedOn w:val="1"/>
    <w:qFormat/>
    <w:uiPriority w:val="0"/>
    <w:pPr>
      <w:adjustRightInd w:val="0"/>
    </w:pPr>
    <w:rPr>
      <w:w w:val="90"/>
      <w:sz w:val="28"/>
      <w:szCs w:val="2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2053</Words>
  <Characters>2192</Characters>
  <Lines>14</Lines>
  <Paragraphs>4</Paragraphs>
  <TotalTime>18</TotalTime>
  <ScaleCrop>false</ScaleCrop>
  <LinksUpToDate>false</LinksUpToDate>
  <CharactersWithSpaces>2253</CharactersWithSpaces>
  <Application>WPS Office_12.1.0.16388_F1E327BC-269C-435d-A152-05C5408002CA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2022-09-08T09:22:00Z</dcterms:created>
  <dc:creator>微软用户</dc:creator>
  <cp:lastModifiedBy>高燕</cp:lastModifiedBy>
  <cp:lastPrinted>2022-12-12T10:39:00Z</cp:lastPrinted>
  <dcterms:modified xsi:type="dcterms:W3CDTF">2024-03-05T02:01:15Z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19C1D89105294067B8D31F17998F0458_13</vt:lpwstr>
  </property>
</Properties>
</file>