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hint="eastAsia"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textAlignment w:val="auto"/>
        <w:rPr>
          <w:rFonts w:eastAsia="仿宋"/>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4"/>
        <w:keepNext w:val="0"/>
        <w:keepLines w:val="0"/>
        <w:pageBreakBefore w:val="0"/>
        <w:widowControl w:val="0"/>
        <w:kinsoku/>
        <w:wordWrap/>
        <w:overflowPunct/>
        <w:topLinePunct w:val="0"/>
        <w:autoSpaceDE/>
        <w:autoSpaceDN/>
        <w:bidi w:val="0"/>
        <w:spacing w:line="600" w:lineRule="exact"/>
        <w:ind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p>
    <w:p>
      <w:pPr>
        <w:pStyle w:val="4"/>
        <w:keepNext w:val="0"/>
        <w:keepLines w:val="0"/>
        <w:pageBreakBefore w:val="0"/>
        <w:widowControl w:val="0"/>
        <w:kinsoku/>
        <w:wordWrap/>
        <w:overflowPunct/>
        <w:topLinePunct w:val="0"/>
        <w:autoSpaceDE/>
        <w:autoSpaceDN/>
        <w:bidi w:val="0"/>
        <w:spacing w:line="600" w:lineRule="exact"/>
        <w:ind w:left="0" w:leftChars="0" w:firstLine="0" w:firstLineChars="0"/>
        <w:textAlignment w:val="auto"/>
        <w:rPr>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textAlignment w:val="auto"/>
        <w:rPr>
          <w:highlight w:val="none"/>
        </w:rPr>
      </w:pPr>
      <w:r>
        <w:rPr>
          <w:highlight w:val="none"/>
        </w:rPr>
        <w:t>鄂环</w:t>
      </w:r>
      <w:r>
        <w:rPr>
          <w:rFonts w:hint="eastAsia"/>
          <w:highlight w:val="none"/>
        </w:rPr>
        <w:t>审</w:t>
      </w:r>
      <w:r>
        <w:rPr>
          <w:highlight w:val="none"/>
        </w:rPr>
        <w:t>字〔</w:t>
      </w:r>
      <w:r>
        <w:rPr>
          <w:rFonts w:hint="eastAsia"/>
          <w:highlight w:val="none"/>
        </w:rPr>
        <w:t>202</w:t>
      </w:r>
      <w:r>
        <w:rPr>
          <w:rFonts w:hint="eastAsia"/>
          <w:highlight w:val="none"/>
          <w:lang w:val="en-US" w:eastAsia="zh-CN"/>
        </w:rPr>
        <w:t>3</w:t>
      </w:r>
      <w:r>
        <w:rPr>
          <w:highlight w:val="none"/>
        </w:rPr>
        <w:t>〕</w:t>
      </w:r>
      <w:r>
        <w:rPr>
          <w:rFonts w:hint="eastAsia"/>
          <w:highlight w:val="none"/>
          <w:lang w:val="en-US" w:eastAsia="zh-CN"/>
        </w:rPr>
        <w:t>226</w:t>
      </w:r>
      <w:r>
        <w:rPr>
          <w:highlight w:val="none"/>
        </w:rPr>
        <w:t>号</w:t>
      </w:r>
    </w:p>
    <w:p>
      <w:pPr>
        <w:keepNext w:val="0"/>
        <w:keepLines w:val="0"/>
        <w:pageBreakBefore w:val="0"/>
        <w:widowControl w:val="0"/>
        <w:tabs>
          <w:tab w:val="left" w:pos="6780"/>
        </w:tabs>
        <w:kinsoku/>
        <w:wordWrap/>
        <w:overflowPunct/>
        <w:topLinePunct w:val="0"/>
        <w:autoSpaceDE/>
        <w:autoSpaceDN/>
        <w:bidi w:val="0"/>
        <w:spacing w:line="600" w:lineRule="exact"/>
        <w:ind w:firstLine="0" w:firstLineChars="0"/>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eastAsia="宋体"/>
          <w:b/>
          <w:w w:val="95"/>
          <w:sz w:val="44"/>
          <w:szCs w:val="44"/>
          <w:highlight w:val="none"/>
        </w:rPr>
      </w:pPr>
      <w:r>
        <w:rPr>
          <w:rFonts w:eastAsia="宋体"/>
          <w:b/>
          <w:w w:val="95"/>
          <w:sz w:val="44"/>
          <w:szCs w:val="44"/>
          <w:highlight w:val="none"/>
        </w:rPr>
        <w:t>鄂尔多斯市生态环境局</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eastAsia="宋体"/>
          <w:b/>
          <w:w w:val="95"/>
          <w:sz w:val="44"/>
          <w:szCs w:val="44"/>
          <w:highlight w:val="none"/>
        </w:rPr>
        <w:t>关于</w:t>
      </w:r>
      <w:bookmarkStart w:id="0" w:name="_GoBack"/>
      <w:r>
        <w:rPr>
          <w:rFonts w:hint="eastAsia" w:eastAsia="宋体"/>
          <w:b/>
          <w:w w:val="95"/>
          <w:sz w:val="44"/>
          <w:szCs w:val="44"/>
          <w:highlight w:val="none"/>
        </w:rPr>
        <w:t>宝馨科技鄂托克旗2GW切片、2GW</w:t>
      </w:r>
    </w:p>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eastAsia="宋体"/>
          <w:b/>
          <w:w w:val="95"/>
          <w:sz w:val="44"/>
          <w:szCs w:val="44"/>
          <w:highlight w:val="none"/>
        </w:rPr>
      </w:pPr>
      <w:r>
        <w:rPr>
          <w:rFonts w:hint="eastAsia" w:eastAsia="宋体"/>
          <w:b/>
          <w:w w:val="95"/>
          <w:sz w:val="44"/>
          <w:szCs w:val="44"/>
          <w:highlight w:val="none"/>
        </w:rPr>
        <w:t>高效异质结电池及组件制造项目</w:t>
      </w:r>
    </w:p>
    <w:bookmarkEnd w:id="0"/>
    <w:p>
      <w:pPr>
        <w:keepNext w:val="0"/>
        <w:keepLines w:val="0"/>
        <w:pageBreakBefore w:val="0"/>
        <w:widowControl w:val="0"/>
        <w:kinsoku/>
        <w:wordWrap/>
        <w:overflowPunct/>
        <w:topLinePunct w:val="0"/>
        <w:autoSpaceDE/>
        <w:autoSpaceDN/>
        <w:bidi w:val="0"/>
        <w:spacing w:line="600" w:lineRule="exact"/>
        <w:ind w:firstLine="0" w:firstLineChars="0"/>
        <w:jc w:val="center"/>
        <w:textAlignment w:val="auto"/>
        <w:rPr>
          <w:rFonts w:hint="eastAsia" w:eastAsia="宋体"/>
          <w:b/>
          <w:w w:val="95"/>
          <w:sz w:val="44"/>
          <w:szCs w:val="44"/>
          <w:highlight w:val="none"/>
        </w:rPr>
      </w:pPr>
      <w:r>
        <w:rPr>
          <w:rFonts w:hint="eastAsia" w:eastAsia="宋体"/>
          <w:b/>
          <w:w w:val="95"/>
          <w:sz w:val="44"/>
          <w:szCs w:val="44"/>
          <w:highlight w:val="none"/>
        </w:rPr>
        <w:t>环境影响报告书的批复</w:t>
      </w:r>
    </w:p>
    <w:p>
      <w:pPr>
        <w:keepNext w:val="0"/>
        <w:keepLines w:val="0"/>
        <w:pageBreakBefore w:val="0"/>
        <w:widowControl w:val="0"/>
        <w:kinsoku/>
        <w:wordWrap/>
        <w:overflowPunct/>
        <w:topLinePunct w:val="0"/>
        <w:autoSpaceDE/>
        <w:autoSpaceDN/>
        <w:bidi w:val="0"/>
        <w:spacing w:line="600" w:lineRule="exact"/>
        <w:ind w:firstLine="723"/>
        <w:jc w:val="center"/>
        <w:textAlignment w:val="auto"/>
        <w:rPr>
          <w:rFonts w:eastAsia="仿宋"/>
          <w:b/>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内蒙古宝馨绿能新能源科技有限公司：</w:t>
      </w:r>
    </w:p>
    <w:p>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你公司报送的由内蒙古华晨工程咨询有限公司编制的《宝馨科技鄂托克旗2GW切片、2GW高效异质结电池及组件制造项目环境影响报告书》（以下简称《报告书》）收悉，我局综合保障中心组织专家对该项目进行了技术评估，并形成了技术评估报告，根据《报告书》和《技术评估报告》，经研究，现批复如下：</w:t>
      </w:r>
    </w:p>
    <w:p>
      <w:pPr>
        <w:keepNext w:val="0"/>
        <w:keepLines w:val="0"/>
        <w:pageBreakBefore w:val="0"/>
        <w:widowControl w:val="0"/>
        <w:numPr>
          <w:ilvl w:val="0"/>
          <w:numId w:val="1"/>
        </w:numPr>
        <w:kinsoku/>
        <w:wordWrap/>
        <w:overflowPunct/>
        <w:topLinePunct w:val="0"/>
        <w:autoSpaceDE/>
        <w:autoSpaceDN/>
        <w:bidi w:val="0"/>
        <w:spacing w:line="520" w:lineRule="exact"/>
        <w:ind w:firstLine="640" w:firstLineChars="200"/>
        <w:textAlignment w:val="auto"/>
        <w:rPr>
          <w:rFonts w:hint="eastAsia" w:ascii="仿宋" w:hAnsi="仿宋" w:eastAsia="仿宋" w:cs="仿宋"/>
          <w:color w:val="000000"/>
          <w:szCs w:val="32"/>
          <w:highlight w:val="none"/>
          <w:lang w:val="en-US" w:eastAsia="zh-CN"/>
        </w:rPr>
      </w:pPr>
      <w:r>
        <w:rPr>
          <w:rFonts w:hint="eastAsia" w:ascii="仿宋" w:hAnsi="仿宋" w:eastAsia="仿宋" w:cs="仿宋"/>
          <w:color w:val="000000"/>
          <w:szCs w:val="32"/>
          <w:highlight w:val="none"/>
          <w:lang w:val="en-US" w:eastAsia="zh-CN"/>
        </w:rPr>
        <w:t>该</w:t>
      </w:r>
      <w:r>
        <w:rPr>
          <w:rFonts w:hint="eastAsia" w:ascii="仿宋" w:hAnsi="仿宋" w:eastAsia="仿宋" w:cs="仿宋"/>
          <w:color w:val="000000"/>
          <w:szCs w:val="32"/>
          <w:highlight w:val="none"/>
        </w:rPr>
        <w:t>项目位于内蒙古自治区鄂尔多斯市鄂托克旗棋盘井镇鄂托克经济开发区棋盘井工业园棋西项目区内</w:t>
      </w:r>
      <w:r>
        <w:rPr>
          <w:rFonts w:hint="eastAsia" w:ascii="仿宋" w:hAnsi="仿宋" w:eastAsia="仿宋" w:cs="仿宋"/>
          <w:color w:val="000000"/>
          <w:szCs w:val="32"/>
          <w:highlight w:val="none"/>
          <w:lang w:val="en-US" w:eastAsia="zh-CN"/>
        </w:rPr>
        <w:t>。</w:t>
      </w:r>
      <w:r>
        <w:rPr>
          <w:rFonts w:hint="eastAsia" w:ascii="仿宋" w:hAnsi="仿宋" w:eastAsia="仿宋" w:cs="仿宋"/>
          <w:color w:val="000000"/>
          <w:szCs w:val="32"/>
          <w:highlight w:val="none"/>
          <w:lang w:val="zh-CN" w:eastAsia="zh-CN"/>
        </w:rPr>
        <w:t>本项目年生产2GW切片、2GW高效异质结电池及2GW异质结</w:t>
      </w:r>
      <w:r>
        <w:rPr>
          <w:rFonts w:hint="eastAsia" w:ascii="仿宋" w:hAnsi="仿宋" w:eastAsia="仿宋" w:cs="仿宋"/>
          <w:b w:val="0"/>
          <w:bCs w:val="0"/>
          <w:color w:val="auto"/>
          <w:sz w:val="32"/>
          <w:szCs w:val="32"/>
          <w:highlight w:val="none"/>
        </w:rPr>
        <w:t>光伏电池</w:t>
      </w:r>
      <w:r>
        <w:rPr>
          <w:rFonts w:hint="eastAsia" w:ascii="仿宋" w:hAnsi="仿宋" w:eastAsia="仿宋" w:cs="仿宋"/>
          <w:color w:val="000000"/>
          <w:szCs w:val="32"/>
          <w:highlight w:val="none"/>
          <w:lang w:val="zh-CN" w:eastAsia="zh-CN"/>
        </w:rPr>
        <w:t>组件。</w:t>
      </w:r>
      <w:r>
        <w:rPr>
          <w:rFonts w:hint="eastAsia" w:ascii="仿宋" w:hAnsi="仿宋" w:eastAsia="仿宋" w:cs="仿宋"/>
          <w:color w:val="000000"/>
          <w:szCs w:val="32"/>
          <w:highlight w:val="none"/>
          <w:lang w:val="en-US" w:eastAsia="zh-CN"/>
        </w:rPr>
        <w:t>主要建设内容包括</w:t>
      </w:r>
      <w:r>
        <w:rPr>
          <w:rFonts w:hint="eastAsia" w:ascii="仿宋" w:hAnsi="仿宋" w:eastAsia="仿宋" w:cs="仿宋"/>
          <w:b w:val="0"/>
          <w:bCs w:val="0"/>
          <w:color w:val="auto"/>
          <w:sz w:val="32"/>
          <w:szCs w:val="32"/>
          <w:highlight w:val="none"/>
        </w:rPr>
        <w:t>1</w:t>
      </w:r>
      <w:r>
        <w:rPr>
          <w:rFonts w:hint="eastAsia" w:ascii="仿宋" w:hAnsi="仿宋" w:eastAsia="仿宋" w:cs="仿宋"/>
          <w:b w:val="0"/>
          <w:bCs w:val="0"/>
          <w:color w:val="auto"/>
          <w:sz w:val="32"/>
          <w:szCs w:val="32"/>
          <w:highlight w:val="none"/>
          <w:lang w:val="en-US" w:eastAsia="zh-CN"/>
        </w:rPr>
        <w:t>座</w:t>
      </w:r>
      <w:r>
        <w:rPr>
          <w:rFonts w:hint="eastAsia" w:ascii="仿宋" w:hAnsi="仿宋" w:eastAsia="仿宋" w:cs="仿宋"/>
          <w:b w:val="0"/>
          <w:bCs w:val="0"/>
          <w:color w:val="auto"/>
          <w:sz w:val="32"/>
          <w:szCs w:val="32"/>
          <w:highlight w:val="none"/>
        </w:rPr>
        <w:t>2GW切片生产车间</w:t>
      </w:r>
      <w:r>
        <w:rPr>
          <w:rFonts w:hint="eastAsia" w:ascii="仿宋" w:hAnsi="仿宋" w:eastAsia="仿宋" w:cs="仿宋"/>
          <w:b w:val="0"/>
          <w:bCs w:val="0"/>
          <w:color w:val="auto"/>
          <w:sz w:val="32"/>
          <w:szCs w:val="32"/>
        </w:rPr>
        <w:t>、1</w:t>
      </w:r>
      <w:r>
        <w:rPr>
          <w:rFonts w:hint="eastAsia" w:ascii="仿宋" w:hAnsi="仿宋" w:eastAsia="仿宋" w:cs="仿宋"/>
          <w:b w:val="0"/>
          <w:bCs w:val="0"/>
          <w:color w:val="auto"/>
          <w:sz w:val="32"/>
          <w:szCs w:val="32"/>
          <w:lang w:val="en-US" w:eastAsia="zh-CN"/>
        </w:rPr>
        <w:t>座</w:t>
      </w:r>
      <w:r>
        <w:rPr>
          <w:rFonts w:hint="eastAsia" w:ascii="仿宋" w:hAnsi="仿宋" w:eastAsia="仿宋" w:cs="仿宋"/>
          <w:b w:val="0"/>
          <w:bCs w:val="0"/>
          <w:color w:val="auto"/>
          <w:sz w:val="32"/>
          <w:szCs w:val="32"/>
        </w:rPr>
        <w:t>2GW异质结光伏电池生产车间和1</w:t>
      </w:r>
      <w:r>
        <w:rPr>
          <w:rFonts w:hint="eastAsia" w:ascii="仿宋" w:hAnsi="仿宋" w:eastAsia="仿宋" w:cs="仿宋"/>
          <w:b w:val="0"/>
          <w:bCs w:val="0"/>
          <w:color w:val="auto"/>
          <w:sz w:val="32"/>
          <w:szCs w:val="32"/>
          <w:lang w:val="en-US" w:eastAsia="zh-CN"/>
        </w:rPr>
        <w:t>座</w:t>
      </w:r>
      <w:r>
        <w:rPr>
          <w:rFonts w:hint="eastAsia" w:ascii="仿宋" w:hAnsi="仿宋" w:eastAsia="仿宋" w:cs="仿宋"/>
          <w:b w:val="0"/>
          <w:bCs w:val="0"/>
          <w:color w:val="auto"/>
          <w:sz w:val="32"/>
          <w:szCs w:val="32"/>
        </w:rPr>
        <w:t>2GW异质结组件生产车间、1</w:t>
      </w:r>
      <w:r>
        <w:rPr>
          <w:rFonts w:hint="eastAsia" w:ascii="仿宋" w:hAnsi="仿宋" w:eastAsia="仿宋" w:cs="仿宋"/>
          <w:b w:val="0"/>
          <w:bCs w:val="0"/>
          <w:color w:val="auto"/>
          <w:sz w:val="32"/>
          <w:szCs w:val="32"/>
          <w:lang w:val="en-US" w:eastAsia="zh-CN"/>
        </w:rPr>
        <w:t>座</w:t>
      </w:r>
      <w:r>
        <w:rPr>
          <w:rFonts w:hint="eastAsia" w:ascii="仿宋" w:hAnsi="仿宋" w:eastAsia="仿宋" w:cs="仿宋"/>
          <w:b w:val="0"/>
          <w:bCs w:val="0"/>
          <w:color w:val="auto"/>
          <w:sz w:val="32"/>
          <w:szCs w:val="32"/>
        </w:rPr>
        <w:t>仓库、1</w:t>
      </w:r>
      <w:r>
        <w:rPr>
          <w:rFonts w:hint="eastAsia" w:ascii="仿宋" w:hAnsi="仿宋" w:eastAsia="仿宋" w:cs="仿宋"/>
          <w:b w:val="0"/>
          <w:bCs w:val="0"/>
          <w:color w:val="auto"/>
          <w:sz w:val="32"/>
          <w:szCs w:val="32"/>
          <w:lang w:val="en-US" w:eastAsia="zh-CN"/>
        </w:rPr>
        <w:t>座</w:t>
      </w:r>
      <w:r>
        <w:rPr>
          <w:rFonts w:hint="eastAsia" w:ascii="仿宋" w:hAnsi="仿宋" w:eastAsia="仿宋" w:cs="仿宋"/>
          <w:b w:val="0"/>
          <w:bCs w:val="0"/>
          <w:color w:val="auto"/>
          <w:sz w:val="32"/>
          <w:szCs w:val="32"/>
        </w:rPr>
        <w:t>废水站以及配套</w:t>
      </w:r>
      <w:r>
        <w:rPr>
          <w:rFonts w:hint="eastAsia" w:ascii="仿宋" w:hAnsi="仿宋" w:eastAsia="仿宋" w:cs="仿宋"/>
          <w:b w:val="0"/>
          <w:bCs w:val="0"/>
          <w:color w:val="auto"/>
          <w:sz w:val="32"/>
          <w:szCs w:val="32"/>
          <w:lang w:val="en-US" w:eastAsia="zh-CN"/>
        </w:rPr>
        <w:t>环保公</w:t>
      </w:r>
      <w:r>
        <w:rPr>
          <w:rFonts w:hint="eastAsia" w:ascii="仿宋" w:hAnsi="仿宋" w:eastAsia="仿宋" w:cs="仿宋"/>
          <w:b w:val="0"/>
          <w:bCs w:val="0"/>
          <w:color w:val="auto"/>
          <w:sz w:val="32"/>
          <w:szCs w:val="32"/>
        </w:rPr>
        <w:t>辅设施等</w:t>
      </w:r>
      <w:r>
        <w:rPr>
          <w:rFonts w:hint="eastAsia" w:ascii="仿宋" w:hAnsi="仿宋" w:eastAsia="仿宋" w:cs="仿宋"/>
          <w:color w:val="000000"/>
          <w:szCs w:val="32"/>
          <w:highlight w:val="none"/>
          <w:lang w:val="en-US" w:eastAsia="zh-CN"/>
        </w:rPr>
        <w:t>。项目总投资</w:t>
      </w:r>
      <w:r>
        <w:rPr>
          <w:rFonts w:hint="eastAsia" w:ascii="仿宋" w:hAnsi="仿宋" w:eastAsia="仿宋" w:cs="仿宋"/>
          <w:b w:val="0"/>
          <w:bCs w:val="0"/>
          <w:color w:val="auto"/>
          <w:sz w:val="32"/>
          <w:szCs w:val="32"/>
          <w:lang w:val="en-US" w:eastAsia="zh-CN"/>
        </w:rPr>
        <w:t>226964.25</w:t>
      </w:r>
      <w:r>
        <w:rPr>
          <w:rFonts w:hint="eastAsia" w:ascii="仿宋" w:hAnsi="仿宋" w:eastAsia="仿宋" w:cs="仿宋"/>
          <w:b w:val="0"/>
          <w:bCs w:val="0"/>
          <w:color w:val="auto"/>
          <w:sz w:val="32"/>
          <w:szCs w:val="32"/>
        </w:rPr>
        <w:t>万元，其中环保投资为10814万元</w:t>
      </w:r>
      <w:r>
        <w:rPr>
          <w:rFonts w:hint="eastAsia" w:ascii="仿宋" w:hAnsi="仿宋" w:eastAsia="仿宋" w:cs="仿宋"/>
          <w:color w:val="000000"/>
          <w:szCs w:val="32"/>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报告书》和《技术评估报告》认为，在全面落实各项生态环境保护和环境污染防治措施的前提下，项目建设对环境的不利影响能够得到一定的缓解和控制。因此，我局原则同意你公司按照《报告书》和《技术评估报告》中所列的建设项目性质、规模、地点、工艺、环境保护措施进行建设。</w:t>
      </w:r>
    </w:p>
    <w:p>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rPr>
        <w:t>二、项目建设与运行管理中应重点做好的工作：</w:t>
      </w:r>
    </w:p>
    <w:p>
      <w:pPr>
        <w:keepNext w:val="0"/>
        <w:keepLines w:val="0"/>
        <w:pageBreakBefore w:val="0"/>
        <w:widowControl w:val="0"/>
        <w:kinsoku/>
        <w:wordWrap/>
        <w:overflowPunct/>
        <w:topLinePunct w:val="0"/>
        <w:autoSpaceDE/>
        <w:autoSpaceDN/>
        <w:bidi w:val="0"/>
        <w:spacing w:line="520" w:lineRule="exact"/>
        <w:ind w:firstLine="640" w:firstLineChars="200"/>
        <w:textAlignment w:val="auto"/>
        <w:rPr>
          <w:rFonts w:hint="eastAsia" w:ascii="仿宋" w:hAnsi="仿宋" w:eastAsia="仿宋" w:cs="仿宋"/>
          <w:color w:val="000000"/>
          <w:szCs w:val="32"/>
          <w:highlight w:val="yellow"/>
        </w:rPr>
      </w:pPr>
      <w:r>
        <w:rPr>
          <w:rFonts w:hint="eastAsia" w:ascii="仿宋" w:hAnsi="仿宋" w:eastAsia="仿宋" w:cs="仿宋"/>
          <w:color w:val="000000"/>
          <w:szCs w:val="32"/>
          <w:highlight w:val="none"/>
        </w:rPr>
        <w:t>1.</w:t>
      </w:r>
      <w:r>
        <w:rPr>
          <w:rFonts w:hint="eastAsia" w:ascii="仿宋" w:hAnsi="仿宋" w:eastAsia="仿宋" w:cs="仿宋"/>
          <w:highlight w:val="none"/>
        </w:rPr>
        <w:t>加</w:t>
      </w:r>
      <w:r>
        <w:rPr>
          <w:rFonts w:hint="eastAsia" w:ascii="仿宋" w:hAnsi="仿宋" w:eastAsia="仿宋" w:cs="仿宋"/>
        </w:rPr>
        <w:t>强施工期环境管理，土石方开挖及设备安装过程中应严格按照设计要求施工，尽可能缩小施工活动范围，并及时采取场地洒水等措施，减少裸露土地面积和扬尘。施工场界设围墙或遮挡物；定时对施工现场扬尘区及道路洒水；严禁在施工场地焚烧废弃物。加强车辆运输的密闭管理。施工期产生的废水和固体废弃物须集中收集后统一处置。</w:t>
      </w:r>
    </w:p>
    <w:p>
      <w:pPr>
        <w:pStyle w:val="9"/>
        <w:keepNext w:val="0"/>
        <w:keepLines w:val="0"/>
        <w:pageBreakBefore w:val="0"/>
        <w:widowControl w:val="0"/>
        <w:kinsoku/>
        <w:wordWrap/>
        <w:overflowPunct/>
        <w:topLinePunct w:val="0"/>
        <w:autoSpaceDE/>
        <w:autoSpaceDN/>
        <w:bidi w:val="0"/>
        <w:spacing w:after="0" w:line="520" w:lineRule="exact"/>
        <w:ind w:firstLine="640" w:firstLineChars="200"/>
        <w:textAlignment w:val="auto"/>
        <w:rPr>
          <w:rFonts w:hint="eastAsia" w:ascii="仿宋" w:hAnsi="仿宋" w:eastAsia="仿宋" w:cs="仿宋"/>
          <w:color w:val="000000"/>
          <w:szCs w:val="32"/>
          <w:highlight w:val="none"/>
          <w:lang w:val="en-US" w:eastAsia="zh-CN"/>
        </w:rPr>
      </w:pPr>
      <w:r>
        <w:rPr>
          <w:rFonts w:hint="eastAsia" w:ascii="仿宋" w:hAnsi="仿宋" w:eastAsia="仿宋" w:cs="仿宋"/>
          <w:color w:val="000000"/>
          <w:szCs w:val="32"/>
          <w:highlight w:val="none"/>
        </w:rPr>
        <w:t>2.认真落实《报告书》中提出的大气污染防治措施。</w:t>
      </w:r>
      <w:r>
        <w:rPr>
          <w:rFonts w:hint="eastAsia" w:ascii="仿宋" w:hAnsi="仿宋" w:eastAsia="仿宋" w:cs="仿宋"/>
          <w:color w:val="000000"/>
          <w:szCs w:val="32"/>
          <w:highlight w:val="none"/>
          <w:lang w:eastAsia="zh-CN"/>
        </w:rPr>
        <w:t>切片生产工序粘棒废气采取集气罩</w:t>
      </w:r>
      <w:r>
        <w:rPr>
          <w:rFonts w:hint="eastAsia" w:ascii="仿宋" w:hAnsi="仿宋" w:eastAsia="仿宋" w:cs="仿宋"/>
          <w:color w:val="000000"/>
          <w:szCs w:val="32"/>
          <w:highlight w:val="none"/>
          <w:lang w:val="en-US" w:eastAsia="zh-CN"/>
        </w:rPr>
        <w:t>+活性炭吸附措施后非甲烷总烃排放满足《大气污染物综合排放标准》（GB16297-1996）表2二级标准；电池生产工序酸性废气经管道收集后采取二级碱液喷淋塔吸收处理后氟化物、氯化氢、氯气排放满足《电池工业污染物排放标准》（GB30484-2013）中表5要求；电池生产沉积废气、腔体清洁废气采取等离子水洗式尾气处理设备+二级碱液洗涤塔处理后，</w:t>
      </w:r>
      <w:r>
        <w:rPr>
          <w:rFonts w:hint="eastAsia" w:ascii="仿宋" w:hAnsi="仿宋" w:eastAsia="仿宋" w:cs="仿宋"/>
          <w:color w:val="000000"/>
          <w:szCs w:val="32"/>
          <w:highlight w:val="none"/>
        </w:rPr>
        <w:t>颗粒物</w:t>
      </w:r>
      <w:r>
        <w:rPr>
          <w:rFonts w:hint="eastAsia" w:ascii="仿宋" w:hAnsi="仿宋" w:eastAsia="仿宋" w:cs="仿宋"/>
          <w:color w:val="000000"/>
          <w:szCs w:val="32"/>
          <w:highlight w:val="none"/>
          <w:lang w:eastAsia="zh-CN"/>
        </w:rPr>
        <w:t>、</w:t>
      </w:r>
      <w:r>
        <w:rPr>
          <w:rFonts w:hint="eastAsia" w:ascii="仿宋" w:hAnsi="仿宋" w:eastAsia="仿宋" w:cs="仿宋"/>
          <w:color w:val="000000"/>
          <w:szCs w:val="32"/>
          <w:highlight w:val="none"/>
          <w:lang w:val="en-US" w:eastAsia="zh-CN"/>
        </w:rPr>
        <w:t>氮氧化物</w:t>
      </w:r>
      <w:r>
        <w:rPr>
          <w:rFonts w:hint="eastAsia" w:ascii="仿宋" w:hAnsi="仿宋" w:eastAsia="仿宋" w:cs="仿宋"/>
          <w:color w:val="000000"/>
          <w:szCs w:val="32"/>
          <w:highlight w:val="none"/>
          <w:lang w:eastAsia="zh-CN"/>
        </w:rPr>
        <w:t>、</w:t>
      </w:r>
      <w:r>
        <w:rPr>
          <w:rFonts w:hint="eastAsia" w:ascii="仿宋" w:hAnsi="仿宋" w:eastAsia="仿宋" w:cs="仿宋"/>
          <w:color w:val="000000"/>
          <w:szCs w:val="32"/>
          <w:highlight w:val="none"/>
        </w:rPr>
        <w:t>氟化物</w:t>
      </w:r>
      <w:r>
        <w:rPr>
          <w:rFonts w:hint="eastAsia" w:ascii="仿宋" w:hAnsi="仿宋" w:eastAsia="仿宋" w:cs="仿宋"/>
          <w:color w:val="000000"/>
          <w:szCs w:val="32"/>
          <w:highlight w:val="none"/>
          <w:lang w:eastAsia="zh-CN"/>
        </w:rPr>
        <w:t>、</w:t>
      </w:r>
      <w:r>
        <w:rPr>
          <w:rFonts w:hint="eastAsia" w:ascii="仿宋" w:hAnsi="仿宋" w:eastAsia="仿宋" w:cs="仿宋"/>
          <w:color w:val="000000"/>
          <w:szCs w:val="32"/>
          <w:highlight w:val="none"/>
        </w:rPr>
        <w:t>非甲烷总烃</w:t>
      </w:r>
      <w:r>
        <w:rPr>
          <w:rFonts w:hint="eastAsia" w:ascii="仿宋" w:hAnsi="仿宋" w:eastAsia="仿宋" w:cs="仿宋"/>
          <w:color w:val="000000"/>
          <w:szCs w:val="32"/>
          <w:highlight w:val="none"/>
          <w:lang w:val="en-US" w:eastAsia="zh-CN"/>
        </w:rPr>
        <w:t>排放满足《电池工业污染物排放标准》（GB30484-2013）中表5要求；电池生产硅烷尾气采取燃烧桶+集尘机+水洗塔处理处理后，颗粒物排放满足《电池工业污染物排放标准》（GB30484-2013）中表5要求；电池生产工序印刷、烘干、固化废气采取活性炭吸附处理后与吸附饱和的活性炭脱附后经催化燃烧装置处理后废气通过1根排气筒排放，非甲烷总烃排放满足《电池工业污染物排放标准》（GB30484-2013）中表5要求；组件生产工序层压废气、密封胶挥发废气、灌封胶挥发废气、组件清洗酒精挥发废气经管道收集后采取活性炭吸附处理后与吸附饱和的活性炭脱附后经催化燃烧装置处理后废气通过1根排气筒排放，非甲烷总烃排放满足《电池工业污染物排放标准》（GB30484-2013）中表5要求；组件工序激光划片废气、焊接废气采用布袋除尘器+活性炭吸附处理后与吸附饱和的活性炭脱附后经催化燃烧装置处理后废气通过1根排气筒排放，非甲烷总烃、颗粒物排放满足《电池工业污染物排放标准》（GB30484-2013）中表5要求，锡及其化合物排放满足《大气污染物综合排放标准》（GB16297-1996）表2二级标准；生产废水处理站废气采用二级碱液喷淋吸收塔处理后，氟化物排放满足《电池工业污染物排放标准》（GB30484-2013）中表5要求；办公生活污水处理站废气经活性炭吸附装置处理后，氨、硫化氢、臭气浓度排放满足《恶臭污染物排放标准》（GB14554-93）表2要求；危废间废气经活性炭吸附装置处理后，非甲烷总烃排放满足《大气污染物综合排放标准》（GB16297-1996）表2二级标准。</w:t>
      </w:r>
    </w:p>
    <w:p>
      <w:pPr>
        <w:pStyle w:val="9"/>
        <w:keepNext w:val="0"/>
        <w:keepLines w:val="0"/>
        <w:pageBreakBefore w:val="0"/>
        <w:widowControl w:val="0"/>
        <w:kinsoku/>
        <w:wordWrap/>
        <w:overflowPunct/>
        <w:topLinePunct w:val="0"/>
        <w:autoSpaceDE/>
        <w:autoSpaceDN/>
        <w:bidi w:val="0"/>
        <w:spacing w:after="0" w:line="520" w:lineRule="exact"/>
        <w:ind w:firstLine="640" w:firstLineChars="200"/>
        <w:textAlignment w:val="auto"/>
        <w:rPr>
          <w:rFonts w:hint="eastAsia" w:ascii="仿宋" w:hAnsi="仿宋" w:eastAsia="仿宋" w:cs="仿宋"/>
          <w:b w:val="0"/>
          <w:bCs w:val="0"/>
          <w:color w:val="auto"/>
          <w:sz w:val="32"/>
        </w:rPr>
      </w:pPr>
      <w:r>
        <w:rPr>
          <w:rFonts w:hint="eastAsia" w:ascii="仿宋" w:hAnsi="仿宋" w:eastAsia="仿宋" w:cs="仿宋"/>
          <w:b w:val="0"/>
          <w:bCs w:val="0"/>
          <w:color w:val="auto"/>
          <w:sz w:val="32"/>
        </w:rPr>
        <w:t>无组织排放的氯化氢、氟化物、氮氧化物、颗粒物、氯气、非甲烷总烃满足《电池工业污染物排放标准》（GB30484-2013）中无组织排放限值要求，锡及其化合物满足《大气污染物综合排放标准》（GB16297-1996）无组织排放要求，厂区内挥发性有机物无组织排放执行《挥发性有机物无组织排放控制标准》（GB37822-2019）厂区内无组织排放限值要求。</w:t>
      </w:r>
    </w:p>
    <w:p>
      <w:pPr>
        <w:pStyle w:val="9"/>
        <w:keepNext w:val="0"/>
        <w:keepLines w:val="0"/>
        <w:pageBreakBefore w:val="0"/>
        <w:widowControl w:val="0"/>
        <w:numPr>
          <w:ilvl w:val="0"/>
          <w:numId w:val="0"/>
        </w:numPr>
        <w:kinsoku/>
        <w:wordWrap/>
        <w:overflowPunct/>
        <w:topLinePunct w:val="0"/>
        <w:autoSpaceDE/>
        <w:autoSpaceDN/>
        <w:bidi w:val="0"/>
        <w:spacing w:after="0" w:line="520" w:lineRule="exact"/>
        <w:ind w:firstLine="640" w:firstLineChars="200"/>
        <w:textAlignment w:val="auto"/>
        <w:rPr>
          <w:rFonts w:hint="eastAsia" w:ascii="仿宋" w:hAnsi="仿宋" w:eastAsia="仿宋" w:cs="仿宋"/>
          <w:b w:val="0"/>
          <w:bCs w:val="0"/>
          <w:color w:val="auto"/>
          <w:sz w:val="32"/>
          <w:lang w:val="en-US" w:eastAsia="zh-CN"/>
        </w:rPr>
      </w:pPr>
      <w:r>
        <w:rPr>
          <w:rFonts w:hint="eastAsia" w:ascii="仿宋" w:hAnsi="仿宋" w:eastAsia="仿宋" w:cs="仿宋"/>
          <w:color w:val="000000"/>
          <w:szCs w:val="32"/>
          <w:highlight w:val="none"/>
          <w:lang w:val="en-US" w:eastAsia="zh-CN"/>
        </w:rPr>
        <w:t>3.</w:t>
      </w:r>
      <w:r>
        <w:rPr>
          <w:rFonts w:hint="eastAsia" w:ascii="仿宋" w:hAnsi="仿宋" w:eastAsia="仿宋" w:cs="仿宋"/>
          <w:color w:val="000000"/>
          <w:szCs w:val="32"/>
          <w:highlight w:val="none"/>
        </w:rPr>
        <w:t>按照《报告书》</w:t>
      </w:r>
      <w:r>
        <w:rPr>
          <w:rFonts w:hint="eastAsia" w:ascii="仿宋" w:hAnsi="仿宋" w:eastAsia="仿宋" w:cs="仿宋"/>
          <w:color w:val="000000"/>
          <w:szCs w:val="32"/>
          <w:highlight w:val="none"/>
          <w:lang w:val="en-US" w:eastAsia="zh-CN"/>
        </w:rPr>
        <w:t>中的</w:t>
      </w:r>
      <w:r>
        <w:rPr>
          <w:rFonts w:hint="eastAsia" w:ascii="仿宋" w:hAnsi="仿宋" w:eastAsia="仿宋" w:cs="仿宋"/>
          <w:color w:val="000000"/>
          <w:szCs w:val="32"/>
          <w:highlight w:val="none"/>
        </w:rPr>
        <w:t>相关要求，强化废水处理与回用，实行雨污分流、清污分流。</w:t>
      </w:r>
      <w:r>
        <w:rPr>
          <w:rFonts w:hint="eastAsia" w:ascii="仿宋" w:hAnsi="仿宋" w:eastAsia="仿宋" w:cs="仿宋"/>
          <w:b w:val="0"/>
          <w:bCs w:val="0"/>
          <w:color w:val="auto"/>
          <w:sz w:val="32"/>
          <w:lang w:val="en-US" w:eastAsia="zh-CN"/>
        </w:rPr>
        <w:t>电池生产工序碱性废水、电池生产工序酸性废水、组件生产工序废水、切片生产废水、酸液喷淋塔废水、碱液喷淋塔废水、二级碱液喷淋塔废水、等离子尾气处理器废水、硅烷尾气水洗塔废水、废水站喷淋塔废水、循环水系统含盐水全部排入厂区生产废水处理站处理，处理后达到《城市污水再生利用 工业用水水质》（GB/T19923-2005）回用水标准后回用；纯水制备含盐水通过MVR蒸发装置进行处理，MVR蒸发冷凝水集中收集后全部回用至纯水站内作为纯水制备原水；生活污水经隔油池、化粪池处理后进入生活污水处理站处理，处理达到《电池工业污染物排放标准》（GB 30484-2013）表2间接排放标准限值及《污水综合排放标准》（GB8978-1996）三级标准排至园区污水处理厂处理。</w:t>
      </w:r>
    </w:p>
    <w:p>
      <w:pPr>
        <w:pStyle w:val="4"/>
        <w:keepNext w:val="0"/>
        <w:keepLines w:val="0"/>
        <w:pageBreakBefore w:val="0"/>
        <w:widowControl w:val="0"/>
        <w:kinsoku/>
        <w:wordWrap/>
        <w:overflowPunct/>
        <w:topLinePunct w:val="0"/>
        <w:autoSpaceDE/>
        <w:autoSpaceDN/>
        <w:bidi w:val="0"/>
        <w:spacing w:line="520" w:lineRule="exact"/>
        <w:ind w:firstLine="640"/>
        <w:textAlignment w:val="auto"/>
        <w:rPr>
          <w:rFonts w:hint="eastAsia" w:ascii="仿宋" w:hAnsi="仿宋" w:eastAsia="仿宋" w:cs="仿宋"/>
          <w:szCs w:val="32"/>
          <w:lang w:eastAsia="zh-CN"/>
        </w:rPr>
      </w:pPr>
      <w:r>
        <w:rPr>
          <w:rFonts w:hint="eastAsia" w:ascii="仿宋" w:hAnsi="仿宋" w:eastAsia="仿宋" w:cs="仿宋"/>
          <w:szCs w:val="32"/>
          <w:lang w:val="en-US" w:eastAsia="zh-CN"/>
        </w:rPr>
        <w:t>4.</w:t>
      </w:r>
      <w:r>
        <w:rPr>
          <w:rFonts w:hint="eastAsia" w:ascii="仿宋" w:hAnsi="仿宋" w:eastAsia="仿宋" w:cs="仿宋"/>
          <w:szCs w:val="32"/>
        </w:rPr>
        <w:t>切实落实地下水</w:t>
      </w:r>
      <w:r>
        <w:rPr>
          <w:rFonts w:hint="eastAsia" w:ascii="仿宋" w:hAnsi="仿宋" w:eastAsia="仿宋" w:cs="仿宋"/>
          <w:szCs w:val="32"/>
          <w:lang w:val="en-US" w:eastAsia="zh-CN"/>
        </w:rPr>
        <w:t>和土壤</w:t>
      </w:r>
      <w:r>
        <w:rPr>
          <w:rFonts w:hint="eastAsia" w:ascii="仿宋" w:hAnsi="仿宋" w:eastAsia="仿宋" w:cs="仿宋"/>
          <w:szCs w:val="32"/>
        </w:rPr>
        <w:t>污染防治措施。结合区域地下水分布现状、水文地质条件和防渗措施，进一步优化重点污染防治区平面</w:t>
      </w:r>
      <w:r>
        <w:rPr>
          <w:rFonts w:hint="eastAsia" w:ascii="仿宋" w:hAnsi="仿宋" w:eastAsia="仿宋" w:cs="仿宋"/>
          <w:color w:val="000000"/>
          <w:szCs w:val="32"/>
          <w:highlight w:val="none"/>
          <w:lang w:val="en-US" w:eastAsia="zh-CN"/>
        </w:rPr>
        <w:t>布置，严格按照《报告书》的要求，对重点污染防治区、一般污染防治区等采取分区防渗措施。设置3个地下水监测井，</w:t>
      </w:r>
      <w:r>
        <w:rPr>
          <w:rFonts w:hint="eastAsia" w:ascii="仿宋" w:hAnsi="仿宋" w:eastAsia="仿宋" w:cs="仿宋"/>
          <w:b w:val="0"/>
          <w:bCs w:val="0"/>
          <w:color w:val="auto"/>
          <w:sz w:val="32"/>
        </w:rPr>
        <w:t>分别在厂区北厂界设1口地下水监测井、厂区内危险化学品车间北侧布设1口地下水监测井、厂区内危废间北侧设1口地下水监测井</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每半年监测1次。</w:t>
      </w:r>
    </w:p>
    <w:p>
      <w:pPr>
        <w:keepNext w:val="0"/>
        <w:keepLines w:val="0"/>
        <w:pageBreakBefore w:val="0"/>
        <w:widowControl w:val="0"/>
        <w:numPr>
          <w:ilvl w:val="0"/>
          <w:numId w:val="0"/>
        </w:numPr>
        <w:kinsoku/>
        <w:wordWrap/>
        <w:overflowPunct/>
        <w:topLinePunct w:val="0"/>
        <w:autoSpaceDE/>
        <w:autoSpaceDN/>
        <w:bidi w:val="0"/>
        <w:spacing w:line="520" w:lineRule="exact"/>
        <w:ind w:firstLine="640" w:firstLineChars="200"/>
        <w:textAlignment w:val="auto"/>
        <w:rPr>
          <w:rFonts w:hint="eastAsia" w:ascii="仿宋" w:hAnsi="仿宋" w:eastAsia="仿宋" w:cs="仿宋"/>
          <w:szCs w:val="32"/>
        </w:rPr>
      </w:pPr>
      <w:r>
        <w:rPr>
          <w:rFonts w:hint="eastAsia" w:ascii="仿宋" w:hAnsi="仿宋" w:eastAsia="仿宋" w:cs="仿宋"/>
          <w:szCs w:val="32"/>
          <w:lang w:val="en-US" w:eastAsia="zh-CN"/>
        </w:rPr>
        <w:t>5.</w:t>
      </w:r>
      <w:r>
        <w:rPr>
          <w:rFonts w:hint="eastAsia" w:ascii="仿宋" w:hAnsi="仿宋" w:eastAsia="仿宋" w:cs="仿宋"/>
          <w:szCs w:val="32"/>
        </w:rPr>
        <w:t>强化声环境保护措施，优先选用低噪声设备，采取减</w:t>
      </w:r>
      <w:r>
        <w:rPr>
          <w:rFonts w:hint="eastAsia" w:ascii="仿宋" w:hAnsi="仿宋" w:eastAsia="仿宋" w:cs="仿宋"/>
          <w:szCs w:val="32"/>
          <w:lang w:val="en-US" w:eastAsia="zh-CN"/>
        </w:rPr>
        <w:t>振</w:t>
      </w:r>
      <w:r>
        <w:rPr>
          <w:rFonts w:hint="eastAsia" w:ascii="仿宋" w:hAnsi="仿宋" w:eastAsia="仿宋" w:cs="仿宋"/>
          <w:szCs w:val="32"/>
        </w:rPr>
        <w:t>、隔声、消声等降噪措施，确保厂界噪声满足《工业企业厂界环境噪声排放标准》（GB12348-2008）3类标准限值要求。</w:t>
      </w:r>
    </w:p>
    <w:p>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color w:val="000000"/>
          <w:szCs w:val="32"/>
          <w:highlight w:val="none"/>
          <w:lang w:val="en-US" w:eastAsia="zh-CN"/>
        </w:rPr>
        <w:t>6.根据《报告书》和《技术评估报告》提出的固废污染防治措施，做好固体废物处置工作。建设单位须严格按照《一般工业固体废物贮存和填埋污染控制标准》（GB 18599-2020）及《危险废物贮存污染控制标准》（GB18597-2023）</w:t>
      </w:r>
      <w:r>
        <w:rPr>
          <w:rFonts w:hint="eastAsia" w:ascii="仿宋" w:hAnsi="仿宋" w:eastAsia="仿宋" w:cs="仿宋"/>
          <w:color w:val="auto"/>
          <w:szCs w:val="32"/>
        </w:rPr>
        <w:t>进行设计、建设和管理</w:t>
      </w:r>
      <w:r>
        <w:rPr>
          <w:rFonts w:hint="eastAsia" w:ascii="仿宋" w:hAnsi="仿宋" w:eastAsia="仿宋" w:cs="仿宋"/>
          <w:color w:val="auto"/>
          <w:szCs w:val="32"/>
          <w:lang w:eastAsia="zh-CN"/>
        </w:rPr>
        <w:t>，</w:t>
      </w:r>
      <w:r>
        <w:rPr>
          <w:rFonts w:hint="eastAsia" w:ascii="仿宋" w:hAnsi="仿宋" w:eastAsia="仿宋" w:cs="仿宋"/>
          <w:b w:val="0"/>
          <w:bCs w:val="0"/>
          <w:color w:val="auto"/>
          <w:sz w:val="32"/>
          <w:lang w:val="en-US" w:eastAsia="zh-CN"/>
        </w:rPr>
        <w:t>建设</w:t>
      </w:r>
      <w:r>
        <w:rPr>
          <w:rFonts w:hint="eastAsia" w:ascii="仿宋" w:hAnsi="仿宋" w:eastAsia="仿宋" w:cs="仿宋"/>
          <w:b w:val="0"/>
          <w:bCs w:val="0"/>
          <w:color w:val="auto"/>
          <w:sz w:val="32"/>
        </w:rPr>
        <w:t>1座</w:t>
      </w:r>
      <w:r>
        <w:rPr>
          <w:rFonts w:hint="eastAsia" w:ascii="仿宋" w:hAnsi="仿宋" w:eastAsia="仿宋" w:cs="仿宋"/>
          <w:b w:val="0"/>
          <w:bCs w:val="0"/>
          <w:color w:val="auto"/>
          <w:sz w:val="32"/>
          <w:lang w:val="en-US" w:eastAsia="zh-CN"/>
        </w:rPr>
        <w:t>720</w:t>
      </w:r>
      <w:r>
        <w:rPr>
          <w:rFonts w:hint="eastAsia" w:ascii="仿宋" w:hAnsi="仿宋" w:eastAsia="仿宋" w:cs="仿宋"/>
          <w:b w:val="0"/>
          <w:bCs w:val="0"/>
          <w:color w:val="auto"/>
          <w:sz w:val="32"/>
        </w:rPr>
        <w:t>平方米一般固废在暂存间</w:t>
      </w:r>
      <w:r>
        <w:rPr>
          <w:rFonts w:hint="eastAsia" w:ascii="仿宋" w:hAnsi="仿宋" w:eastAsia="仿宋" w:cs="仿宋"/>
          <w:b w:val="0"/>
          <w:bCs w:val="0"/>
          <w:color w:val="auto"/>
          <w:sz w:val="32"/>
          <w:lang w:val="en-US" w:eastAsia="zh-CN"/>
        </w:rPr>
        <w:t>和</w:t>
      </w:r>
      <w:r>
        <w:rPr>
          <w:rFonts w:hint="eastAsia" w:ascii="仿宋" w:hAnsi="仿宋" w:eastAsia="仿宋" w:cs="仿宋"/>
          <w:b w:val="0"/>
          <w:bCs w:val="0"/>
          <w:color w:val="auto"/>
          <w:sz w:val="32"/>
        </w:rPr>
        <w:t>1座</w:t>
      </w:r>
      <w:r>
        <w:rPr>
          <w:rFonts w:hint="eastAsia" w:ascii="仿宋" w:hAnsi="仿宋" w:eastAsia="仿宋" w:cs="仿宋"/>
          <w:b w:val="0"/>
          <w:bCs w:val="0"/>
          <w:color w:val="auto"/>
          <w:sz w:val="32"/>
          <w:lang w:val="en-US" w:eastAsia="zh-CN"/>
        </w:rPr>
        <w:t>300</w:t>
      </w:r>
      <w:r>
        <w:rPr>
          <w:rFonts w:hint="eastAsia" w:ascii="仿宋" w:hAnsi="仿宋" w:eastAsia="仿宋" w:cs="仿宋"/>
          <w:b w:val="0"/>
          <w:bCs w:val="0"/>
          <w:color w:val="auto"/>
          <w:sz w:val="32"/>
        </w:rPr>
        <w:t>平方米</w:t>
      </w:r>
      <w:r>
        <w:rPr>
          <w:rFonts w:hint="eastAsia" w:ascii="仿宋" w:hAnsi="仿宋" w:eastAsia="仿宋" w:cs="仿宋"/>
          <w:b w:val="0"/>
          <w:bCs w:val="0"/>
          <w:color w:val="auto"/>
          <w:sz w:val="32"/>
          <w:lang w:eastAsia="zh-CN"/>
        </w:rPr>
        <w:t>的</w:t>
      </w:r>
      <w:r>
        <w:rPr>
          <w:rFonts w:hint="eastAsia" w:ascii="仿宋" w:hAnsi="仿宋" w:eastAsia="仿宋" w:cs="仿宋"/>
          <w:b w:val="0"/>
          <w:bCs w:val="0"/>
          <w:color w:val="auto"/>
          <w:sz w:val="32"/>
        </w:rPr>
        <w:t>危险废物暂存间</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废硅料</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废靶材</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废气瓶</w:t>
      </w:r>
      <w:r>
        <w:rPr>
          <w:rFonts w:hint="eastAsia" w:ascii="仿宋" w:hAnsi="仿宋" w:eastAsia="仿宋" w:cs="仿宋"/>
          <w:b w:val="0"/>
          <w:bCs w:val="0"/>
          <w:color w:val="auto"/>
          <w:sz w:val="32"/>
          <w:lang w:val="en-US" w:eastAsia="zh-CN"/>
        </w:rPr>
        <w:t>由厂家回收，</w:t>
      </w:r>
      <w:r>
        <w:rPr>
          <w:rFonts w:hint="eastAsia" w:ascii="仿宋" w:hAnsi="仿宋" w:eastAsia="仿宋" w:cs="仿宋"/>
          <w:b w:val="0"/>
          <w:bCs w:val="0"/>
          <w:color w:val="auto"/>
          <w:sz w:val="32"/>
        </w:rPr>
        <w:t>印刷不合格品</w:t>
      </w:r>
      <w:r>
        <w:rPr>
          <w:rFonts w:hint="eastAsia" w:ascii="仿宋" w:hAnsi="仿宋" w:eastAsia="仿宋" w:cs="仿宋"/>
          <w:b w:val="0"/>
          <w:bCs w:val="0"/>
          <w:color w:val="auto"/>
          <w:sz w:val="32"/>
          <w:lang w:eastAsia="zh-CN"/>
        </w:rPr>
        <w:t>、产品包装</w:t>
      </w:r>
      <w:r>
        <w:rPr>
          <w:rFonts w:hint="eastAsia" w:ascii="仿宋" w:hAnsi="仿宋" w:eastAsia="仿宋" w:cs="仿宋"/>
          <w:b w:val="0"/>
          <w:bCs w:val="0"/>
          <w:color w:val="auto"/>
          <w:sz w:val="32"/>
        </w:rPr>
        <w:t>废包装材料</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废焊带</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收集的粉尘</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废金刚砂线</w:t>
      </w:r>
      <w:r>
        <w:rPr>
          <w:rFonts w:hint="eastAsia" w:ascii="仿宋" w:hAnsi="仿宋" w:eastAsia="仿宋" w:cs="仿宋"/>
          <w:b w:val="0"/>
          <w:bCs w:val="0"/>
          <w:color w:val="auto"/>
          <w:sz w:val="32"/>
          <w:lang w:val="en-US" w:eastAsia="zh-CN"/>
        </w:rPr>
        <w:t>等由物资回收单位综合利用；危险废物</w:t>
      </w:r>
      <w:r>
        <w:rPr>
          <w:rFonts w:hint="eastAsia" w:ascii="仿宋" w:hAnsi="仿宋" w:eastAsia="仿宋" w:cs="仿宋"/>
          <w:b w:val="0"/>
          <w:bCs w:val="0"/>
          <w:color w:val="auto"/>
          <w:sz w:val="32"/>
        </w:rPr>
        <w:t>废活性炭</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废催化剂</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废包装桶</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废胶桶内袋</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废胶</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废润滑油</w:t>
      </w:r>
      <w:r>
        <w:rPr>
          <w:rFonts w:hint="eastAsia" w:ascii="仿宋" w:hAnsi="仿宋" w:eastAsia="仿宋" w:cs="仿宋"/>
          <w:b w:val="0"/>
          <w:bCs w:val="0"/>
          <w:color w:val="auto"/>
          <w:sz w:val="32"/>
          <w:lang w:eastAsia="zh-CN"/>
        </w:rPr>
        <w:t>、废油桶、</w:t>
      </w:r>
      <w:r>
        <w:rPr>
          <w:rFonts w:hint="eastAsia" w:ascii="仿宋" w:hAnsi="仿宋" w:eastAsia="仿宋" w:cs="仿宋"/>
          <w:b w:val="0"/>
          <w:bCs w:val="0"/>
          <w:color w:val="auto"/>
          <w:sz w:val="32"/>
        </w:rPr>
        <w:t>含油废抹布</w:t>
      </w:r>
      <w:r>
        <w:rPr>
          <w:rFonts w:hint="eastAsia" w:ascii="仿宋" w:hAnsi="仿宋" w:eastAsia="仿宋" w:cs="仿宋"/>
          <w:b w:val="0"/>
          <w:bCs w:val="0"/>
          <w:color w:val="auto"/>
          <w:sz w:val="32"/>
          <w:lang w:val="en-US" w:eastAsia="zh-CN"/>
        </w:rPr>
        <w:t>、</w:t>
      </w:r>
      <w:r>
        <w:rPr>
          <w:rFonts w:hint="eastAsia" w:ascii="仿宋" w:hAnsi="仿宋" w:eastAsia="仿宋" w:cs="仿宋"/>
          <w:b w:val="0"/>
          <w:bCs w:val="0"/>
          <w:color w:val="auto"/>
          <w:sz w:val="32"/>
          <w:highlight w:val="none"/>
          <w:lang w:val="en-US" w:eastAsia="zh-CN"/>
        </w:rPr>
        <w:t>喷淋塔废填料</w:t>
      </w:r>
      <w:r>
        <w:rPr>
          <w:rFonts w:hint="eastAsia" w:ascii="仿宋" w:hAnsi="仿宋" w:eastAsia="仿宋" w:cs="仿宋"/>
          <w:b w:val="0"/>
          <w:bCs w:val="0"/>
          <w:color w:val="auto"/>
          <w:sz w:val="32"/>
          <w:lang w:val="en-US" w:eastAsia="zh-CN"/>
        </w:rPr>
        <w:t>暂存至危废间，交由有资质单位处理；</w:t>
      </w:r>
      <w:r>
        <w:rPr>
          <w:rFonts w:hint="eastAsia" w:ascii="仿宋" w:hAnsi="仿宋" w:eastAsia="仿宋" w:cs="仿宋"/>
          <w:b w:val="0"/>
          <w:bCs w:val="0"/>
          <w:color w:val="auto"/>
          <w:sz w:val="32"/>
        </w:rPr>
        <w:t>MVR蒸发结晶盐</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废滤膜</w:t>
      </w:r>
      <w:r>
        <w:rPr>
          <w:rFonts w:hint="eastAsia" w:ascii="仿宋" w:hAnsi="仿宋" w:eastAsia="仿宋" w:cs="仿宋"/>
          <w:b w:val="0"/>
          <w:bCs w:val="0"/>
          <w:color w:val="auto"/>
          <w:sz w:val="32"/>
          <w:lang w:eastAsia="zh-CN"/>
        </w:rPr>
        <w:t>、</w:t>
      </w:r>
      <w:r>
        <w:rPr>
          <w:rFonts w:hint="eastAsia" w:ascii="仿宋" w:hAnsi="仿宋" w:eastAsia="仿宋" w:cs="仿宋"/>
          <w:b w:val="0"/>
          <w:bCs w:val="0"/>
          <w:color w:val="auto"/>
          <w:sz w:val="32"/>
        </w:rPr>
        <w:t>污泥</w:t>
      </w:r>
      <w:r>
        <w:rPr>
          <w:rFonts w:hint="eastAsia" w:ascii="仿宋" w:hAnsi="仿宋" w:eastAsia="仿宋" w:cs="仿宋"/>
          <w:b w:val="0"/>
          <w:bCs w:val="0"/>
          <w:color w:val="auto"/>
          <w:sz w:val="32"/>
          <w:lang w:eastAsia="zh-CN"/>
        </w:rPr>
        <w:t>在本项目投入运行后</w:t>
      </w:r>
      <w:r>
        <w:rPr>
          <w:rFonts w:hint="eastAsia" w:ascii="仿宋" w:hAnsi="仿宋" w:eastAsia="仿宋" w:cs="仿宋"/>
          <w:b w:val="0"/>
          <w:bCs w:val="0"/>
          <w:color w:val="auto"/>
          <w:sz w:val="32"/>
        </w:rPr>
        <w:t>进行固废属性鉴定，根据鉴定结果对其处理处置，</w:t>
      </w:r>
      <w:r>
        <w:rPr>
          <w:rFonts w:hint="eastAsia" w:ascii="仿宋" w:hAnsi="仿宋" w:eastAsia="仿宋" w:cs="仿宋"/>
          <w:b w:val="0"/>
          <w:bCs w:val="0"/>
          <w:color w:val="auto"/>
          <w:sz w:val="32"/>
          <w:lang w:eastAsia="zh-CN"/>
        </w:rPr>
        <w:t>如是一般固废优先综合利用，综合利用不畅的时候拉运至刚性填埋场填埋，如是危险固废则暂存后委托有资质单位处置，未</w:t>
      </w:r>
      <w:r>
        <w:rPr>
          <w:rFonts w:hint="eastAsia" w:ascii="仿宋" w:hAnsi="仿宋" w:eastAsia="仿宋" w:cs="仿宋"/>
          <w:b w:val="0"/>
          <w:bCs w:val="0"/>
          <w:color w:val="auto"/>
          <w:sz w:val="32"/>
        </w:rPr>
        <w:t>鉴定前，按照危险废物管理</w:t>
      </w:r>
      <w:r>
        <w:rPr>
          <w:rFonts w:hint="eastAsia" w:ascii="仿宋" w:hAnsi="仿宋" w:eastAsia="仿宋" w:cs="仿宋"/>
          <w:b w:val="0"/>
          <w:bCs w:val="0"/>
          <w:color w:val="auto"/>
          <w:sz w:val="32"/>
          <w:lang w:eastAsia="zh-CN"/>
        </w:rPr>
        <w:t>。</w:t>
      </w:r>
    </w:p>
    <w:p>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auto"/>
          <w:sz w:val="32"/>
          <w:szCs w:val="32"/>
          <w:highlight w:val="none"/>
        </w:rPr>
      </w:pPr>
      <w:r>
        <w:rPr>
          <w:rFonts w:hint="eastAsia" w:ascii="仿宋" w:hAnsi="仿宋" w:eastAsia="仿宋" w:cs="仿宋"/>
          <w:color w:val="000000"/>
          <w:szCs w:val="32"/>
          <w:highlight w:val="none"/>
          <w:lang w:val="en-US" w:eastAsia="zh-CN"/>
        </w:rPr>
        <w:t>7</w:t>
      </w:r>
      <w:r>
        <w:rPr>
          <w:rFonts w:hint="eastAsia" w:ascii="仿宋" w:hAnsi="仿宋" w:eastAsia="仿宋" w:cs="仿宋"/>
          <w:color w:val="000000"/>
          <w:szCs w:val="32"/>
          <w:highlight w:val="none"/>
        </w:rPr>
        <w:t>.</w:t>
      </w:r>
      <w:r>
        <w:rPr>
          <w:rFonts w:hint="eastAsia" w:ascii="仿宋" w:hAnsi="仿宋" w:eastAsia="仿宋" w:cs="仿宋"/>
          <w:color w:val="auto"/>
          <w:sz w:val="32"/>
          <w:szCs w:val="32"/>
          <w:highlight w:val="none"/>
        </w:rPr>
        <w:t>建设单位须强化环境风险防范，落实环保设施安全生产要求，项目污染防治设施须与主体工程一起按照安全生产要求设计，有效防范因污染物事故排放或安全生产事故可能引发的环境风险。</w:t>
      </w:r>
    </w:p>
    <w:p>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000000"/>
          <w:szCs w:val="32"/>
          <w:highlight w:val="none"/>
          <w:lang w:val="en-US" w:eastAsia="zh-CN"/>
        </w:rPr>
      </w:pPr>
      <w:r>
        <w:rPr>
          <w:rFonts w:hint="eastAsia" w:ascii="仿宋" w:hAnsi="仿宋" w:eastAsia="仿宋" w:cs="仿宋"/>
          <w:color w:val="000000"/>
          <w:szCs w:val="32"/>
          <w:highlight w:val="none"/>
          <w:lang w:val="en-US" w:eastAsia="zh-CN"/>
        </w:rPr>
        <w:t>四</w:t>
      </w:r>
      <w:r>
        <w:rPr>
          <w:rFonts w:hint="eastAsia" w:ascii="仿宋" w:hAnsi="仿宋" w:eastAsia="仿宋" w:cs="仿宋"/>
          <w:color w:val="000000"/>
          <w:szCs w:val="32"/>
          <w:highlight w:val="none"/>
        </w:rPr>
        <w:t>、项目建设必须严格执行环境保护“三同时”制度。项目竣工后，按照规定程序实施竣工环境保护验收，经验收合格后，方可正式投入运行</w:t>
      </w:r>
      <w:r>
        <w:rPr>
          <w:rFonts w:hint="eastAsia" w:ascii="仿宋" w:hAnsi="仿宋" w:eastAsia="仿宋" w:cs="仿宋"/>
          <w:color w:val="000000"/>
          <w:szCs w:val="32"/>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五、你公司应在收到本批复20日内，将《报告书》(报批版)及批复文件送至鄂尔多斯市生态环境局鄂托克旗分局和内蒙古鄂托克经济开发区管理委员会建设管理局，我局委托鄂尔多斯市生态环境局鄂托克旗分局和内蒙古鄂托克经济开发区管理委员会建设管理</w:t>
      </w:r>
      <w:r>
        <w:rPr>
          <w:rFonts w:hint="eastAsia" w:ascii="仿宋" w:hAnsi="仿宋" w:eastAsia="仿宋" w:cs="仿宋"/>
          <w:color w:val="000000"/>
          <w:szCs w:val="32"/>
          <w:highlight w:val="none"/>
        </w:rPr>
        <w:t>局负责该项目的日常监管工作。</w:t>
      </w:r>
    </w:p>
    <w:p>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六</w:t>
      </w:r>
      <w:r>
        <w:rPr>
          <w:rFonts w:hint="eastAsia" w:ascii="仿宋" w:hAnsi="仿宋" w:eastAsia="仿宋" w:cs="仿宋"/>
          <w:color w:val="000000"/>
          <w:szCs w:val="32"/>
          <w:highlight w:val="none"/>
        </w:rPr>
        <w:t>、该项目从批准之日起超</w:t>
      </w:r>
      <w:r>
        <w:rPr>
          <w:rFonts w:hint="eastAsia" w:ascii="仿宋" w:hAnsi="仿宋" w:eastAsia="仿宋" w:cs="仿宋"/>
          <w:color w:val="000000"/>
          <w:szCs w:val="32"/>
          <w:highlight w:val="none"/>
          <w:lang w:val="en-US" w:eastAsia="zh-CN"/>
        </w:rPr>
        <w:t>过5年方决定开工建设，其环评文件应重新审核。如果建设地点、规模、防治</w:t>
      </w:r>
      <w:r>
        <w:rPr>
          <w:rFonts w:hint="eastAsia" w:ascii="仿宋" w:hAnsi="仿宋" w:eastAsia="仿宋" w:cs="仿宋"/>
          <w:color w:val="000000"/>
          <w:szCs w:val="32"/>
          <w:highlight w:val="none"/>
        </w:rPr>
        <w:t>污染和防止生态破坏的措施等发生重大变化时，需重新报批环评文件。</w:t>
      </w:r>
    </w:p>
    <w:p>
      <w:pPr>
        <w:keepNext w:val="0"/>
        <w:keepLines w:val="0"/>
        <w:pageBreakBefore w:val="0"/>
        <w:widowControl w:val="0"/>
        <w:kinsoku/>
        <w:wordWrap/>
        <w:overflowPunct/>
        <w:topLinePunct w:val="0"/>
        <w:autoSpaceDE/>
        <w:autoSpaceDN/>
        <w:bidi w:val="0"/>
        <w:adjustRightInd w:val="0"/>
        <w:snapToGrid w:val="0"/>
        <w:spacing w:line="520" w:lineRule="exact"/>
        <w:ind w:firstLine="640"/>
        <w:jc w:val="right"/>
        <w:textAlignment w:val="auto"/>
        <w:rPr>
          <w:rFonts w:hint="eastAsia" w:ascii="仿宋" w:hAnsi="仿宋" w:eastAsia="仿宋" w:cs="仿宋"/>
          <w:color w:val="000000"/>
          <w:szCs w:val="32"/>
          <w:highlight w:val="none"/>
        </w:rPr>
      </w:pPr>
    </w:p>
    <w:p>
      <w:pPr>
        <w:ind w:left="0" w:leftChars="0" w:firstLine="0" w:firstLineChars="0"/>
        <w:rPr>
          <w:rFonts w:hint="eastAsia"/>
        </w:rPr>
      </w:pPr>
    </w:p>
    <w:p>
      <w:pPr>
        <w:keepNext w:val="0"/>
        <w:keepLines w:val="0"/>
        <w:pageBreakBefore w:val="0"/>
        <w:widowControl w:val="0"/>
        <w:kinsoku/>
        <w:wordWrap/>
        <w:overflowPunct/>
        <w:topLinePunct w:val="0"/>
        <w:autoSpaceDE/>
        <w:autoSpaceDN/>
        <w:bidi w:val="0"/>
        <w:adjustRightInd w:val="0"/>
        <w:snapToGrid w:val="0"/>
        <w:spacing w:line="520" w:lineRule="exact"/>
        <w:ind w:firstLine="640"/>
        <w:jc w:val="center"/>
        <w:textAlignment w:val="auto"/>
        <w:rPr>
          <w:rFonts w:hint="eastAsia" w:ascii="仿宋" w:hAnsi="仿宋" w:eastAsia="仿宋" w:cs="仿宋"/>
          <w:color w:val="000000"/>
          <w:szCs w:val="32"/>
          <w:highlight w:val="none"/>
          <w:lang w:val="en-US" w:eastAsia="zh-CN"/>
        </w:rPr>
      </w:pPr>
      <w:r>
        <w:rPr>
          <w:rFonts w:hint="eastAsia" w:ascii="仿宋" w:hAnsi="仿宋" w:eastAsia="仿宋" w:cs="仿宋"/>
          <w:color w:val="000000"/>
          <w:szCs w:val="32"/>
          <w:highlight w:val="none"/>
          <w:lang w:val="en-US" w:eastAsia="zh-CN"/>
        </w:rPr>
        <w:t xml:space="preserve">                    </w:t>
      </w:r>
      <w:r>
        <w:rPr>
          <w:rFonts w:hint="eastAsia" w:ascii="仿宋" w:hAnsi="仿宋" w:eastAsia="仿宋" w:cs="仿宋"/>
          <w:color w:val="000000"/>
          <w:szCs w:val="32"/>
          <w:highlight w:val="none"/>
        </w:rPr>
        <w:t>鄂尔多斯市生态环境局</w:t>
      </w:r>
    </w:p>
    <w:p>
      <w:pPr>
        <w:keepNext w:val="0"/>
        <w:keepLines w:val="0"/>
        <w:pageBreakBefore w:val="0"/>
        <w:widowControl w:val="0"/>
        <w:kinsoku/>
        <w:wordWrap/>
        <w:overflowPunct/>
        <w:topLinePunct w:val="0"/>
        <w:autoSpaceDE/>
        <w:autoSpaceDN/>
        <w:bidi w:val="0"/>
        <w:adjustRightInd w:val="0"/>
        <w:snapToGrid w:val="0"/>
        <w:spacing w:line="520" w:lineRule="exact"/>
        <w:ind w:right="320" w:firstLine="640"/>
        <w:jc w:val="center"/>
        <w:textAlignment w:val="auto"/>
        <w:rPr>
          <w:rFonts w:hint="eastAsia" w:ascii="仿宋" w:hAnsi="仿宋" w:eastAsia="仿宋" w:cs="仿宋"/>
          <w:color w:val="000000"/>
          <w:szCs w:val="32"/>
          <w:highlight w:val="none"/>
        </w:rPr>
      </w:pPr>
      <w:r>
        <w:rPr>
          <w:rFonts w:hint="eastAsia" w:ascii="仿宋" w:hAnsi="仿宋" w:eastAsia="仿宋" w:cs="仿宋"/>
          <w:color w:val="000000"/>
          <w:szCs w:val="32"/>
          <w:highlight w:val="none"/>
          <w:lang w:val="en-US" w:eastAsia="zh-CN"/>
        </w:rPr>
        <w:t xml:space="preserve">                       </w:t>
      </w:r>
      <w:r>
        <w:rPr>
          <w:rFonts w:hint="eastAsia" w:ascii="仿宋" w:hAnsi="仿宋" w:eastAsia="仿宋" w:cs="仿宋"/>
          <w:color w:val="000000"/>
          <w:szCs w:val="32"/>
          <w:highlight w:val="none"/>
        </w:rPr>
        <w:t>202</w:t>
      </w:r>
      <w:r>
        <w:rPr>
          <w:rFonts w:hint="eastAsia" w:ascii="仿宋" w:hAnsi="仿宋" w:eastAsia="仿宋" w:cs="仿宋"/>
          <w:color w:val="000000"/>
          <w:szCs w:val="32"/>
          <w:highlight w:val="none"/>
          <w:lang w:val="en-US" w:eastAsia="zh-CN"/>
        </w:rPr>
        <w:t>3</w:t>
      </w:r>
      <w:r>
        <w:rPr>
          <w:rFonts w:hint="eastAsia" w:ascii="仿宋" w:hAnsi="仿宋" w:eastAsia="仿宋" w:cs="仿宋"/>
          <w:color w:val="000000"/>
          <w:szCs w:val="32"/>
          <w:highlight w:val="none"/>
        </w:rPr>
        <w:t>年</w:t>
      </w:r>
      <w:r>
        <w:rPr>
          <w:rFonts w:hint="eastAsia" w:ascii="仿宋" w:hAnsi="仿宋" w:eastAsia="仿宋" w:cs="仿宋"/>
          <w:color w:val="000000"/>
          <w:szCs w:val="32"/>
          <w:highlight w:val="none"/>
          <w:lang w:val="en-US" w:eastAsia="zh-CN"/>
        </w:rPr>
        <w:t>9</w:t>
      </w:r>
      <w:r>
        <w:rPr>
          <w:rFonts w:hint="eastAsia" w:ascii="仿宋" w:hAnsi="仿宋" w:eastAsia="仿宋" w:cs="仿宋"/>
          <w:color w:val="000000"/>
          <w:szCs w:val="32"/>
          <w:highlight w:val="none"/>
        </w:rPr>
        <w:t>月</w:t>
      </w:r>
      <w:r>
        <w:rPr>
          <w:rFonts w:hint="eastAsia" w:ascii="仿宋" w:hAnsi="仿宋" w:eastAsia="仿宋" w:cs="仿宋"/>
          <w:color w:val="000000"/>
          <w:szCs w:val="32"/>
          <w:highlight w:val="none"/>
          <w:lang w:val="en-US" w:eastAsia="zh-CN"/>
        </w:rPr>
        <w:t>15</w:t>
      </w:r>
      <w:r>
        <w:rPr>
          <w:rFonts w:hint="eastAsia" w:ascii="仿宋" w:hAnsi="仿宋" w:eastAsia="仿宋" w:cs="仿宋"/>
          <w:color w:val="000000"/>
          <w:szCs w:val="32"/>
          <w:highlight w:val="none"/>
        </w:rPr>
        <w:t>日</w:t>
      </w:r>
    </w:p>
    <w:p>
      <w:pPr>
        <w:pStyle w:val="5"/>
        <w:rPr>
          <w:rFonts w:hint="eastAsia" w:ascii="仿宋" w:hAnsi="仿宋" w:eastAsia="仿宋" w:cs="仿宋"/>
          <w:color w:val="000000"/>
          <w:szCs w:val="32"/>
          <w:highlight w:val="none"/>
        </w:rPr>
      </w:pPr>
    </w:p>
    <w:p>
      <w:pPr>
        <w:rPr>
          <w:rFonts w:hint="eastAsia" w:ascii="仿宋" w:hAnsi="仿宋" w:eastAsia="仿宋" w:cs="仿宋"/>
          <w:color w:val="000000"/>
          <w:szCs w:val="32"/>
          <w:highlight w:val="none"/>
        </w:rPr>
      </w:pPr>
    </w:p>
    <w:p>
      <w:pPr>
        <w:pStyle w:val="5"/>
        <w:ind w:left="0" w:leftChars="0" w:firstLine="0" w:firstLineChars="0"/>
      </w:pPr>
    </w:p>
    <w:p/>
    <w:p>
      <w:pPr>
        <w:pStyle w:val="2"/>
        <w:ind w:left="0" w:leftChars="0" w:firstLine="0" w:firstLineChars="0"/>
      </w:pPr>
    </w:p>
    <w:tbl>
      <w:tblPr>
        <w:tblStyle w:val="19"/>
        <w:tblW w:w="9203" w:type="dxa"/>
        <w:tblInd w:w="-163"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9203"/>
      </w:tblGrid>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1521" w:hRule="atLeast"/>
        </w:trPr>
        <w:tc>
          <w:tcPr>
            <w:tcW w:w="9203"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left="840" w:hanging="840" w:hangingChars="300"/>
              <w:textAlignment w:val="auto"/>
              <w:rPr>
                <w:rFonts w:ascii="仿宋_GB2312" w:hAnsi="仿宋_GB2312" w:cs="仿宋_GB2312"/>
                <w:snapToGrid/>
                <w:color w:val="000000"/>
                <w:kern w:val="2"/>
                <w:sz w:val="28"/>
                <w:szCs w:val="28"/>
                <w:highlight w:val="none"/>
              </w:rPr>
            </w:pPr>
            <w:r>
              <w:rPr>
                <w:rFonts w:ascii="仿宋_GB2312" w:hAnsi="仿宋_GB2312" w:cs="仿宋_GB2312"/>
                <w:snapToGrid/>
                <w:color w:val="000000"/>
                <w:kern w:val="2"/>
                <w:sz w:val="28"/>
                <w:szCs w:val="28"/>
                <w:highlight w:val="none"/>
              </w:rPr>
              <w:t>抄送：</w:t>
            </w:r>
            <w:r>
              <w:rPr>
                <w:rFonts w:hint="eastAsia" w:ascii="仿宋_GB2312" w:hAnsi="仿宋_GB2312" w:cs="仿宋_GB2312"/>
                <w:snapToGrid/>
                <w:color w:val="000000"/>
                <w:kern w:val="2"/>
                <w:sz w:val="28"/>
                <w:szCs w:val="28"/>
                <w:highlight w:val="none"/>
              </w:rPr>
              <w:t>鄂尔多斯市生态环境局</w:t>
            </w:r>
            <w:r>
              <w:rPr>
                <w:rFonts w:hint="eastAsia" w:ascii="仿宋_GB2312" w:hAnsi="仿宋_GB2312" w:cs="仿宋_GB2312"/>
                <w:snapToGrid/>
                <w:color w:val="000000"/>
                <w:kern w:val="2"/>
                <w:sz w:val="28"/>
                <w:szCs w:val="28"/>
                <w:highlight w:val="none"/>
                <w:lang w:val="en-US" w:eastAsia="zh-CN"/>
              </w:rPr>
              <w:t>鄂托克旗</w:t>
            </w:r>
            <w:r>
              <w:rPr>
                <w:rFonts w:hint="eastAsia" w:ascii="仿宋_GB2312" w:hAnsi="仿宋_GB2312" w:cs="仿宋_GB2312"/>
                <w:snapToGrid/>
                <w:color w:val="000000"/>
                <w:kern w:val="2"/>
                <w:sz w:val="28"/>
                <w:szCs w:val="28"/>
                <w:highlight w:val="none"/>
              </w:rPr>
              <w:t>分局，内蒙古</w:t>
            </w:r>
            <w:r>
              <w:rPr>
                <w:rFonts w:hint="eastAsia" w:ascii="仿宋_GB2312" w:hAnsi="仿宋_GB2312" w:cs="仿宋_GB2312"/>
                <w:snapToGrid/>
                <w:color w:val="000000"/>
                <w:kern w:val="2"/>
                <w:sz w:val="28"/>
                <w:szCs w:val="28"/>
                <w:highlight w:val="none"/>
                <w:lang w:val="en-US" w:eastAsia="zh-CN"/>
              </w:rPr>
              <w:t>鄂托克</w:t>
            </w:r>
            <w:r>
              <w:rPr>
                <w:rFonts w:hint="eastAsia" w:ascii="仿宋_GB2312" w:hAnsi="仿宋_GB2312" w:cs="仿宋_GB2312"/>
                <w:snapToGrid/>
                <w:color w:val="000000"/>
                <w:kern w:val="2"/>
                <w:sz w:val="28"/>
                <w:szCs w:val="28"/>
                <w:highlight w:val="none"/>
              </w:rPr>
              <w:t>经济开发区管理委员会建设管理局</w:t>
            </w:r>
            <w:r>
              <w:rPr>
                <w:rFonts w:ascii="仿宋_GB2312" w:hAnsi="仿宋_GB2312" w:cs="仿宋_GB2312"/>
                <w:snapToGrid/>
                <w:color w:val="000000"/>
                <w:kern w:val="2"/>
                <w:sz w:val="28"/>
                <w:szCs w:val="28"/>
                <w:highlight w:val="none"/>
              </w:rPr>
              <w:t>，市生态环境综合行政执法支队，</w:t>
            </w:r>
            <w:r>
              <w:rPr>
                <w:rFonts w:hint="eastAsia" w:ascii="仿宋_GB2312" w:hAnsi="仿宋_GB2312" w:cs="仿宋_GB2312"/>
                <w:snapToGrid/>
                <w:color w:val="000000"/>
                <w:kern w:val="2"/>
                <w:sz w:val="28"/>
                <w:szCs w:val="28"/>
                <w:highlight w:val="none"/>
              </w:rPr>
              <w:t>内蒙古华晨工程咨询有限公司</w:t>
            </w:r>
            <w:r>
              <w:rPr>
                <w:rFonts w:ascii="仿宋_GB2312" w:hAnsi="仿宋_GB2312" w:cs="仿宋_GB2312"/>
                <w:snapToGrid/>
                <w:color w:val="000000"/>
                <w:kern w:val="2"/>
                <w:sz w:val="28"/>
                <w:szCs w:val="28"/>
                <w:highlight w:val="none"/>
              </w:rPr>
              <w:t>，</w:t>
            </w:r>
            <w:r>
              <w:rPr>
                <w:rFonts w:hint="eastAsia" w:ascii="仿宋_GB2312" w:hAnsi="仿宋_GB2312" w:cs="仿宋_GB2312"/>
                <w:snapToGrid/>
                <w:color w:val="000000"/>
                <w:kern w:val="2"/>
                <w:sz w:val="28"/>
                <w:szCs w:val="28"/>
                <w:highlight w:val="none"/>
              </w:rPr>
              <w:t>市生态环境局综合保障中心</w:t>
            </w:r>
            <w:r>
              <w:rPr>
                <w:rFonts w:ascii="仿宋_GB2312" w:hAnsi="仿宋_GB2312" w:cs="仿宋_GB2312"/>
                <w:snapToGrid/>
                <w:color w:val="000000"/>
                <w:kern w:val="2"/>
                <w:sz w:val="28"/>
                <w:szCs w:val="28"/>
                <w:highlight w:val="none"/>
              </w:rPr>
              <w:t>。</w:t>
            </w:r>
          </w:p>
        </w:tc>
      </w:tr>
      <w:tr>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83" w:hRule="atLeast"/>
        </w:trPr>
        <w:tc>
          <w:tcPr>
            <w:tcW w:w="9203" w:type="dxa"/>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ascii="仿宋_GB2312" w:hAnsi="仿宋_GB2312" w:cs="仿宋_GB2312"/>
                <w:snapToGrid/>
                <w:color w:val="000000"/>
                <w:kern w:val="2"/>
                <w:sz w:val="28"/>
                <w:szCs w:val="28"/>
                <w:highlight w:val="none"/>
              </w:rPr>
            </w:pPr>
            <w:r>
              <w:rPr>
                <w:rFonts w:ascii="仿宋_GB2312" w:hAnsi="仿宋_GB2312" w:cs="仿宋_GB2312"/>
                <w:snapToGrid/>
                <w:color w:val="000000"/>
                <w:kern w:val="2"/>
                <w:sz w:val="28"/>
                <w:szCs w:val="28"/>
                <w:highlight w:val="none"/>
              </w:rPr>
              <w:t xml:space="preserve">鄂尔多斯市生态环境局                </w:t>
            </w:r>
            <w:r>
              <w:rPr>
                <w:rFonts w:hint="eastAsia" w:ascii="仿宋_GB2312" w:hAnsi="仿宋_GB2312" w:cs="仿宋_GB2312"/>
                <w:snapToGrid/>
                <w:color w:val="000000"/>
                <w:kern w:val="2"/>
                <w:sz w:val="28"/>
                <w:szCs w:val="28"/>
                <w:highlight w:val="none"/>
                <w:lang w:val="en-US" w:eastAsia="zh-CN"/>
              </w:rPr>
              <w:t xml:space="preserve">      </w:t>
            </w:r>
            <w:r>
              <w:rPr>
                <w:rFonts w:ascii="仿宋_GB2312" w:hAnsi="仿宋_GB2312" w:cs="仿宋_GB2312"/>
                <w:snapToGrid/>
                <w:color w:val="000000"/>
                <w:kern w:val="2"/>
                <w:sz w:val="28"/>
                <w:szCs w:val="28"/>
                <w:highlight w:val="none"/>
              </w:rPr>
              <w:t xml:space="preserve"> 202</w:t>
            </w:r>
            <w:r>
              <w:rPr>
                <w:rFonts w:hint="eastAsia" w:ascii="仿宋_GB2312" w:hAnsi="仿宋_GB2312" w:cs="仿宋_GB2312"/>
                <w:snapToGrid/>
                <w:color w:val="000000"/>
                <w:kern w:val="2"/>
                <w:sz w:val="28"/>
                <w:szCs w:val="28"/>
                <w:highlight w:val="none"/>
                <w:lang w:val="en-US" w:eastAsia="zh-CN"/>
              </w:rPr>
              <w:t>3</w:t>
            </w:r>
            <w:r>
              <w:rPr>
                <w:rFonts w:ascii="仿宋_GB2312" w:hAnsi="仿宋_GB2312" w:cs="仿宋_GB2312"/>
                <w:snapToGrid/>
                <w:color w:val="000000"/>
                <w:kern w:val="2"/>
                <w:sz w:val="28"/>
                <w:szCs w:val="28"/>
                <w:highlight w:val="none"/>
              </w:rPr>
              <w:t>年</w:t>
            </w:r>
            <w:r>
              <w:rPr>
                <w:rFonts w:hint="eastAsia" w:ascii="仿宋_GB2312" w:hAnsi="仿宋_GB2312" w:cs="仿宋_GB2312"/>
                <w:snapToGrid/>
                <w:color w:val="000000"/>
                <w:kern w:val="2"/>
                <w:sz w:val="28"/>
                <w:szCs w:val="28"/>
                <w:highlight w:val="none"/>
                <w:lang w:val="en-US" w:eastAsia="zh-CN"/>
              </w:rPr>
              <w:t>9</w:t>
            </w:r>
            <w:r>
              <w:rPr>
                <w:rFonts w:ascii="仿宋_GB2312" w:hAnsi="仿宋_GB2312" w:cs="仿宋_GB2312"/>
                <w:snapToGrid/>
                <w:color w:val="000000"/>
                <w:kern w:val="2"/>
                <w:sz w:val="28"/>
                <w:szCs w:val="28"/>
                <w:highlight w:val="none"/>
              </w:rPr>
              <w:t>月</w:t>
            </w:r>
            <w:r>
              <w:rPr>
                <w:rFonts w:hint="eastAsia" w:ascii="仿宋_GB2312" w:hAnsi="仿宋_GB2312" w:cs="仿宋_GB2312"/>
                <w:snapToGrid/>
                <w:color w:val="000000"/>
                <w:kern w:val="2"/>
                <w:sz w:val="28"/>
                <w:szCs w:val="28"/>
                <w:highlight w:val="none"/>
                <w:lang w:val="en-US" w:eastAsia="zh-CN"/>
              </w:rPr>
              <w:t>15</w:t>
            </w:r>
            <w:r>
              <w:rPr>
                <w:rFonts w:ascii="仿宋_GB2312" w:hAnsi="仿宋_GB2312" w:cs="仿宋_GB2312"/>
                <w:snapToGrid/>
                <w:color w:val="000000"/>
                <w:kern w:val="2"/>
                <w:sz w:val="28"/>
                <w:szCs w:val="28"/>
                <w:highlight w:val="none"/>
              </w:rPr>
              <w:t>日印发</w:t>
            </w:r>
          </w:p>
        </w:tc>
      </w:tr>
    </w:tbl>
    <w:p>
      <w:pPr>
        <w:pStyle w:val="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eastAsia="仿宋_GB231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8A7454"/>
    <w:multiLevelType w:val="singleLevel"/>
    <w:tmpl w:val="1F8A745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5ZjkyNWM5NDA5YzI0MWZjNTA3MDA1ZjJiYmIxN2UifQ=="/>
  </w:docVars>
  <w:rsids>
    <w:rsidRoot w:val="00805F8E"/>
    <w:rsid w:val="002A5198"/>
    <w:rsid w:val="003160F5"/>
    <w:rsid w:val="00764803"/>
    <w:rsid w:val="00805F8E"/>
    <w:rsid w:val="00967D21"/>
    <w:rsid w:val="01D115CE"/>
    <w:rsid w:val="032213EB"/>
    <w:rsid w:val="06E94A19"/>
    <w:rsid w:val="089666B2"/>
    <w:rsid w:val="118256F3"/>
    <w:rsid w:val="173C3A66"/>
    <w:rsid w:val="198302D2"/>
    <w:rsid w:val="1ABF0EE2"/>
    <w:rsid w:val="1CB70870"/>
    <w:rsid w:val="1D3A40D5"/>
    <w:rsid w:val="241E3F25"/>
    <w:rsid w:val="259C4488"/>
    <w:rsid w:val="29F509F4"/>
    <w:rsid w:val="36B0673D"/>
    <w:rsid w:val="3AFB643D"/>
    <w:rsid w:val="3C7C2C4D"/>
    <w:rsid w:val="3CDA7DA7"/>
    <w:rsid w:val="3DE43692"/>
    <w:rsid w:val="41166990"/>
    <w:rsid w:val="46D67190"/>
    <w:rsid w:val="473420AD"/>
    <w:rsid w:val="47350E2C"/>
    <w:rsid w:val="48492F28"/>
    <w:rsid w:val="4AF32E09"/>
    <w:rsid w:val="4F445C26"/>
    <w:rsid w:val="51DD5CA7"/>
    <w:rsid w:val="59842CF7"/>
    <w:rsid w:val="6DE54DB4"/>
    <w:rsid w:val="720A068C"/>
    <w:rsid w:val="74555107"/>
    <w:rsid w:val="78793730"/>
    <w:rsid w:val="7AE6171D"/>
    <w:rsid w:val="7D392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3">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一级标题"/>
    <w:basedOn w:val="1"/>
    <w:semiHidden/>
    <w:qFormat/>
    <w:uiPriority w:val="0"/>
    <w:pPr>
      <w:tabs>
        <w:tab w:val="left" w:pos="570"/>
        <w:tab w:val="left" w:pos="624"/>
      </w:tabs>
      <w:spacing w:line="360" w:lineRule="auto"/>
      <w:ind w:left="624" w:hanging="454"/>
    </w:pPr>
    <w:rPr>
      <w:rFonts w:ascii="Calibri" w:hAnsi="Calibri"/>
      <w:sz w:val="28"/>
    </w:rPr>
  </w:style>
  <w:style w:type="paragraph" w:styleId="4">
    <w:name w:val="Normal Indent"/>
    <w:basedOn w:val="1"/>
    <w:next w:val="5"/>
    <w:link w:val="15"/>
    <w:qFormat/>
    <w:uiPriority w:val="0"/>
    <w:rPr>
      <w:rFonts w:asciiTheme="minorHAnsi" w:hAnsiTheme="minorHAnsi" w:cstheme="minorBidi"/>
    </w:rPr>
  </w:style>
  <w:style w:type="paragraph" w:styleId="5">
    <w:name w:val="Body Text First Indent 2"/>
    <w:basedOn w:val="6"/>
    <w:next w:val="1"/>
    <w:link w:val="17"/>
    <w:semiHidden/>
    <w:unhideWhenUsed/>
    <w:qFormat/>
    <w:uiPriority w:val="99"/>
    <w:pPr>
      <w:ind w:firstLine="420"/>
    </w:pPr>
  </w:style>
  <w:style w:type="paragraph" w:styleId="6">
    <w:name w:val="Body Text Indent"/>
    <w:basedOn w:val="1"/>
    <w:next w:val="7"/>
    <w:link w:val="16"/>
    <w:semiHidden/>
    <w:unhideWhenUsed/>
    <w:qFormat/>
    <w:uiPriority w:val="99"/>
    <w:pPr>
      <w:spacing w:after="120"/>
      <w:ind w:left="420" w:leftChars="200"/>
    </w:pPr>
  </w:style>
  <w:style w:type="paragraph" w:customStyle="1" w:styleId="7">
    <w:name w:val="样式 正文文本缩进 + 行距: 1.5 倍行距"/>
    <w:basedOn w:val="1"/>
    <w:qFormat/>
    <w:uiPriority w:val="0"/>
    <w:pPr>
      <w:spacing w:after="120" w:line="360" w:lineRule="auto"/>
      <w:ind w:left="90" w:leftChars="32" w:firstLine="560" w:firstLineChars="200"/>
    </w:pPr>
    <w:rPr>
      <w:rFonts w:ascii="Calibri" w:hAnsi="Calibri" w:eastAsia="宋体" w:cs="宋体"/>
      <w:szCs w:val="24"/>
    </w:rPr>
  </w:style>
  <w:style w:type="paragraph" w:styleId="8">
    <w:name w:val="annotation text"/>
    <w:basedOn w:val="1"/>
    <w:semiHidden/>
    <w:unhideWhenUsed/>
    <w:qFormat/>
    <w:uiPriority w:val="99"/>
    <w:pPr>
      <w:jc w:val="left"/>
    </w:pPr>
  </w:style>
  <w:style w:type="paragraph" w:styleId="9">
    <w:name w:val="Body Text"/>
    <w:basedOn w:val="1"/>
    <w:qFormat/>
    <w:uiPriority w:val="0"/>
    <w:pPr>
      <w:spacing w:after="120" w:afterLines="0" w:afterAutospacing="0"/>
    </w:pPr>
  </w:style>
  <w:style w:type="paragraph" w:styleId="10">
    <w:name w:val="Date"/>
    <w:basedOn w:val="1"/>
    <w:next w:val="1"/>
    <w:link w:val="18"/>
    <w:semiHidden/>
    <w:unhideWhenUsed/>
    <w:qFormat/>
    <w:uiPriority w:val="99"/>
    <w:pPr>
      <w:ind w:left="100" w:leftChars="2500"/>
    </w:pPr>
  </w:style>
  <w:style w:type="paragraph" w:styleId="11">
    <w:name w:val="toc 2"/>
    <w:basedOn w:val="1"/>
    <w:next w:val="1"/>
    <w:unhideWhenUsed/>
    <w:qFormat/>
    <w:uiPriority w:val="39"/>
    <w:pPr>
      <w:ind w:left="420" w:leftChars="200"/>
    </w:pPr>
    <w:rPr>
      <w:rFonts w:ascii="Calibri" w:hAnsi="Calibri"/>
      <w:szCs w:val="22"/>
    </w:rPr>
  </w:style>
  <w:style w:type="character" w:styleId="14">
    <w:name w:val="Emphasis"/>
    <w:basedOn w:val="13"/>
    <w:qFormat/>
    <w:uiPriority w:val="20"/>
    <w:rPr>
      <w:i/>
    </w:rPr>
  </w:style>
  <w:style w:type="character" w:customStyle="1" w:styleId="15">
    <w:name w:val="正文缩进 字符"/>
    <w:link w:val="4"/>
    <w:qFormat/>
    <w:uiPriority w:val="0"/>
    <w:rPr>
      <w:rFonts w:eastAsia="仿宋_GB2312"/>
      <w:sz w:val="32"/>
      <w:szCs w:val="24"/>
    </w:rPr>
  </w:style>
  <w:style w:type="character" w:customStyle="1" w:styleId="16">
    <w:name w:val="正文文本缩进 字符"/>
    <w:basedOn w:val="13"/>
    <w:link w:val="6"/>
    <w:semiHidden/>
    <w:qFormat/>
    <w:uiPriority w:val="99"/>
    <w:rPr>
      <w:rFonts w:ascii="Times New Roman" w:hAnsi="Times New Roman" w:eastAsia="仿宋_GB2312" w:cs="Times New Roman"/>
      <w:sz w:val="32"/>
      <w:szCs w:val="24"/>
    </w:rPr>
  </w:style>
  <w:style w:type="character" w:customStyle="1" w:styleId="17">
    <w:name w:val="正文文本首行缩进 2 字符"/>
    <w:basedOn w:val="16"/>
    <w:link w:val="5"/>
    <w:semiHidden/>
    <w:qFormat/>
    <w:uiPriority w:val="99"/>
    <w:rPr>
      <w:rFonts w:ascii="Times New Roman" w:hAnsi="Times New Roman" w:eastAsia="仿宋_GB2312" w:cs="Times New Roman"/>
      <w:sz w:val="32"/>
      <w:szCs w:val="24"/>
    </w:rPr>
  </w:style>
  <w:style w:type="character" w:customStyle="1" w:styleId="18">
    <w:name w:val="日期 字符"/>
    <w:basedOn w:val="13"/>
    <w:link w:val="10"/>
    <w:semiHidden/>
    <w:qFormat/>
    <w:uiPriority w:val="99"/>
    <w:rPr>
      <w:rFonts w:ascii="Times New Roman" w:hAnsi="Times New Roman" w:eastAsia="仿宋_GB2312" w:cs="Times New Roman"/>
      <w:sz w:val="32"/>
      <w:szCs w:val="24"/>
    </w:rPr>
  </w:style>
  <w:style w:type="table" w:customStyle="1" w:styleId="19">
    <w:name w:val="Table Normal"/>
    <w:semiHidden/>
    <w:unhideWhenUsed/>
    <w:qFormat/>
    <w:uiPriority w:val="0"/>
    <w:rPr>
      <w:rFonts w:ascii="Arial" w:hAnsi="Arial" w:cs="Arial"/>
      <w:snapToGrid w:val="0"/>
      <w:color w:val="000000"/>
      <w:kern w:val="0"/>
      <w:szCs w:val="21"/>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3073</Words>
  <Characters>3352</Characters>
  <Lines>14</Lines>
  <Paragraphs>4</Paragraphs>
  <TotalTime>1</TotalTime>
  <ScaleCrop>false</ScaleCrop>
  <LinksUpToDate>false</LinksUpToDate>
  <CharactersWithSpaces>3421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2022-09-08T09:22:00Z</dcterms:created>
  <dc:creator>微软用户</dc:creator>
  <cp:lastModifiedBy>Administrator</cp:lastModifiedBy>
  <cp:lastPrinted>2022-12-12T10:39:00Z</cp:lastPrinted>
  <dcterms:modified xsi:type="dcterms:W3CDTF">2023-11-30T08:35:14Z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DDC88792FA8A4A95A9D0E7EBFC46FF50_13</vt:lpwstr>
  </property>
</Properties>
</file>