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560" w:lineRule="exact"/>
        <w:ind w:right="26" w:firstLine="0" w:firstLineChars="0"/>
        <w:jc w:val="right"/>
        <w:rPr>
          <w:rFonts w:eastAsia="仿宋"/>
        </w:rPr>
      </w:pPr>
    </w:p>
    <w:p>
      <w:pPr>
        <w:pStyle w:val="5"/>
        <w:spacing w:line="560" w:lineRule="exact"/>
        <w:ind w:firstLine="480"/>
        <w:rPr>
          <w:sz w:val="24"/>
        </w:rPr>
      </w:pPr>
    </w:p>
    <w:p>
      <w:pPr>
        <w:tabs>
          <w:tab w:val="left" w:pos="8280"/>
        </w:tabs>
        <w:spacing w:line="560" w:lineRule="exact"/>
        <w:ind w:right="26" w:firstLine="0" w:firstLineChars="0"/>
        <w:jc w:val="right"/>
      </w:pPr>
    </w:p>
    <w:p>
      <w:pPr>
        <w:pStyle w:val="5"/>
        <w:spacing w:line="560" w:lineRule="exact"/>
        <w:ind w:firstLine="640"/>
      </w:pPr>
    </w:p>
    <w:p>
      <w:pPr>
        <w:pStyle w:val="5"/>
        <w:spacing w:line="560" w:lineRule="exact"/>
        <w:ind w:firstLine="640"/>
      </w:pPr>
    </w:p>
    <w:p>
      <w:pPr>
        <w:pStyle w:val="5"/>
        <w:spacing w:line="560" w:lineRule="exact"/>
        <w:ind w:firstLine="640"/>
      </w:pPr>
    </w:p>
    <w:p>
      <w:pPr>
        <w:pStyle w:val="5"/>
        <w:spacing w:line="560" w:lineRule="exact"/>
        <w:ind w:firstLine="640"/>
      </w:pPr>
    </w:p>
    <w:p>
      <w:pPr>
        <w:pStyle w:val="5"/>
        <w:spacing w:line="560" w:lineRule="exact"/>
        <w:ind w:firstLine="640"/>
      </w:pPr>
    </w:p>
    <w:p>
      <w:pPr>
        <w:pStyle w:val="12"/>
        <w:ind w:firstLine="0" w:firstLineChars="0"/>
      </w:pPr>
    </w:p>
    <w:p>
      <w:pPr>
        <w:pStyle w:val="5"/>
        <w:spacing w:line="560" w:lineRule="exact"/>
        <w:ind w:firstLine="640"/>
      </w:pPr>
    </w:p>
    <w:p>
      <w:pPr>
        <w:spacing w:line="540" w:lineRule="exact"/>
        <w:jc w:val="center"/>
        <w:rPr>
          <w:rFonts w:ascii="Times New Roman" w:hAnsi="Times New Roman" w:eastAsia="仿宋_GB2312" w:cs="Times New Roman"/>
          <w:color w:val="auto"/>
          <w:sz w:val="32"/>
          <w:szCs w:val="24"/>
        </w:rPr>
      </w:pPr>
      <w:r>
        <w:rPr>
          <w:rFonts w:ascii="Times New Roman" w:hAnsi="Times New Roman" w:eastAsia="仿宋_GB2312" w:cs="Times New Roman"/>
          <w:color w:val="auto"/>
          <w:sz w:val="32"/>
          <w:szCs w:val="24"/>
        </w:rPr>
        <w:t>鄂环审字〔2023〕</w:t>
      </w:r>
      <w:r>
        <w:rPr>
          <w:rFonts w:hint="default" w:ascii="Times New Roman" w:hAnsi="Times New Roman" w:eastAsia="仿宋_GB2312" w:cs="Times New Roman"/>
          <w:color w:val="auto"/>
          <w:sz w:val="32"/>
          <w:szCs w:val="24"/>
          <w:lang w:val="en-US"/>
        </w:rPr>
        <w:t>19</w:t>
      </w:r>
      <w:r>
        <w:rPr>
          <w:rFonts w:hint="eastAsia" w:ascii="Times New Roman" w:hAnsi="Times New Roman" w:eastAsia="仿宋_GB2312" w:cs="Times New Roman"/>
          <w:color w:val="auto"/>
          <w:sz w:val="32"/>
          <w:szCs w:val="24"/>
          <w:lang w:val="en-US" w:eastAsia="zh-CN"/>
        </w:rPr>
        <w:t>2</w:t>
      </w:r>
      <w:r>
        <w:rPr>
          <w:rFonts w:ascii="Times New Roman" w:hAnsi="Times New Roman" w:eastAsia="仿宋_GB2312" w:cs="Times New Roman"/>
          <w:color w:val="auto"/>
          <w:sz w:val="32"/>
          <w:szCs w:val="24"/>
        </w:rPr>
        <w:t>号</w:t>
      </w:r>
    </w:p>
    <w:p>
      <w:pPr>
        <w:pStyle w:val="5"/>
        <w:spacing w:line="560" w:lineRule="exact"/>
        <w:ind w:firstLine="0" w:firstLineChars="0"/>
        <w:jc w:val="center"/>
        <w:rPr>
          <w:color w:val="auto"/>
        </w:rPr>
      </w:pPr>
    </w:p>
    <w:p>
      <w:pPr>
        <w:spacing w:line="640" w:lineRule="exact"/>
        <w:jc w:val="center"/>
        <w:rPr>
          <w:rFonts w:ascii="Times New Roman" w:hAnsi="Times New Roman" w:eastAsia="宋体" w:cs="Times New Roman"/>
          <w:b/>
          <w:sz w:val="44"/>
          <w:szCs w:val="44"/>
          <w:lang w:val="zh-TW" w:eastAsia="zh-TW" w:bidi="zh-TW"/>
        </w:rPr>
      </w:pPr>
      <w:r>
        <w:rPr>
          <w:rFonts w:ascii="Times New Roman" w:hAnsi="Times New Roman" w:eastAsia="宋体" w:cs="Times New Roman"/>
          <w:b/>
          <w:sz w:val="44"/>
          <w:szCs w:val="44"/>
          <w:lang w:val="zh-TW" w:eastAsia="zh-TW" w:bidi="zh-TW"/>
        </w:rPr>
        <w:t>鄂尔多斯市生态环境局关于</w:t>
      </w:r>
    </w:p>
    <w:p>
      <w:pPr>
        <w:spacing w:line="640" w:lineRule="exact"/>
        <w:jc w:val="center"/>
        <w:rPr>
          <w:rFonts w:ascii="Times New Roman" w:hAnsi="Times New Roman" w:eastAsia="宋体" w:cs="Times New Roman"/>
          <w:b/>
          <w:sz w:val="44"/>
          <w:szCs w:val="44"/>
          <w:lang w:val="zh-TW" w:eastAsia="zh-TW" w:bidi="zh-TW"/>
        </w:rPr>
      </w:pPr>
      <w:r>
        <w:rPr>
          <w:rFonts w:hint="eastAsia" w:ascii="Times New Roman" w:hAnsi="Times New Roman" w:eastAsia="宋体" w:cs="Times New Roman"/>
          <w:b/>
          <w:sz w:val="44"/>
          <w:szCs w:val="44"/>
          <w:lang w:val="en-US" w:eastAsia="zh-CN" w:bidi="zh-TW"/>
        </w:rPr>
        <w:t>2023年苏10区块第二批产建配套天然气</w:t>
      </w:r>
      <w:r>
        <w:rPr>
          <w:rFonts w:hint="eastAsia" w:ascii="Times New Roman" w:hAnsi="Times New Roman" w:eastAsia="宋体" w:cs="Times New Roman"/>
          <w:b/>
          <w:sz w:val="44"/>
          <w:szCs w:val="44"/>
          <w:lang w:val="zh-TW" w:eastAsia="zh-TW" w:bidi="zh-TW"/>
        </w:rPr>
        <w:t>管线项目</w:t>
      </w:r>
      <w:r>
        <w:rPr>
          <w:rFonts w:ascii="Times New Roman" w:hAnsi="Times New Roman" w:eastAsia="宋体" w:cs="Times New Roman"/>
          <w:b/>
          <w:sz w:val="44"/>
          <w:szCs w:val="44"/>
          <w:lang w:val="zh-TW" w:eastAsia="zh-TW" w:bidi="zh-TW"/>
        </w:rPr>
        <w:t>环境影响报告书的批复</w:t>
      </w:r>
    </w:p>
    <w:p>
      <w:pPr>
        <w:spacing w:line="540" w:lineRule="exact"/>
        <w:ind w:firstLine="560" w:firstLineChars="200"/>
        <w:rPr>
          <w:rFonts w:ascii="仿宋" w:hAnsi="仿宋" w:eastAsia="仿宋" w:cs="仿宋"/>
          <w:sz w:val="28"/>
          <w:szCs w:val="24"/>
          <w:lang w:val="zh-TW" w:eastAsia="zh-TW" w:bidi="zh-TW"/>
        </w:rPr>
      </w:pPr>
    </w:p>
    <w:p>
      <w:pPr>
        <w:keepNext w:val="0"/>
        <w:keepLines w:val="0"/>
        <w:pageBreakBefore w:val="0"/>
        <w:kinsoku/>
        <w:wordWrap/>
        <w:overflowPunct/>
        <w:topLinePunct w:val="0"/>
        <w:autoSpaceDE/>
        <w:autoSpaceDN/>
        <w:bidi w:val="0"/>
        <w:spacing w:line="540" w:lineRule="exact"/>
        <w:textAlignment w:val="auto"/>
        <w:rPr>
          <w:rFonts w:hint="eastAsia" w:ascii="仿宋" w:hAnsi="仿宋" w:eastAsia="仿宋" w:cs="仿宋"/>
          <w:bCs/>
          <w:sz w:val="32"/>
          <w:szCs w:val="32"/>
          <w:lang w:val="zh-TW" w:eastAsia="zh-TW" w:bidi="zh-TW"/>
        </w:rPr>
      </w:pPr>
      <w:r>
        <w:rPr>
          <w:rFonts w:hint="eastAsia" w:ascii="仿宋" w:hAnsi="仿宋" w:eastAsia="仿宋" w:cs="仿宋"/>
          <w:bCs/>
          <w:sz w:val="32"/>
          <w:szCs w:val="32"/>
          <w:lang w:val="en-US" w:eastAsia="zh-CN" w:bidi="zh-TW"/>
        </w:rPr>
        <w:t>中国石油集团长城钻探工程有限公司苏里格气田分公司</w:t>
      </w:r>
      <w:r>
        <w:rPr>
          <w:rFonts w:hint="eastAsia" w:ascii="仿宋" w:hAnsi="仿宋" w:eastAsia="仿宋" w:cs="仿宋"/>
          <w:bCs/>
          <w:sz w:val="32"/>
          <w:szCs w:val="32"/>
          <w:lang w:val="zh-TW" w:eastAsia="zh-TW" w:bidi="zh-TW"/>
        </w:rPr>
        <w:t>：</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sz w:val="32"/>
          <w:szCs w:val="32"/>
          <w:lang w:val="zh-TW" w:eastAsia="zh-TW" w:bidi="zh-TW"/>
        </w:rPr>
      </w:pPr>
      <w:r>
        <w:rPr>
          <w:rFonts w:hint="eastAsia" w:ascii="仿宋" w:hAnsi="仿宋" w:eastAsia="仿宋" w:cs="仿宋"/>
          <w:bCs/>
          <w:sz w:val="32"/>
          <w:szCs w:val="32"/>
          <w:lang w:val="zh-TW" w:eastAsia="zh-TW" w:bidi="zh-TW"/>
        </w:rPr>
        <w:t>你公</w:t>
      </w:r>
      <w:r>
        <w:rPr>
          <w:rFonts w:hint="eastAsia" w:ascii="仿宋" w:hAnsi="仿宋" w:eastAsia="仿宋" w:cs="仿宋"/>
          <w:sz w:val="32"/>
          <w:szCs w:val="32"/>
          <w:lang w:val="zh-TW" w:eastAsia="zh-TW" w:bidi="zh-TW"/>
        </w:rPr>
        <w:t>司报送的由</w:t>
      </w:r>
      <w:r>
        <w:rPr>
          <w:rFonts w:hint="eastAsia" w:ascii="仿宋" w:hAnsi="仿宋" w:eastAsia="仿宋" w:cs="仿宋"/>
          <w:color w:val="auto"/>
          <w:sz w:val="32"/>
          <w:szCs w:val="32"/>
          <w:lang w:val="en-US" w:eastAsia="zh-CN"/>
        </w:rPr>
        <w:t>内蒙古鸣霄技术咨询有限责任公司</w:t>
      </w:r>
      <w:r>
        <w:rPr>
          <w:rFonts w:hint="eastAsia" w:ascii="仿宋" w:hAnsi="仿宋" w:eastAsia="仿宋" w:cs="仿宋"/>
          <w:color w:val="auto"/>
          <w:sz w:val="32"/>
          <w:szCs w:val="32"/>
        </w:rPr>
        <w:t>编制的《</w:t>
      </w:r>
      <w:r>
        <w:rPr>
          <w:rFonts w:hint="eastAsia" w:ascii="仿宋" w:hAnsi="仿宋" w:eastAsia="仿宋" w:cs="仿宋"/>
          <w:color w:val="auto"/>
          <w:sz w:val="32"/>
          <w:szCs w:val="32"/>
          <w:lang w:val="en-US" w:eastAsia="zh-CN"/>
        </w:rPr>
        <w:t>2023年苏10区块第二批产建配套天然气管线</w:t>
      </w:r>
      <w:r>
        <w:rPr>
          <w:rFonts w:hint="eastAsia" w:ascii="仿宋" w:hAnsi="仿宋" w:eastAsia="仿宋" w:cs="仿宋"/>
          <w:color w:val="auto"/>
          <w:sz w:val="32"/>
          <w:szCs w:val="32"/>
        </w:rPr>
        <w:t>项目环境影响报告书》</w:t>
      </w:r>
      <w:r>
        <w:rPr>
          <w:rFonts w:hint="eastAsia" w:ascii="仿宋" w:hAnsi="仿宋" w:eastAsia="仿宋" w:cs="仿宋"/>
          <w:sz w:val="32"/>
          <w:szCs w:val="32"/>
          <w:lang w:val="zh-TW" w:eastAsia="zh-TW" w:bidi="zh-TW"/>
        </w:rPr>
        <w:t>（以下简称《报告书》）收悉</w:t>
      </w:r>
      <w:r>
        <w:rPr>
          <w:rFonts w:hint="eastAsia" w:ascii="仿宋" w:hAnsi="仿宋" w:eastAsia="仿宋" w:cs="仿宋"/>
          <w:sz w:val="32"/>
          <w:szCs w:val="32"/>
          <w:lang w:val="zh-TW" w:bidi="zh-TW"/>
        </w:rPr>
        <w:t>，</w:t>
      </w:r>
      <w:r>
        <w:rPr>
          <w:rFonts w:hint="eastAsia" w:ascii="仿宋" w:hAnsi="仿宋" w:eastAsia="仿宋" w:cs="仿宋"/>
          <w:sz w:val="32"/>
          <w:szCs w:val="32"/>
        </w:rPr>
        <w:t>鄂尔多斯市生态环境局综合保障中心组织专家对该项目进行了技术评估，并形成了该项目的技术评估报告。根据《报告</w:t>
      </w:r>
      <w:r>
        <w:rPr>
          <w:rFonts w:hint="eastAsia" w:ascii="仿宋" w:hAnsi="仿宋" w:eastAsia="仿宋" w:cs="仿宋"/>
          <w:sz w:val="32"/>
          <w:szCs w:val="32"/>
          <w:lang w:val="en-US" w:eastAsia="zh-CN"/>
        </w:rPr>
        <w:t>书</w:t>
      </w:r>
      <w:r>
        <w:rPr>
          <w:rFonts w:hint="eastAsia" w:ascii="仿宋" w:hAnsi="仿宋" w:eastAsia="仿宋" w:cs="仿宋"/>
          <w:sz w:val="32"/>
          <w:szCs w:val="32"/>
        </w:rPr>
        <w:t>》和《技术评估报告》，经研究，现批复如下：</w:t>
      </w:r>
    </w:p>
    <w:p>
      <w:pPr>
        <w:keepNext w:val="0"/>
        <w:keepLines w:val="0"/>
        <w:pageBreakBefore w:val="0"/>
        <w:kinsoku/>
        <w:wordWrap/>
        <w:overflowPunct/>
        <w:topLinePunct w:val="0"/>
        <w:autoSpaceDE/>
        <w:autoSpaceDN/>
        <w:bidi w:val="0"/>
        <w:spacing w:line="540" w:lineRule="exact"/>
        <w:ind w:firstLine="640" w:firstLineChars="200"/>
        <w:rPr>
          <w:rFonts w:hint="eastAsia" w:ascii="仿宋" w:hAnsi="仿宋" w:eastAsia="仿宋" w:cs="仿宋"/>
          <w:sz w:val="32"/>
          <w:szCs w:val="32"/>
          <w:lang w:val="zh-TW" w:eastAsia="zh-TW" w:bidi="zh-TW"/>
        </w:rPr>
      </w:pPr>
      <w:r>
        <w:rPr>
          <w:rFonts w:hint="eastAsia" w:ascii="Times New Roman" w:hAnsi="Times New Roman" w:eastAsia="仿宋_GB2312" w:cs="Times New Roman"/>
          <w:color w:val="auto"/>
          <w:sz w:val="32"/>
          <w:szCs w:val="32"/>
          <w:lang w:val="en-US" w:eastAsia="zh-CN"/>
        </w:rPr>
        <w:t>一、</w:t>
      </w:r>
      <w:r>
        <w:rPr>
          <w:rFonts w:hint="eastAsia" w:ascii="仿宋" w:hAnsi="仿宋" w:eastAsia="仿宋" w:cs="仿宋"/>
          <w:sz w:val="32"/>
          <w:szCs w:val="32"/>
          <w:lang w:val="en-US" w:eastAsia="zh-CN" w:bidi="zh-TW"/>
        </w:rPr>
        <w:t>本</w:t>
      </w:r>
      <w:r>
        <w:rPr>
          <w:rFonts w:hint="eastAsia" w:ascii="仿宋" w:hAnsi="仿宋" w:eastAsia="仿宋" w:cs="仿宋"/>
          <w:sz w:val="32"/>
          <w:szCs w:val="32"/>
          <w:lang w:val="zh-TW" w:eastAsia="zh-TW" w:bidi="zh-TW"/>
        </w:rPr>
        <w:t>项目为内部集输管线</w:t>
      </w:r>
      <w:r>
        <w:rPr>
          <w:rFonts w:hint="eastAsia" w:ascii="仿宋" w:hAnsi="仿宋" w:eastAsia="仿宋" w:cs="仿宋"/>
          <w:sz w:val="32"/>
          <w:szCs w:val="32"/>
          <w:lang w:val="zh-TW" w:eastAsia="zh-CN" w:bidi="zh-TW"/>
        </w:rPr>
        <w:t>，位于鄂尔多斯市乌审旗以及鄂托克旗境内。</w:t>
      </w:r>
      <w:r>
        <w:rPr>
          <w:rFonts w:hint="eastAsia" w:ascii="仿宋" w:hAnsi="仿宋" w:eastAsia="仿宋" w:cs="仿宋"/>
          <w:sz w:val="32"/>
          <w:szCs w:val="32"/>
          <w:lang w:val="en-US" w:eastAsia="zh-CN" w:bidi="zh-TW"/>
        </w:rPr>
        <w:t>本项目共建设23条天然气输气管线，管线全长33.778km。本项目管线两端所涉及的采气井、</w:t>
      </w:r>
      <w:r>
        <w:rPr>
          <w:rFonts w:hint="default" w:ascii="仿宋" w:hAnsi="仿宋" w:eastAsia="仿宋" w:cs="仿宋"/>
          <w:sz w:val="32"/>
          <w:szCs w:val="32"/>
          <w:lang w:val="en-US" w:eastAsia="zh-CN" w:bidi="zh-TW"/>
        </w:rPr>
        <w:t>集气站</w:t>
      </w:r>
      <w:r>
        <w:rPr>
          <w:rFonts w:hint="eastAsia" w:ascii="仿宋" w:hAnsi="仿宋" w:eastAsia="仿宋" w:cs="仿宋"/>
          <w:sz w:val="32"/>
          <w:szCs w:val="32"/>
          <w:lang w:val="en-US" w:eastAsia="zh-CN" w:bidi="zh-TW"/>
        </w:rPr>
        <w:t>及阀组</w:t>
      </w:r>
      <w:r>
        <w:rPr>
          <w:rFonts w:hint="default" w:ascii="仿宋" w:hAnsi="仿宋" w:eastAsia="仿宋" w:cs="仿宋"/>
          <w:sz w:val="32"/>
          <w:szCs w:val="32"/>
          <w:lang w:val="en-US" w:eastAsia="zh-CN" w:bidi="zh-TW"/>
        </w:rPr>
        <w:t>均已办理环</w:t>
      </w:r>
      <w:r>
        <w:rPr>
          <w:rFonts w:hint="eastAsia" w:ascii="仿宋" w:hAnsi="仿宋" w:eastAsia="仿宋" w:cs="仿宋"/>
          <w:sz w:val="32"/>
          <w:szCs w:val="32"/>
          <w:lang w:val="en-US" w:eastAsia="zh-CN" w:bidi="zh-TW"/>
        </w:rPr>
        <w:t>保</w:t>
      </w:r>
      <w:r>
        <w:rPr>
          <w:rFonts w:hint="default" w:ascii="仿宋" w:hAnsi="仿宋" w:eastAsia="仿宋" w:cs="仿宋"/>
          <w:sz w:val="32"/>
          <w:szCs w:val="32"/>
          <w:lang w:val="en-US" w:eastAsia="zh-CN" w:bidi="zh-TW"/>
        </w:rPr>
        <w:t>手续</w:t>
      </w:r>
      <w:r>
        <w:rPr>
          <w:rFonts w:hint="eastAsia" w:ascii="仿宋" w:hAnsi="仿宋" w:eastAsia="仿宋" w:cs="仿宋"/>
          <w:sz w:val="32"/>
          <w:szCs w:val="32"/>
          <w:lang w:val="en-US" w:eastAsia="zh-CN" w:bidi="zh-TW"/>
        </w:rPr>
        <w:t>。项目</w:t>
      </w:r>
      <w:r>
        <w:rPr>
          <w:rFonts w:hint="eastAsia" w:ascii="仿宋" w:hAnsi="仿宋" w:eastAsia="仿宋" w:cs="仿宋"/>
          <w:sz w:val="32"/>
          <w:szCs w:val="32"/>
          <w:lang w:val="zh-TW" w:eastAsia="zh-TW" w:bidi="zh-TW"/>
        </w:rPr>
        <w:t>总投资</w:t>
      </w:r>
      <w:r>
        <w:rPr>
          <w:rFonts w:hint="eastAsia" w:ascii="仿宋" w:hAnsi="仿宋" w:eastAsia="仿宋" w:cs="仿宋"/>
          <w:sz w:val="32"/>
          <w:szCs w:val="32"/>
          <w:lang w:val="en-US" w:eastAsia="zh-CN" w:bidi="zh-TW"/>
        </w:rPr>
        <w:t>1113.1</w:t>
      </w:r>
      <w:r>
        <w:rPr>
          <w:rFonts w:hint="eastAsia" w:ascii="仿宋" w:hAnsi="仿宋" w:eastAsia="仿宋" w:cs="仿宋"/>
          <w:sz w:val="32"/>
          <w:szCs w:val="32"/>
          <w:lang w:val="zh-TW" w:eastAsia="zh-TW" w:bidi="zh-TW"/>
        </w:rPr>
        <w:t>万元，其中环保投资</w:t>
      </w:r>
      <w:bookmarkStart w:id="2" w:name="_GoBack"/>
      <w:r>
        <w:rPr>
          <w:rFonts w:hint="eastAsia" w:ascii="仿宋" w:hAnsi="仿宋" w:eastAsia="仿宋" w:cs="仿宋"/>
          <w:sz w:val="32"/>
          <w:szCs w:val="32"/>
          <w:lang w:val="en-US" w:eastAsia="zh-CN" w:bidi="zh-TW"/>
        </w:rPr>
        <w:t>329</w:t>
      </w:r>
      <w:bookmarkEnd w:id="2"/>
      <w:r>
        <w:rPr>
          <w:rFonts w:hint="eastAsia" w:ascii="仿宋" w:hAnsi="仿宋" w:eastAsia="仿宋" w:cs="仿宋"/>
          <w:sz w:val="32"/>
          <w:szCs w:val="32"/>
          <w:lang w:val="zh-TW" w:eastAsia="zh-TW" w:bidi="zh-TW"/>
        </w:rPr>
        <w:t>万元，占总投资的</w:t>
      </w:r>
      <w:r>
        <w:rPr>
          <w:rFonts w:hint="eastAsia" w:ascii="仿宋" w:hAnsi="仿宋" w:eastAsia="仿宋" w:cs="仿宋"/>
          <w:sz w:val="32"/>
          <w:szCs w:val="32"/>
          <w:lang w:val="en-US" w:eastAsia="zh-CN" w:bidi="zh-TW"/>
        </w:rPr>
        <w:t>29.56</w:t>
      </w:r>
      <w:r>
        <w:rPr>
          <w:rFonts w:hint="eastAsia" w:ascii="仿宋" w:hAnsi="仿宋" w:eastAsia="仿宋" w:cs="仿宋"/>
          <w:sz w:val="32"/>
          <w:szCs w:val="32"/>
          <w:lang w:val="zh-TW" w:eastAsia="zh-TW" w:bidi="zh-TW"/>
        </w:rPr>
        <w:t>%。</w:t>
      </w:r>
    </w:p>
    <w:p>
      <w:pPr>
        <w:keepNext w:val="0"/>
        <w:keepLines w:val="0"/>
        <w:pageBreakBefore w:val="0"/>
        <w:kinsoku/>
        <w:wordWrap/>
        <w:overflowPunct/>
        <w:topLinePunct w:val="0"/>
        <w:autoSpaceDE/>
        <w:autoSpaceDN/>
        <w:bidi w:val="0"/>
        <w:spacing w:line="540" w:lineRule="exact"/>
        <w:ind w:firstLine="640" w:firstLineChars="200"/>
        <w:rPr>
          <w:rFonts w:hint="eastAsia" w:ascii="仿宋" w:hAnsi="仿宋" w:eastAsia="仿宋" w:cs="仿宋"/>
          <w:sz w:val="32"/>
          <w:szCs w:val="32"/>
          <w:lang w:val="en-US" w:eastAsia="zh-CN" w:bidi="zh-TW"/>
        </w:rPr>
      </w:pPr>
      <w:r>
        <w:rPr>
          <w:rFonts w:hint="eastAsia" w:ascii="仿宋" w:hAnsi="仿宋" w:eastAsia="仿宋" w:cs="仿宋"/>
          <w:sz w:val="32"/>
          <w:szCs w:val="32"/>
          <w:lang w:val="en-US" w:eastAsia="zh-CN" w:bidi="zh-TW"/>
        </w:rPr>
        <w:t>《报告书》和《技术评估报告》认为，在全面落实各项生态环境保护措施的前提下，项目建设对环境的不利影响能够得到一定的缓解和控制。因此，我局原则同意你公司按照《报告书》和《技术评估报告》中所列的建设项目性质、规模、地点、工艺、生态环境保护措施进行建设。</w:t>
      </w:r>
    </w:p>
    <w:p>
      <w:pPr>
        <w:keepNext w:val="0"/>
        <w:keepLines w:val="0"/>
        <w:pageBreakBefore w:val="0"/>
        <w:widowControl w:val="0"/>
        <w:kinsoku/>
        <w:wordWrap/>
        <w:overflowPunct/>
        <w:topLinePunct w:val="0"/>
        <w:autoSpaceDE/>
        <w:autoSpaceDN/>
        <w:bidi w:val="0"/>
        <w:adjustRightInd w:val="0"/>
        <w:snapToGrid w:val="0"/>
        <w:spacing w:line="540" w:lineRule="exact"/>
        <w:ind w:firstLine="640"/>
        <w:textAlignment w:val="baseline"/>
        <w:rPr>
          <w:rFonts w:hint="eastAsia" w:ascii="仿宋" w:hAnsi="仿宋" w:eastAsia="仿宋" w:cs="仿宋"/>
          <w:color w:val="000000"/>
          <w:sz w:val="32"/>
          <w:szCs w:val="32"/>
        </w:rPr>
      </w:pPr>
      <w:bookmarkStart w:id="0" w:name="bookmark2"/>
      <w:bookmarkEnd w:id="0"/>
      <w:bookmarkStart w:id="1" w:name="bookmark3"/>
      <w:bookmarkEnd w:id="1"/>
      <w:r>
        <w:rPr>
          <w:rFonts w:hint="eastAsia" w:ascii="仿宋" w:hAnsi="仿宋" w:eastAsia="仿宋" w:cs="仿宋"/>
          <w:color w:val="000000"/>
          <w:sz w:val="32"/>
          <w:szCs w:val="32"/>
        </w:rPr>
        <w:t>二、项目建设与运行管理中应重点做好的工作：</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sz w:val="32"/>
          <w:szCs w:val="32"/>
          <w:lang w:val="zh-TW" w:eastAsia="zh-TW" w:bidi="zh-TW"/>
        </w:rPr>
      </w:pPr>
      <w:r>
        <w:rPr>
          <w:rFonts w:hint="eastAsia" w:ascii="仿宋" w:hAnsi="仿宋" w:eastAsia="仿宋" w:cs="仿宋"/>
          <w:sz w:val="32"/>
          <w:szCs w:val="32"/>
          <w:lang w:val="zh-TW" w:eastAsia="zh-TW" w:bidi="zh-TW"/>
        </w:rPr>
        <w:t>1.认真落实《鄂尔多斯市天然气开发</w:t>
      </w:r>
      <w:r>
        <w:rPr>
          <w:rFonts w:hint="eastAsia" w:ascii="仿宋" w:hAnsi="仿宋" w:eastAsia="仿宋" w:cs="仿宋"/>
          <w:sz w:val="32"/>
          <w:szCs w:val="32"/>
          <w:lang w:val="en-US" w:eastAsia="zh-CN" w:bidi="zh-TW"/>
        </w:rPr>
        <w:t>生态</w:t>
      </w:r>
      <w:r>
        <w:rPr>
          <w:rFonts w:hint="eastAsia" w:ascii="仿宋" w:hAnsi="仿宋" w:eastAsia="仿宋" w:cs="仿宋"/>
          <w:sz w:val="32"/>
          <w:szCs w:val="32"/>
          <w:lang w:val="zh-TW" w:eastAsia="zh-TW" w:bidi="zh-TW"/>
        </w:rPr>
        <w:t>环境保护</w:t>
      </w:r>
      <w:r>
        <w:rPr>
          <w:rFonts w:hint="eastAsia" w:ascii="仿宋" w:hAnsi="仿宋" w:eastAsia="仿宋" w:cs="仿宋"/>
          <w:sz w:val="32"/>
          <w:szCs w:val="32"/>
          <w:lang w:val="en-US" w:eastAsia="zh-CN" w:bidi="zh-TW"/>
        </w:rPr>
        <w:t>条例</w:t>
      </w:r>
      <w:r>
        <w:rPr>
          <w:rFonts w:hint="eastAsia" w:ascii="仿宋" w:hAnsi="仿宋" w:eastAsia="仿宋" w:cs="仿宋"/>
          <w:sz w:val="32"/>
          <w:szCs w:val="32"/>
          <w:lang w:val="zh-TW" w:eastAsia="zh-TW" w:bidi="zh-TW"/>
        </w:rPr>
        <w:t>》中提出的各项要求。</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sz w:val="32"/>
          <w:szCs w:val="32"/>
          <w:lang w:val="zh-TW" w:eastAsia="zh-TW" w:bidi="zh-TW"/>
        </w:rPr>
      </w:pPr>
      <w:r>
        <w:rPr>
          <w:rFonts w:hint="eastAsia" w:ascii="仿宋" w:hAnsi="仿宋" w:eastAsia="仿宋" w:cs="仿宋"/>
          <w:sz w:val="32"/>
          <w:szCs w:val="32"/>
          <w:lang w:val="en-US" w:eastAsia="zh-CN" w:bidi="zh-TW"/>
        </w:rPr>
        <w:t>2.</w:t>
      </w:r>
      <w:r>
        <w:rPr>
          <w:rFonts w:hint="eastAsia" w:ascii="仿宋" w:hAnsi="仿宋" w:eastAsia="仿宋" w:cs="仿宋"/>
          <w:sz w:val="32"/>
          <w:szCs w:val="32"/>
          <w:lang w:val="zh-TW" w:eastAsia="zh-TW" w:bidi="zh-TW"/>
        </w:rPr>
        <w:t>认真落实</w:t>
      </w:r>
      <w:r>
        <w:rPr>
          <w:rFonts w:hint="eastAsia" w:ascii="仿宋" w:hAnsi="仿宋" w:eastAsia="仿宋" w:cs="仿宋"/>
          <w:sz w:val="32"/>
          <w:szCs w:val="32"/>
          <w:lang w:val="en-US" w:eastAsia="zh-CN" w:bidi="zh-TW"/>
        </w:rPr>
        <w:t>各项</w:t>
      </w:r>
      <w:r>
        <w:rPr>
          <w:rFonts w:hint="eastAsia" w:ascii="仿宋" w:hAnsi="仿宋" w:eastAsia="仿宋" w:cs="仿宋"/>
          <w:sz w:val="32"/>
          <w:szCs w:val="32"/>
          <w:lang w:val="zh-TW" w:eastAsia="zh-TW" w:bidi="zh-TW"/>
        </w:rPr>
        <w:t>生态保护和恢复措施。</w:t>
      </w:r>
      <w:r>
        <w:rPr>
          <w:rFonts w:hint="eastAsia" w:ascii="仿宋" w:hAnsi="仿宋" w:eastAsia="仿宋" w:cs="仿宋"/>
          <w:sz w:val="32"/>
          <w:szCs w:val="32"/>
          <w:lang w:val="en-US" w:eastAsia="zh-CN" w:bidi="zh-TW"/>
        </w:rPr>
        <w:t>建设施工过程中加强管理，严格控制施工活动范围，施工作业带宽度严格按设计要求布设，不得随意扩大施工作业带宽度。工程施工前，对具备条件的区域进行表土剥离，作为后期植被恢复的绿化覆土。施工结束后，结合管线穿越区域植被类型，撒播当地物种，尽快复垦并恢复到与周围生态景观协调一致，生态恢复宽度应不小于施工作业宽度。加强对管线回填区的绿化和管理抚育工作，及时在管线两侧及其所涉及区域进行植被恢复，并</w:t>
      </w:r>
      <w:r>
        <w:rPr>
          <w:rFonts w:hint="default" w:ascii="仿宋" w:hAnsi="仿宋" w:eastAsia="仿宋" w:cs="仿宋"/>
          <w:sz w:val="32"/>
          <w:szCs w:val="32"/>
          <w:lang w:val="en-US" w:eastAsia="zh-CN" w:bidi="zh-TW"/>
        </w:rPr>
        <w:t>组织养护人员定期巡检，发现植被未存活地块及时补种，保证植被的成活率。</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sz w:val="32"/>
          <w:szCs w:val="32"/>
          <w:lang w:val="zh-TW" w:eastAsia="zh-CN" w:bidi="zh-TW"/>
        </w:rPr>
      </w:pPr>
      <w:r>
        <w:rPr>
          <w:rFonts w:hint="eastAsia" w:ascii="仿宋" w:hAnsi="仿宋" w:eastAsia="仿宋" w:cs="仿宋"/>
          <w:sz w:val="32"/>
          <w:szCs w:val="32"/>
          <w:lang w:val="zh-TW" w:eastAsia="zh-TW" w:bidi="zh-TW"/>
        </w:rPr>
        <w:t>3.</w:t>
      </w:r>
      <w:r>
        <w:rPr>
          <w:rFonts w:hint="eastAsia" w:ascii="仿宋" w:hAnsi="仿宋" w:eastAsia="仿宋" w:cs="仿宋"/>
          <w:sz w:val="32"/>
          <w:szCs w:val="32"/>
          <w:lang w:val="en-US" w:eastAsia="zh-CN" w:bidi="zh-TW"/>
        </w:rPr>
        <w:t>认真落实《报告书》和《技术评估报告》中提出的</w:t>
      </w:r>
      <w:r>
        <w:rPr>
          <w:rFonts w:hint="eastAsia" w:ascii="仿宋" w:hAnsi="仿宋" w:eastAsia="仿宋" w:cs="仿宋"/>
          <w:sz w:val="32"/>
          <w:szCs w:val="32"/>
          <w:lang w:val="zh-TW" w:eastAsia="zh-TW" w:bidi="zh-TW"/>
        </w:rPr>
        <w:t>大气污染防治措施。施工现场周边设置硬质封闭围挡</w:t>
      </w:r>
      <w:r>
        <w:rPr>
          <w:rFonts w:hint="eastAsia" w:ascii="仿宋" w:hAnsi="仿宋" w:eastAsia="仿宋" w:cs="仿宋"/>
          <w:sz w:val="32"/>
          <w:szCs w:val="32"/>
          <w:lang w:val="zh-TW" w:eastAsia="zh-CN" w:bidi="zh-TW"/>
        </w:rPr>
        <w:t>，</w:t>
      </w:r>
      <w:r>
        <w:rPr>
          <w:rFonts w:hint="eastAsia" w:ascii="仿宋" w:hAnsi="仿宋" w:eastAsia="仿宋" w:cs="仿宋"/>
          <w:sz w:val="32"/>
          <w:szCs w:val="32"/>
          <w:lang w:val="en-US" w:eastAsia="zh-CN" w:bidi="zh-TW"/>
        </w:rPr>
        <w:t>运输车辆进入施工现场应低速或限速行驶，减少产尘量；</w:t>
      </w:r>
      <w:r>
        <w:rPr>
          <w:rFonts w:hint="eastAsia" w:ascii="仿宋" w:hAnsi="仿宋" w:eastAsia="仿宋" w:cs="仿宋"/>
          <w:sz w:val="32"/>
          <w:szCs w:val="32"/>
          <w:lang w:val="zh-TW" w:eastAsia="zh-TW" w:bidi="zh-TW"/>
        </w:rPr>
        <w:t>定时对施工现场各扬尘点及道路洒水</w:t>
      </w:r>
      <w:r>
        <w:rPr>
          <w:rFonts w:hint="eastAsia" w:ascii="仿宋" w:hAnsi="仿宋" w:eastAsia="仿宋" w:cs="仿宋"/>
          <w:sz w:val="32"/>
          <w:szCs w:val="32"/>
          <w:lang w:val="zh-TW" w:eastAsia="zh-CN" w:bidi="zh-TW"/>
        </w:rPr>
        <w:t>；</w:t>
      </w:r>
      <w:r>
        <w:rPr>
          <w:rFonts w:hint="eastAsia" w:ascii="仿宋" w:hAnsi="仿宋" w:eastAsia="仿宋" w:cs="仿宋"/>
          <w:sz w:val="32"/>
          <w:szCs w:val="32"/>
          <w:lang w:val="zh-TW" w:eastAsia="zh-TW" w:bidi="zh-TW"/>
        </w:rPr>
        <w:t>土石方临时堆放时须使用苫布覆盖，避免露天堆放，施工结束后立即回填或用于土地平整</w:t>
      </w:r>
      <w:r>
        <w:rPr>
          <w:rFonts w:hint="eastAsia" w:ascii="仿宋" w:hAnsi="仿宋" w:eastAsia="仿宋" w:cs="仿宋"/>
          <w:sz w:val="32"/>
          <w:szCs w:val="32"/>
          <w:lang w:val="zh-TW" w:eastAsia="zh-CN" w:bidi="zh-TW"/>
        </w:rPr>
        <w:t>；</w:t>
      </w:r>
      <w:r>
        <w:rPr>
          <w:rFonts w:hint="eastAsia" w:ascii="仿宋" w:hAnsi="仿宋" w:eastAsia="仿宋" w:cs="仿宋"/>
          <w:sz w:val="32"/>
          <w:szCs w:val="32"/>
          <w:lang w:val="zh-TW" w:eastAsia="zh-TW" w:bidi="zh-TW"/>
        </w:rPr>
        <w:t>材料运输中要采取遮盖措施或利用密闭性运输车，运输车辆行驶路线要避开居民区等环境敏感点</w:t>
      </w:r>
      <w:r>
        <w:rPr>
          <w:rFonts w:hint="eastAsia" w:ascii="仿宋" w:hAnsi="仿宋" w:eastAsia="仿宋" w:cs="仿宋"/>
          <w:sz w:val="32"/>
          <w:szCs w:val="32"/>
          <w:lang w:val="zh-TW" w:eastAsia="zh-CN" w:bidi="zh-TW"/>
        </w:rPr>
        <w:t>；加强施工机械的保养维护，提高机械的正常使用率。</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sz w:val="32"/>
          <w:szCs w:val="32"/>
          <w:lang w:val="zh-TW" w:eastAsia="zh-CN" w:bidi="zh-TW"/>
        </w:rPr>
      </w:pPr>
      <w:r>
        <w:rPr>
          <w:rFonts w:hint="eastAsia" w:ascii="仿宋" w:hAnsi="仿宋" w:eastAsia="仿宋" w:cs="仿宋"/>
          <w:sz w:val="32"/>
          <w:szCs w:val="32"/>
          <w:lang w:val="en-US" w:eastAsia="zh-CN" w:bidi="zh-TW"/>
        </w:rPr>
        <w:t>4.认真落实《报告书》和《技术评估报告》中提出的</w:t>
      </w:r>
      <w:r>
        <w:rPr>
          <w:rFonts w:hint="eastAsia" w:ascii="仿宋" w:hAnsi="仿宋" w:eastAsia="仿宋" w:cs="仿宋"/>
          <w:sz w:val="32"/>
          <w:szCs w:val="32"/>
          <w:lang w:val="zh-TW" w:eastAsia="zh-TW" w:bidi="zh-TW"/>
        </w:rPr>
        <w:t>地下水污染防治措施。严格按照国家相关规范要求，对管道、设备等采取相应的措施，以防止和降低污染物的跑、冒、滴、漏；管道所经地区的地区等级、土壤类别、冻土深度及管道稳定性等要求综合确定，管道埋设深度为管顶覆土深度1.5m以下。加强地下管道及设施的固化和密封，采用防腐蚀和防爆材料。输气管线运行过程中采用压力监测等多种途径的监测手段。</w:t>
      </w:r>
      <w:r>
        <w:rPr>
          <w:rFonts w:hint="eastAsia" w:ascii="仿宋" w:hAnsi="仿宋" w:eastAsia="仿宋" w:cs="仿宋"/>
          <w:sz w:val="32"/>
          <w:szCs w:val="32"/>
          <w:lang w:val="en-US" w:eastAsia="zh-CN" w:bidi="zh-TW"/>
        </w:rPr>
        <w:t>管线防腐层结构：三层PE加强级防腐，第一层环氧粉末（FBE&gt;100μm)；第二层胶粘剂(AD）170～250μm；第三层聚乙烯（PE）2.5～3.7mm；管件、焊道外防腐层结构采用聚乙烯热收缩套(带)+聚乙烯热收缩套(带)，胶带宽100mm，补口厚度不小于1.4mm，与主管段环氧粉末防腐层的搭接宽度不小于200mm。7#、10#、16#、17#、18#、19#管线距离水井较近的管段加装钢筋混凝土套管</w:t>
      </w:r>
      <w:r>
        <w:rPr>
          <w:rFonts w:hint="eastAsia" w:ascii="仿宋" w:hAnsi="仿宋" w:eastAsia="仿宋" w:cs="仿宋"/>
          <w:sz w:val="32"/>
          <w:szCs w:val="32"/>
          <w:lang w:val="zh-TW" w:eastAsia="zh-TW" w:bidi="zh-TW"/>
        </w:rPr>
        <w:t>。</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sz w:val="32"/>
          <w:szCs w:val="32"/>
          <w:lang w:val="zh-TW" w:eastAsia="zh-TW" w:bidi="zh-TW"/>
        </w:rPr>
      </w:pPr>
      <w:r>
        <w:rPr>
          <w:rFonts w:hint="eastAsia" w:ascii="仿宋" w:hAnsi="仿宋" w:eastAsia="仿宋" w:cs="仿宋"/>
          <w:sz w:val="32"/>
          <w:szCs w:val="32"/>
          <w:lang w:val="en-US" w:eastAsia="zh-CN" w:bidi="zh-TW"/>
        </w:rPr>
        <w:t>5.</w:t>
      </w:r>
      <w:r>
        <w:rPr>
          <w:rFonts w:hint="eastAsia" w:ascii="仿宋" w:hAnsi="仿宋" w:eastAsia="仿宋" w:cs="仿宋"/>
          <w:sz w:val="32"/>
          <w:szCs w:val="32"/>
          <w:lang w:val="zh-TW" w:eastAsia="zh-TW" w:bidi="zh-TW"/>
        </w:rPr>
        <w:t>合理安排施工时间，尽量减少或避免夜间的施工操作</w:t>
      </w:r>
      <w:r>
        <w:rPr>
          <w:rFonts w:hint="eastAsia" w:ascii="仿宋" w:hAnsi="仿宋" w:eastAsia="仿宋" w:cs="仿宋"/>
          <w:sz w:val="32"/>
          <w:szCs w:val="32"/>
          <w:lang w:val="zh-TW" w:eastAsia="zh-CN" w:bidi="zh-TW"/>
        </w:rPr>
        <w:t>；</w:t>
      </w:r>
      <w:r>
        <w:rPr>
          <w:rFonts w:hint="eastAsia" w:ascii="仿宋" w:hAnsi="仿宋" w:eastAsia="仿宋" w:cs="仿宋"/>
          <w:sz w:val="32"/>
          <w:szCs w:val="32"/>
          <w:lang w:val="zh-TW" w:eastAsia="zh-TW" w:bidi="zh-TW"/>
        </w:rPr>
        <w:t>加强各类施工设备的维护和保养，保持其良好的运转，降低噪声源强；</w:t>
      </w:r>
      <w:r>
        <w:rPr>
          <w:rFonts w:hint="eastAsia" w:ascii="仿宋" w:hAnsi="仿宋" w:eastAsia="仿宋" w:cs="仿宋"/>
          <w:sz w:val="32"/>
          <w:szCs w:val="32"/>
          <w:lang w:val="zh-TW" w:eastAsia="zh-CN" w:bidi="zh-TW"/>
        </w:rPr>
        <w:t>强噪声设备尽量</w:t>
      </w:r>
      <w:r>
        <w:rPr>
          <w:rFonts w:hint="eastAsia" w:ascii="仿宋" w:hAnsi="仿宋" w:eastAsia="仿宋" w:cs="仿宋"/>
          <w:sz w:val="32"/>
          <w:szCs w:val="32"/>
          <w:lang w:val="en-US" w:eastAsia="zh-CN" w:bidi="zh-TW"/>
        </w:rPr>
        <w:t>远离</w:t>
      </w:r>
      <w:r>
        <w:rPr>
          <w:rFonts w:hint="eastAsia" w:ascii="仿宋" w:hAnsi="仿宋" w:eastAsia="仿宋" w:cs="仿宋"/>
          <w:sz w:val="32"/>
          <w:szCs w:val="32"/>
          <w:lang w:val="zh-TW" w:eastAsia="zh-CN" w:bidi="zh-TW"/>
        </w:rPr>
        <w:t>距离敏感目标。</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sz w:val="32"/>
          <w:szCs w:val="32"/>
          <w:lang w:val="zh-TW" w:eastAsia="zh-TW" w:bidi="zh-TW"/>
        </w:rPr>
      </w:pPr>
      <w:r>
        <w:rPr>
          <w:rFonts w:hint="eastAsia" w:ascii="仿宋" w:hAnsi="仿宋" w:eastAsia="仿宋" w:cs="仿宋"/>
          <w:sz w:val="32"/>
          <w:szCs w:val="32"/>
          <w:lang w:val="en-US" w:eastAsia="zh-CN" w:bidi="zh-TW"/>
        </w:rPr>
        <w:t>6</w:t>
      </w:r>
      <w:r>
        <w:rPr>
          <w:rFonts w:hint="eastAsia" w:ascii="仿宋" w:hAnsi="仿宋" w:eastAsia="仿宋" w:cs="仿宋"/>
          <w:sz w:val="32"/>
          <w:szCs w:val="32"/>
          <w:lang w:val="zh-TW" w:eastAsia="zh-TW" w:bidi="zh-TW"/>
        </w:rPr>
        <w:t>.</w:t>
      </w:r>
      <w:r>
        <w:rPr>
          <w:rFonts w:hint="eastAsia" w:ascii="仿宋" w:hAnsi="仿宋" w:eastAsia="仿宋" w:cs="仿宋"/>
          <w:sz w:val="32"/>
          <w:szCs w:val="32"/>
          <w:lang w:val="en-US" w:eastAsia="zh-CN" w:bidi="zh-TW"/>
        </w:rPr>
        <w:t>认真落实《报告书》和《技术评估报告》中提出的</w:t>
      </w:r>
      <w:r>
        <w:rPr>
          <w:rFonts w:hint="eastAsia" w:ascii="仿宋" w:hAnsi="仿宋" w:eastAsia="仿宋" w:cs="仿宋"/>
          <w:sz w:val="32"/>
          <w:szCs w:val="32"/>
          <w:lang w:val="zh-TW" w:eastAsia="zh-TW" w:bidi="zh-TW"/>
        </w:rPr>
        <w:t>固废污染防治措施。根据国家和地方的有关规定，按照“减量化、资源化、无害化”原则，对固体废物进行分类收集、处理和处置，确保不造成二次污染。一般固体废物应立足于综合利用</w:t>
      </w:r>
      <w:r>
        <w:rPr>
          <w:rFonts w:hint="default" w:ascii="仿宋" w:hAnsi="仿宋" w:eastAsia="仿宋" w:cs="仿宋"/>
          <w:sz w:val="32"/>
          <w:szCs w:val="32"/>
          <w:lang w:val="en-US" w:eastAsia="zh-TW" w:bidi="zh-TW"/>
        </w:rPr>
        <w:t>，</w:t>
      </w:r>
      <w:r>
        <w:rPr>
          <w:rFonts w:hint="eastAsia" w:ascii="仿宋" w:hAnsi="仿宋" w:eastAsia="仿宋" w:cs="仿宋"/>
          <w:sz w:val="32"/>
          <w:szCs w:val="32"/>
          <w:lang w:val="zh-TW" w:eastAsia="zh-TW" w:bidi="zh-TW"/>
        </w:rPr>
        <w:t>严格按照《一般工业固体废物贮存和填埋污染控制标准》</w:t>
      </w:r>
      <w:r>
        <w:rPr>
          <w:rStyle w:val="20"/>
          <w:rFonts w:hint="eastAsia" w:ascii="仿宋" w:hAnsi="仿宋" w:eastAsia="仿宋" w:cs="Times New Roman"/>
          <w:color w:val="auto"/>
          <w:sz w:val="32"/>
          <w:szCs w:val="32"/>
          <w:lang w:val="en-US" w:eastAsia="zh-CN"/>
        </w:rPr>
        <w:t>（GB18599-2020）</w:t>
      </w:r>
      <w:r>
        <w:rPr>
          <w:rFonts w:hint="eastAsia" w:ascii="仿宋" w:hAnsi="仿宋" w:eastAsia="仿宋" w:cs="仿宋"/>
          <w:sz w:val="32"/>
          <w:szCs w:val="32"/>
          <w:lang w:val="zh-TW" w:eastAsia="zh-TW" w:bidi="zh-TW"/>
        </w:rPr>
        <w:t>的要求，分类做好存贮和安全处置工作</w:t>
      </w:r>
      <w:r>
        <w:rPr>
          <w:rFonts w:hint="default" w:ascii="仿宋" w:hAnsi="仿宋" w:eastAsia="仿宋" w:cs="仿宋"/>
          <w:sz w:val="32"/>
          <w:szCs w:val="32"/>
          <w:lang w:val="en-US" w:eastAsia="zh-TW" w:bidi="zh-TW"/>
        </w:rPr>
        <w:t>，不得乱弃</w:t>
      </w:r>
      <w:r>
        <w:rPr>
          <w:rFonts w:hint="eastAsia" w:ascii="仿宋" w:hAnsi="仿宋" w:eastAsia="仿宋" w:cs="仿宋"/>
          <w:sz w:val="32"/>
          <w:szCs w:val="32"/>
          <w:lang w:val="zh-TW" w:eastAsia="zh-TW" w:bidi="zh-TW"/>
        </w:rPr>
        <w:t>。</w:t>
      </w:r>
    </w:p>
    <w:p>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bidi="zh-TW"/>
        </w:rPr>
      </w:pPr>
      <w:r>
        <w:rPr>
          <w:rFonts w:hint="eastAsia" w:ascii="仿宋" w:hAnsi="仿宋" w:eastAsia="仿宋" w:cs="仿宋"/>
          <w:sz w:val="32"/>
          <w:szCs w:val="32"/>
          <w:lang w:val="en-US" w:eastAsia="zh-CN" w:bidi="zh-TW"/>
        </w:rPr>
        <w:t>7</w:t>
      </w:r>
      <w:r>
        <w:rPr>
          <w:rFonts w:hint="eastAsia" w:ascii="仿宋" w:hAnsi="仿宋" w:eastAsia="仿宋" w:cs="仿宋"/>
          <w:sz w:val="32"/>
          <w:szCs w:val="32"/>
          <w:lang w:val="zh-TW" w:eastAsia="zh-TW" w:bidi="zh-TW"/>
        </w:rPr>
        <w:t>.</w:t>
      </w:r>
      <w:r>
        <w:rPr>
          <w:rFonts w:hint="eastAsia" w:ascii="仿宋" w:hAnsi="仿宋" w:eastAsia="仿宋" w:cs="仿宋"/>
          <w:sz w:val="32"/>
          <w:szCs w:val="32"/>
          <w:lang w:val="en-US" w:eastAsia="zh-CN" w:bidi="zh-TW"/>
        </w:rPr>
        <w:t>建设单位须强化环境风险防范，制定环境风险应急预案。落实环保设施安全生产要求，项目污染防治设施须与主体工程一起按照安全生产要求设计，有效防范因污染物事故排放或安全生产事故可能引发的环境风险。</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sz w:val="32"/>
          <w:szCs w:val="32"/>
          <w:lang w:val="zh-TW" w:eastAsia="zh-TW" w:bidi="zh-TW"/>
        </w:rPr>
      </w:pPr>
      <w:r>
        <w:rPr>
          <w:rFonts w:hint="eastAsia" w:ascii="仿宋" w:hAnsi="仿宋" w:eastAsia="仿宋" w:cs="仿宋"/>
          <w:sz w:val="32"/>
          <w:szCs w:val="32"/>
          <w:lang w:val="zh-TW" w:eastAsia="zh-TW" w:bidi="zh-TW"/>
        </w:rPr>
        <w:t>三、项目建设必须严格执行环境保护“三同时</w:t>
      </w:r>
      <w:r>
        <w:rPr>
          <w:rFonts w:hint="eastAsia" w:ascii="仿宋" w:hAnsi="仿宋" w:eastAsia="仿宋" w:cs="仿宋"/>
          <w:sz w:val="32"/>
          <w:szCs w:val="32"/>
          <w:lang w:val="zh-TW" w:eastAsia="zh-CN" w:bidi="zh-TW"/>
        </w:rPr>
        <w:t>”</w:t>
      </w:r>
      <w:r>
        <w:rPr>
          <w:rFonts w:hint="eastAsia" w:ascii="仿宋" w:hAnsi="仿宋" w:eastAsia="仿宋" w:cs="仿宋"/>
          <w:sz w:val="32"/>
          <w:szCs w:val="32"/>
          <w:lang w:val="zh-TW" w:eastAsia="zh-TW" w:bidi="zh-TW"/>
        </w:rPr>
        <w:t>制度。工程竣工后，须按照规定程序实施竣工环境保护验收。</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sz w:val="32"/>
          <w:szCs w:val="32"/>
          <w:lang w:val="zh-TW" w:eastAsia="zh-TW" w:bidi="zh-TW"/>
        </w:rPr>
      </w:pPr>
      <w:r>
        <w:rPr>
          <w:rFonts w:hint="eastAsia" w:ascii="仿宋" w:hAnsi="仿宋" w:eastAsia="仿宋" w:cs="仿宋"/>
          <w:sz w:val="32"/>
          <w:szCs w:val="32"/>
          <w:lang w:val="zh-TW" w:eastAsia="zh-TW" w:bidi="zh-TW"/>
        </w:rPr>
        <w:t>四、你公司应在收到本批复20日内，将《报告书》（报批版）及批复文件送至鄂尔多斯市生态环境局</w:t>
      </w:r>
      <w:r>
        <w:rPr>
          <w:rFonts w:hint="eastAsia" w:ascii="仿宋" w:hAnsi="仿宋" w:eastAsia="仿宋" w:cs="仿宋"/>
          <w:sz w:val="32"/>
          <w:szCs w:val="32"/>
          <w:lang w:val="en-US" w:eastAsia="zh-CN" w:bidi="zh-TW"/>
        </w:rPr>
        <w:t>乌审旗</w:t>
      </w:r>
      <w:r>
        <w:rPr>
          <w:rFonts w:hint="eastAsia" w:ascii="仿宋" w:hAnsi="仿宋" w:eastAsia="仿宋" w:cs="仿宋"/>
          <w:sz w:val="32"/>
          <w:szCs w:val="32"/>
          <w:lang w:val="zh-TW" w:eastAsia="zh-TW" w:bidi="zh-TW"/>
        </w:rPr>
        <w:t>分局</w:t>
      </w:r>
      <w:r>
        <w:rPr>
          <w:rFonts w:hint="eastAsia" w:ascii="仿宋" w:hAnsi="仿宋" w:eastAsia="仿宋" w:cs="仿宋"/>
          <w:sz w:val="32"/>
          <w:szCs w:val="32"/>
          <w:lang w:val="en-US" w:eastAsia="zh-CN" w:bidi="zh-TW"/>
        </w:rPr>
        <w:t>和</w:t>
      </w:r>
      <w:r>
        <w:rPr>
          <w:rFonts w:hint="eastAsia" w:ascii="仿宋" w:hAnsi="仿宋" w:eastAsia="仿宋" w:cs="仿宋"/>
          <w:sz w:val="32"/>
          <w:szCs w:val="32"/>
          <w:lang w:val="zh-TW" w:eastAsia="zh-TW" w:bidi="zh-TW"/>
        </w:rPr>
        <w:t>鄂尔多斯市生态环境局鄂托克旗分局，我局委托鄂尔多斯市生态环境局</w:t>
      </w:r>
      <w:r>
        <w:rPr>
          <w:rFonts w:hint="eastAsia" w:ascii="仿宋" w:hAnsi="仿宋" w:eastAsia="仿宋" w:cs="仿宋"/>
          <w:sz w:val="32"/>
          <w:szCs w:val="32"/>
          <w:lang w:val="en-US" w:eastAsia="zh-CN" w:bidi="zh-TW"/>
        </w:rPr>
        <w:t>乌审旗</w:t>
      </w:r>
      <w:r>
        <w:rPr>
          <w:rFonts w:hint="eastAsia" w:ascii="仿宋" w:hAnsi="仿宋" w:eastAsia="仿宋" w:cs="仿宋"/>
          <w:sz w:val="32"/>
          <w:szCs w:val="32"/>
          <w:lang w:val="zh-TW" w:eastAsia="zh-TW" w:bidi="zh-TW"/>
        </w:rPr>
        <w:t>分局</w:t>
      </w:r>
      <w:r>
        <w:rPr>
          <w:rFonts w:hint="eastAsia" w:ascii="仿宋" w:hAnsi="仿宋" w:eastAsia="仿宋" w:cs="仿宋"/>
          <w:sz w:val="32"/>
          <w:szCs w:val="32"/>
          <w:lang w:val="en-US" w:eastAsia="zh-CN" w:bidi="zh-TW"/>
        </w:rPr>
        <w:t>和</w:t>
      </w:r>
      <w:r>
        <w:rPr>
          <w:rFonts w:hint="eastAsia" w:ascii="仿宋" w:hAnsi="仿宋" w:eastAsia="仿宋" w:cs="仿宋"/>
          <w:sz w:val="32"/>
          <w:szCs w:val="32"/>
          <w:lang w:val="zh-TW" w:eastAsia="zh-TW" w:bidi="zh-TW"/>
        </w:rPr>
        <w:t>鄂尔多斯市生态环境局鄂托克旗分局负责该项目的日常监管工作。</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sz w:val="32"/>
          <w:szCs w:val="32"/>
          <w:lang w:val="zh-TW" w:eastAsia="zh-TW" w:bidi="zh-TW"/>
        </w:rPr>
      </w:pPr>
      <w:r>
        <w:rPr>
          <w:rFonts w:hint="eastAsia" w:ascii="仿宋" w:hAnsi="仿宋" w:eastAsia="仿宋" w:cs="仿宋"/>
          <w:sz w:val="32"/>
          <w:szCs w:val="32"/>
          <w:lang w:val="zh-TW" w:eastAsia="zh-TW" w:bidi="zh-TW"/>
        </w:rPr>
        <w:t>五、该项目从批准之日起超过5年方决定开工建设，其环评文件应重新审核。如果项目建设地点、规模、工艺、防治污染和防止生态破坏的措施等发生重大变化时</w:t>
      </w:r>
      <w:r>
        <w:rPr>
          <w:rFonts w:hint="eastAsia" w:ascii="仿宋" w:hAnsi="仿宋" w:eastAsia="仿宋" w:cs="仿宋"/>
          <w:sz w:val="32"/>
          <w:szCs w:val="32"/>
          <w:lang w:val="zh-TW" w:eastAsia="zh-CN" w:bidi="zh-TW"/>
        </w:rPr>
        <w:t>，</w:t>
      </w:r>
      <w:r>
        <w:rPr>
          <w:rFonts w:hint="eastAsia" w:ascii="仿宋" w:hAnsi="仿宋" w:eastAsia="仿宋" w:cs="仿宋"/>
          <w:sz w:val="32"/>
          <w:szCs w:val="32"/>
          <w:lang w:val="zh-TW" w:eastAsia="zh-TW" w:bidi="zh-TW"/>
        </w:rPr>
        <w:t>需重新报批环评文件。</w:t>
      </w:r>
    </w:p>
    <w:p>
      <w:pPr>
        <w:keepNext w:val="0"/>
        <w:keepLines w:val="0"/>
        <w:pageBreakBefore w:val="0"/>
        <w:widowControl w:val="0"/>
        <w:kinsoku/>
        <w:wordWrap/>
        <w:overflowPunct/>
        <w:topLinePunct w:val="0"/>
        <w:autoSpaceDE/>
        <w:autoSpaceDN/>
        <w:bidi w:val="0"/>
        <w:adjustRightInd w:val="0"/>
        <w:snapToGrid w:val="0"/>
        <w:spacing w:line="540" w:lineRule="exact"/>
        <w:rPr>
          <w:rFonts w:hint="eastAsia" w:ascii="仿宋" w:hAnsi="仿宋" w:eastAsia="仿宋" w:cs="仿宋"/>
          <w:sz w:val="32"/>
          <w:szCs w:val="32"/>
          <w:lang w:val="zh-TW" w:eastAsia="zh-TW" w:bidi="zh-TW"/>
        </w:rPr>
      </w:pPr>
    </w:p>
    <w:p>
      <w:pPr>
        <w:keepNext w:val="0"/>
        <w:keepLines w:val="0"/>
        <w:pageBreakBefore w:val="0"/>
        <w:widowControl w:val="0"/>
        <w:kinsoku/>
        <w:wordWrap/>
        <w:overflowPunct/>
        <w:topLinePunct w:val="0"/>
        <w:autoSpaceDE/>
        <w:autoSpaceDN/>
        <w:bidi w:val="0"/>
        <w:adjustRightInd w:val="0"/>
        <w:snapToGrid w:val="0"/>
        <w:spacing w:line="540" w:lineRule="exact"/>
        <w:ind w:firstLine="640"/>
        <w:jc w:val="center"/>
        <w:rPr>
          <w:rFonts w:hint="eastAsia" w:ascii="仿宋" w:hAnsi="仿宋" w:eastAsia="仿宋" w:cs="仿宋"/>
          <w:sz w:val="32"/>
          <w:szCs w:val="32"/>
          <w:lang w:val="en-US" w:eastAsia="zh-CN" w:bidi="zh-TW"/>
        </w:rPr>
      </w:pPr>
      <w:r>
        <w:rPr>
          <w:rFonts w:hint="eastAsia" w:ascii="仿宋" w:hAnsi="仿宋" w:eastAsia="仿宋" w:cs="仿宋"/>
          <w:sz w:val="32"/>
          <w:szCs w:val="32"/>
          <w:lang w:val="en-US" w:eastAsia="zh-CN" w:bidi="zh-TW"/>
        </w:rPr>
        <w:t xml:space="preserve">                        </w:t>
      </w:r>
    </w:p>
    <w:p>
      <w:pPr>
        <w:keepNext w:val="0"/>
        <w:keepLines w:val="0"/>
        <w:pageBreakBefore w:val="0"/>
        <w:widowControl w:val="0"/>
        <w:kinsoku/>
        <w:wordWrap/>
        <w:overflowPunct/>
        <w:topLinePunct w:val="0"/>
        <w:autoSpaceDE/>
        <w:autoSpaceDN/>
        <w:bidi w:val="0"/>
        <w:adjustRightInd w:val="0"/>
        <w:snapToGrid w:val="0"/>
        <w:spacing w:line="540" w:lineRule="exact"/>
        <w:ind w:firstLine="640"/>
        <w:jc w:val="center"/>
        <w:rPr>
          <w:rFonts w:hint="eastAsia" w:ascii="仿宋" w:hAnsi="仿宋" w:eastAsia="仿宋" w:cs="仿宋"/>
          <w:sz w:val="32"/>
          <w:szCs w:val="32"/>
          <w:lang w:val="zh-TW" w:eastAsia="zh-TW" w:bidi="zh-TW"/>
        </w:rPr>
      </w:pPr>
      <w:r>
        <w:rPr>
          <w:rFonts w:hint="default" w:ascii="仿宋" w:hAnsi="仿宋" w:eastAsia="仿宋" w:cs="仿宋"/>
          <w:sz w:val="32"/>
          <w:szCs w:val="32"/>
          <w:lang w:val="en-US" w:eastAsia="zh-CN" w:bidi="zh-TW"/>
        </w:rPr>
        <w:t xml:space="preserve">                       </w:t>
      </w:r>
      <w:r>
        <w:rPr>
          <w:rFonts w:hint="eastAsia" w:ascii="仿宋" w:hAnsi="仿宋" w:eastAsia="仿宋" w:cs="仿宋"/>
          <w:sz w:val="32"/>
          <w:szCs w:val="32"/>
          <w:lang w:val="en-US" w:eastAsia="zh-CN" w:bidi="zh-TW"/>
        </w:rPr>
        <w:t xml:space="preserve"> </w:t>
      </w:r>
      <w:r>
        <w:rPr>
          <w:rFonts w:hint="eastAsia" w:ascii="仿宋" w:hAnsi="仿宋" w:eastAsia="仿宋" w:cs="仿宋"/>
          <w:sz w:val="32"/>
          <w:szCs w:val="32"/>
          <w:lang w:val="zh-TW" w:eastAsia="zh-TW" w:bidi="zh-TW"/>
        </w:rPr>
        <w:t>鄂尔多斯市生态环境局</w:t>
      </w:r>
    </w:p>
    <w:p>
      <w:pPr>
        <w:keepNext w:val="0"/>
        <w:keepLines w:val="0"/>
        <w:pageBreakBefore w:val="0"/>
        <w:widowControl w:val="0"/>
        <w:kinsoku/>
        <w:wordWrap/>
        <w:overflowPunct/>
        <w:topLinePunct w:val="0"/>
        <w:autoSpaceDE/>
        <w:autoSpaceDN/>
        <w:bidi w:val="0"/>
        <w:adjustRightInd w:val="0"/>
        <w:snapToGrid w:val="0"/>
        <w:spacing w:line="540" w:lineRule="exact"/>
        <w:ind w:firstLine="640"/>
        <w:jc w:val="center"/>
        <w:rPr>
          <w:rFonts w:hint="eastAsia" w:ascii="仿宋" w:hAnsi="仿宋" w:eastAsia="仿宋" w:cs="仿宋"/>
          <w:sz w:val="32"/>
          <w:szCs w:val="32"/>
          <w:lang w:val="zh-TW" w:eastAsia="zh-TW" w:bidi="zh-TW"/>
        </w:rPr>
      </w:pPr>
      <w:r>
        <w:rPr>
          <w:rFonts w:hint="eastAsia" w:ascii="仿宋" w:hAnsi="仿宋" w:eastAsia="仿宋" w:cs="仿宋"/>
          <w:sz w:val="32"/>
          <w:szCs w:val="32"/>
          <w:lang w:val="en-US" w:eastAsia="zh-CN" w:bidi="zh-TW"/>
        </w:rPr>
        <w:t xml:space="preserve">                          </w:t>
      </w:r>
      <w:r>
        <w:rPr>
          <w:rFonts w:hint="eastAsia" w:ascii="仿宋" w:hAnsi="仿宋" w:eastAsia="仿宋" w:cs="仿宋"/>
          <w:sz w:val="32"/>
          <w:szCs w:val="32"/>
          <w:lang w:val="zh-TW" w:eastAsia="zh-TW" w:bidi="zh-TW"/>
        </w:rPr>
        <w:t>2023年</w:t>
      </w:r>
      <w:r>
        <w:rPr>
          <w:rFonts w:hint="eastAsia" w:ascii="仿宋" w:hAnsi="仿宋" w:eastAsia="仿宋" w:cs="仿宋"/>
          <w:sz w:val="32"/>
          <w:szCs w:val="32"/>
          <w:lang w:val="en-US" w:eastAsia="zh-CN" w:bidi="zh-TW"/>
        </w:rPr>
        <w:t>8</w:t>
      </w:r>
      <w:r>
        <w:rPr>
          <w:rFonts w:hint="eastAsia" w:ascii="仿宋" w:hAnsi="仿宋" w:eastAsia="仿宋" w:cs="仿宋"/>
          <w:sz w:val="32"/>
          <w:szCs w:val="32"/>
          <w:lang w:val="zh-TW" w:eastAsia="zh-TW" w:bidi="zh-TW"/>
        </w:rPr>
        <w:t>月</w:t>
      </w:r>
      <w:r>
        <w:rPr>
          <w:rFonts w:hint="eastAsia" w:ascii="仿宋" w:hAnsi="仿宋" w:eastAsia="仿宋" w:cs="仿宋"/>
          <w:sz w:val="32"/>
          <w:szCs w:val="32"/>
          <w:lang w:val="en-US" w:eastAsia="zh-CN" w:bidi="zh-TW"/>
        </w:rPr>
        <w:t>14</w:t>
      </w:r>
      <w:r>
        <w:rPr>
          <w:rFonts w:hint="eastAsia" w:ascii="仿宋" w:hAnsi="仿宋" w:eastAsia="仿宋" w:cs="仿宋"/>
          <w:sz w:val="32"/>
          <w:szCs w:val="32"/>
          <w:lang w:val="zh-TW" w:eastAsia="zh-TW" w:bidi="zh-TW"/>
        </w:rPr>
        <w:t>日</w:t>
      </w:r>
    </w:p>
    <w:p>
      <w:pPr>
        <w:pStyle w:val="12"/>
        <w:keepNext/>
        <w:keepLines w:val="0"/>
        <w:pageBreakBefore w:val="0"/>
        <w:widowControl w:val="0"/>
        <w:kinsoku/>
        <w:wordWrap/>
        <w:overflowPunct/>
        <w:topLinePunct w:val="0"/>
        <w:autoSpaceDE/>
        <w:autoSpaceDN/>
        <w:bidi w:val="0"/>
        <w:adjustRightInd/>
        <w:snapToGrid/>
        <w:spacing w:line="560" w:lineRule="exact"/>
        <w:ind w:left="0" w:leftChars="0" w:firstLine="0" w:firstLineChars="0"/>
        <w:jc w:val="right"/>
        <w:textAlignment w:val="auto"/>
      </w:pPr>
    </w:p>
    <w:p>
      <w:pPr>
        <w:pStyle w:val="2"/>
        <w:ind w:left="0" w:leftChars="0" w:firstLine="0" w:firstLineChars="0"/>
      </w:pPr>
    </w:p>
    <w:p/>
    <w:p>
      <w:pPr>
        <w:pStyle w:val="12"/>
        <w:ind w:left="0" w:leftChars="0" w:firstLine="0" w:firstLineChars="0"/>
      </w:pPr>
    </w:p>
    <w:p>
      <w:pPr>
        <w:pBdr>
          <w:top w:val="single" w:color="auto" w:sz="4" w:space="0"/>
          <w:bottom w:val="single" w:color="auto" w:sz="4" w:space="0"/>
        </w:pBdr>
        <w:spacing w:line="440" w:lineRule="exact"/>
        <w:rPr>
          <w:rFonts w:ascii="仿宋_GB2312" w:hAnsi="仿宋_GB2312" w:eastAsia="仿宋_GB2312" w:cs="仿宋_GB2312"/>
          <w:sz w:val="28"/>
          <w:szCs w:val="28"/>
          <w:lang w:val="zh-TW" w:eastAsia="zh-TW" w:bidi="zh-TW"/>
        </w:rPr>
      </w:pPr>
      <w:r>
        <w:rPr>
          <w:rFonts w:hint="eastAsia" w:ascii="仿宋_GB2312" w:hAnsi="仿宋_GB2312" w:eastAsia="仿宋_GB2312" w:cs="仿宋_GB2312"/>
          <w:sz w:val="28"/>
          <w:szCs w:val="28"/>
          <w:lang w:val="zh-TW" w:eastAsia="zh-TW" w:bidi="zh-TW"/>
        </w:rPr>
        <w:t>抄送：鄂尔多斯市生态环境</w:t>
      </w:r>
      <w:r>
        <w:rPr>
          <w:rFonts w:hint="eastAsia" w:ascii="仿宋_GB2312" w:hAnsi="仿宋_GB2312" w:eastAsia="仿宋_GB2312" w:cs="仿宋_GB2312"/>
          <w:sz w:val="28"/>
          <w:szCs w:val="28"/>
          <w:lang w:val="zh-TW" w:bidi="zh-TW"/>
        </w:rPr>
        <w:t>局</w:t>
      </w:r>
      <w:r>
        <w:rPr>
          <w:rFonts w:hint="eastAsia" w:ascii="仿宋_GB2312" w:hAnsi="仿宋_GB2312" w:eastAsia="仿宋_GB2312" w:cs="仿宋_GB2312"/>
          <w:sz w:val="28"/>
          <w:szCs w:val="28"/>
          <w:lang w:val="en-US" w:eastAsia="zh-CN" w:bidi="zh-TW"/>
        </w:rPr>
        <w:t>乌审旗</w:t>
      </w:r>
      <w:r>
        <w:rPr>
          <w:rFonts w:hint="eastAsia" w:ascii="仿宋_GB2312" w:hAnsi="仿宋_GB2312" w:eastAsia="仿宋_GB2312" w:cs="仿宋_GB2312"/>
          <w:sz w:val="28"/>
          <w:szCs w:val="28"/>
          <w:lang w:val="zh-TW" w:eastAsia="zh-TW" w:bidi="zh-TW"/>
        </w:rPr>
        <w:t>分局</w:t>
      </w:r>
      <w:r>
        <w:rPr>
          <w:rFonts w:hint="eastAsia" w:ascii="仿宋_GB2312" w:hAnsi="仿宋_GB2312" w:eastAsia="仿宋_GB2312" w:cs="仿宋_GB2312"/>
          <w:sz w:val="28"/>
          <w:szCs w:val="28"/>
          <w:lang w:val="zh-TW" w:bidi="zh-TW"/>
        </w:rPr>
        <w:t>，</w:t>
      </w:r>
      <w:r>
        <w:rPr>
          <w:rFonts w:hint="eastAsia" w:ascii="仿宋_GB2312" w:hAnsi="仿宋_GB2312" w:eastAsia="仿宋_GB2312" w:cs="仿宋_GB2312"/>
          <w:sz w:val="28"/>
          <w:szCs w:val="28"/>
          <w:lang w:val="zh-TW" w:eastAsia="zh-TW" w:bidi="zh-TW"/>
        </w:rPr>
        <w:t>鄂尔多斯市生态环境</w:t>
      </w:r>
      <w:r>
        <w:rPr>
          <w:rFonts w:hint="eastAsia" w:ascii="仿宋_GB2312" w:hAnsi="仿宋_GB2312" w:eastAsia="仿宋_GB2312" w:cs="仿宋_GB2312"/>
          <w:sz w:val="28"/>
          <w:szCs w:val="28"/>
          <w:lang w:val="zh-TW" w:bidi="zh-TW"/>
        </w:rPr>
        <w:t>局鄂托克旗</w:t>
      </w:r>
      <w:r>
        <w:rPr>
          <w:rFonts w:hint="eastAsia" w:ascii="仿宋_GB2312" w:hAnsi="仿宋_GB2312" w:eastAsia="仿宋_GB2312" w:cs="仿宋_GB2312"/>
          <w:sz w:val="28"/>
          <w:szCs w:val="28"/>
          <w:lang w:val="zh-TW" w:eastAsia="zh-TW" w:bidi="zh-TW"/>
        </w:rPr>
        <w:t>分局</w:t>
      </w:r>
      <w:r>
        <w:rPr>
          <w:rFonts w:hint="eastAsia" w:ascii="仿宋_GB2312" w:hAnsi="仿宋_GB2312" w:eastAsia="仿宋_GB2312" w:cs="仿宋_GB2312"/>
          <w:sz w:val="28"/>
          <w:szCs w:val="28"/>
          <w:lang w:val="zh-TW" w:eastAsia="zh-CN" w:bidi="zh-TW"/>
        </w:rPr>
        <w:t>，</w:t>
      </w:r>
      <w:r>
        <w:rPr>
          <w:rFonts w:hint="eastAsia" w:ascii="仿宋_GB2312" w:hAnsi="仿宋_GB2312" w:eastAsia="仿宋_GB2312" w:cs="仿宋_GB2312"/>
          <w:sz w:val="28"/>
          <w:szCs w:val="28"/>
          <w:lang w:val="zh-TW" w:bidi="zh-TW"/>
        </w:rPr>
        <w:t>市生态环境局综合保障中心</w:t>
      </w:r>
      <w:r>
        <w:rPr>
          <w:rFonts w:hint="eastAsia" w:ascii="仿宋_GB2312" w:hAnsi="仿宋_GB2312" w:eastAsia="仿宋_GB2312" w:cs="仿宋_GB2312"/>
          <w:sz w:val="28"/>
          <w:szCs w:val="28"/>
          <w:lang w:val="zh-TW" w:eastAsia="zh-CN" w:bidi="zh-TW"/>
        </w:rPr>
        <w:t>、</w:t>
      </w:r>
      <w:r>
        <w:rPr>
          <w:rFonts w:hint="eastAsia" w:ascii="仿宋_GB2312" w:hAnsi="仿宋_GB2312" w:eastAsia="仿宋_GB2312" w:cs="仿宋_GB2312"/>
          <w:sz w:val="28"/>
          <w:szCs w:val="28"/>
          <w:lang w:val="zh-TW" w:eastAsia="zh-TW" w:bidi="zh-TW"/>
        </w:rPr>
        <w:t>市</w:t>
      </w:r>
      <w:r>
        <w:rPr>
          <w:rFonts w:hint="eastAsia" w:ascii="仿宋_GB2312" w:hAnsi="仿宋_GB2312" w:eastAsia="仿宋_GB2312" w:cs="仿宋_GB2312"/>
          <w:sz w:val="28"/>
          <w:szCs w:val="28"/>
          <w:lang w:val="zh-TW" w:bidi="zh-TW"/>
        </w:rPr>
        <w:t>生态</w:t>
      </w:r>
      <w:r>
        <w:rPr>
          <w:rFonts w:hint="eastAsia" w:ascii="仿宋_GB2312" w:hAnsi="仿宋_GB2312" w:eastAsia="仿宋_GB2312" w:cs="仿宋_GB2312"/>
          <w:sz w:val="28"/>
          <w:szCs w:val="28"/>
          <w:lang w:val="zh-TW" w:eastAsia="zh-TW" w:bidi="zh-TW"/>
        </w:rPr>
        <w:t>环境</w:t>
      </w:r>
      <w:r>
        <w:rPr>
          <w:rFonts w:hint="eastAsia" w:ascii="仿宋_GB2312" w:hAnsi="仿宋_GB2312" w:eastAsia="仿宋_GB2312" w:cs="仿宋_GB2312"/>
          <w:sz w:val="28"/>
          <w:szCs w:val="28"/>
          <w:lang w:val="zh-TW" w:bidi="zh-TW"/>
        </w:rPr>
        <w:t>综合行政执法</w:t>
      </w:r>
      <w:r>
        <w:rPr>
          <w:rFonts w:hint="eastAsia" w:ascii="仿宋_GB2312" w:hAnsi="仿宋_GB2312" w:eastAsia="仿宋_GB2312" w:cs="仿宋_GB2312"/>
          <w:sz w:val="28"/>
          <w:szCs w:val="28"/>
          <w:lang w:val="zh-TW" w:eastAsia="zh-TW" w:bidi="zh-TW"/>
        </w:rPr>
        <w:t>支队，</w:t>
      </w:r>
      <w:r>
        <w:rPr>
          <w:rFonts w:hint="eastAsia" w:ascii="仿宋_GB2312" w:hAnsi="仿宋_GB2312" w:eastAsia="仿宋_GB2312" w:cs="仿宋_GB2312"/>
          <w:sz w:val="28"/>
          <w:szCs w:val="28"/>
          <w:lang w:val="en-US" w:eastAsia="zh-CN" w:bidi="zh-TW"/>
        </w:rPr>
        <w:t>内蒙古鸣霄技术咨询有限责任公司</w:t>
      </w:r>
      <w:r>
        <w:rPr>
          <w:rFonts w:hint="eastAsia" w:ascii="仿宋_GB2312" w:hAnsi="仿宋_GB2312" w:eastAsia="仿宋_GB2312" w:cs="仿宋_GB2312"/>
          <w:sz w:val="28"/>
          <w:szCs w:val="28"/>
          <w:lang w:val="zh-TW" w:eastAsia="zh-TW" w:bidi="zh-TW"/>
        </w:rPr>
        <w:t>。</w:t>
      </w:r>
    </w:p>
    <w:p>
      <w:pPr>
        <w:pBdr>
          <w:bottom w:val="single" w:color="auto" w:sz="4" w:space="0"/>
        </w:pBdr>
        <w:tabs>
          <w:tab w:val="left" w:pos="5746"/>
        </w:tabs>
        <w:spacing w:line="440" w:lineRule="exact"/>
        <w:rPr>
          <w:rFonts w:ascii="仿宋_GB2312" w:hAnsi="仿宋_GB2312" w:eastAsia="PMingLiU" w:cs="仿宋_GB2312"/>
          <w:sz w:val="28"/>
          <w:szCs w:val="32"/>
          <w:lang w:val="zh-TW" w:eastAsia="zh-TW" w:bidi="zh-TW"/>
        </w:rPr>
      </w:pPr>
      <w:r>
        <w:rPr>
          <w:rFonts w:hint="eastAsia" w:ascii="仿宋_GB2312" w:hAnsi="仿宋_GB2312" w:eastAsia="仿宋_GB2312" w:cs="仿宋_GB2312"/>
          <w:sz w:val="28"/>
          <w:szCs w:val="28"/>
          <w:lang w:val="zh-TW" w:eastAsia="zh-TW" w:bidi="zh-TW"/>
        </w:rPr>
        <w:t>鄂尔多斯市生态环境局</w:t>
      </w:r>
      <w:r>
        <w:rPr>
          <w:rFonts w:hint="eastAsia" w:ascii="仿宋_GB2312" w:hAnsi="仿宋_GB2312" w:eastAsia="仿宋_GB2312" w:cs="仿宋_GB2312"/>
          <w:color w:val="000000"/>
          <w:sz w:val="28"/>
          <w:szCs w:val="28"/>
          <w:lang w:val="zh-TW" w:eastAsia="zh-TW" w:bidi="zh-TW"/>
        </w:rPr>
        <w:tab/>
      </w:r>
      <w:r>
        <w:rPr>
          <w:rFonts w:hint="eastAsia" w:ascii="仿宋_GB2312" w:hAnsi="仿宋_GB2312" w:eastAsia="仿宋_GB2312" w:cs="仿宋_GB2312"/>
          <w:color w:val="000000"/>
          <w:sz w:val="28"/>
          <w:szCs w:val="28"/>
          <w:lang w:bidi="zh-TW"/>
        </w:rPr>
        <w:t xml:space="preserve">  </w:t>
      </w:r>
      <w:r>
        <w:rPr>
          <w:rFonts w:hint="eastAsia" w:ascii="仿宋_GB2312" w:hAnsi="仿宋_GB2312" w:eastAsia="仿宋_GB2312" w:cs="仿宋_GB2312"/>
          <w:color w:val="000000"/>
          <w:sz w:val="28"/>
          <w:szCs w:val="28"/>
          <w:lang w:val="zh-TW" w:eastAsia="zh-TW" w:bidi="zh-TW"/>
        </w:rPr>
        <w:t>20</w:t>
      </w:r>
      <w:r>
        <w:rPr>
          <w:rFonts w:hint="eastAsia" w:ascii="仿宋_GB2312" w:hAnsi="仿宋_GB2312" w:eastAsia="仿宋_GB2312" w:cs="仿宋_GB2312"/>
          <w:color w:val="000000"/>
          <w:sz w:val="28"/>
          <w:szCs w:val="28"/>
          <w:lang w:val="zh-TW" w:bidi="zh-TW"/>
        </w:rPr>
        <w:t>2</w:t>
      </w:r>
      <w:r>
        <w:rPr>
          <w:rFonts w:ascii="仿宋_GB2312" w:hAnsi="仿宋_GB2312" w:eastAsia="PMingLiU" w:cs="仿宋_GB2312"/>
          <w:color w:val="000000"/>
          <w:sz w:val="28"/>
          <w:szCs w:val="28"/>
          <w:lang w:val="zh-TW" w:eastAsia="zh-TW" w:bidi="zh-TW"/>
        </w:rPr>
        <w:t>3</w:t>
      </w:r>
      <w:r>
        <w:rPr>
          <w:rFonts w:hint="eastAsia" w:ascii="仿宋_GB2312" w:hAnsi="仿宋_GB2312" w:eastAsia="仿宋_GB2312" w:cs="仿宋_GB2312"/>
          <w:color w:val="000000"/>
          <w:sz w:val="28"/>
          <w:szCs w:val="28"/>
          <w:lang w:val="zh-TW" w:eastAsia="zh-TW" w:bidi="zh-TW"/>
        </w:rPr>
        <w:t>年</w:t>
      </w:r>
      <w:r>
        <w:rPr>
          <w:rFonts w:hint="eastAsia" w:ascii="仿宋_GB2312" w:hAnsi="仿宋_GB2312" w:eastAsia="仿宋_GB2312" w:cs="仿宋_GB2312"/>
          <w:color w:val="000000"/>
          <w:sz w:val="28"/>
          <w:szCs w:val="28"/>
          <w:lang w:val="en-US" w:eastAsia="zh-CN" w:bidi="zh-TW"/>
        </w:rPr>
        <w:t>8</w:t>
      </w:r>
      <w:r>
        <w:rPr>
          <w:rFonts w:hint="eastAsia" w:ascii="仿宋_GB2312" w:hAnsi="仿宋_GB2312" w:eastAsia="仿宋_GB2312" w:cs="仿宋_GB2312"/>
          <w:color w:val="000000"/>
          <w:sz w:val="28"/>
          <w:szCs w:val="28"/>
          <w:lang w:val="zh-TW" w:eastAsia="zh-TW" w:bidi="zh-TW"/>
        </w:rPr>
        <w:t>月</w:t>
      </w:r>
      <w:r>
        <w:rPr>
          <w:rFonts w:hint="eastAsia" w:ascii="仿宋_GB2312" w:hAnsi="仿宋_GB2312" w:eastAsia="仿宋_GB2312" w:cs="仿宋_GB2312"/>
          <w:color w:val="000000"/>
          <w:sz w:val="28"/>
          <w:szCs w:val="28"/>
          <w:lang w:val="en-US" w:eastAsia="zh-CN" w:bidi="zh-TW"/>
        </w:rPr>
        <w:t>14</w:t>
      </w:r>
      <w:r>
        <w:rPr>
          <w:rFonts w:hint="eastAsia" w:ascii="仿宋_GB2312" w:hAnsi="仿宋_GB2312" w:eastAsia="仿宋_GB2312" w:cs="仿宋_GB2312"/>
          <w:color w:val="000000"/>
          <w:sz w:val="28"/>
          <w:szCs w:val="28"/>
          <w:lang w:val="zh-TW" w:eastAsia="zh-TW" w:bidi="zh-TW"/>
        </w:rPr>
        <w:t>日印发</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134" w:left="1588" w:header="851" w:footer="737"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lear" w:pos="4153"/>
        <w:tab w:val="clear" w:pos="8306"/>
      </w:tabs>
      <w:ind w:right="218" w:rightChars="104" w:firstLine="560"/>
      <w:jc w:val="right"/>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5 -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lear" w:pos="4153"/>
        <w:tab w:val="clear" w:pos="8306"/>
      </w:tabs>
      <w:ind w:firstLine="560"/>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lear" w:pos="4153"/>
        <w:tab w:val="clear" w:pos="8306"/>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tabs>
        <w:tab w:val="left" w:pos="4200"/>
        <w:tab w:val="left" w:pos="4620"/>
        <w:tab w:val="left" w:pos="5040"/>
        <w:tab w:val="left" w:pos="5520"/>
        <w:tab w:val="clear" w:pos="4153"/>
        <w:tab w:val="clear" w:pos="8306"/>
      </w:tabs>
      <w:ind w:firstLine="360"/>
      <w:jc w:val="left"/>
    </w:pPr>
    <w:r>
      <w:tab/>
    </w:r>
    <w:r>
      <w:tab/>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NiMDc0M2M3NGUwMjY5NGMyMGQzMDAzMDBhMGMxYjkifQ=="/>
  </w:docVars>
  <w:rsids>
    <w:rsidRoot w:val="00E3272C"/>
    <w:rsid w:val="002D1DCF"/>
    <w:rsid w:val="00405B3D"/>
    <w:rsid w:val="00586B81"/>
    <w:rsid w:val="005E42B3"/>
    <w:rsid w:val="00920FA6"/>
    <w:rsid w:val="009C4B0C"/>
    <w:rsid w:val="00AC05AA"/>
    <w:rsid w:val="00AD5F4F"/>
    <w:rsid w:val="00E3272C"/>
    <w:rsid w:val="00E43E01"/>
    <w:rsid w:val="00F23CC7"/>
    <w:rsid w:val="00F40198"/>
    <w:rsid w:val="012E5EE8"/>
    <w:rsid w:val="063C11A1"/>
    <w:rsid w:val="110E42F0"/>
    <w:rsid w:val="13783B0B"/>
    <w:rsid w:val="13F31B01"/>
    <w:rsid w:val="1DCD83A4"/>
    <w:rsid w:val="28DF60E7"/>
    <w:rsid w:val="2BBDE259"/>
    <w:rsid w:val="2EDF107D"/>
    <w:rsid w:val="2FEB5690"/>
    <w:rsid w:val="32FFF0A2"/>
    <w:rsid w:val="33F42366"/>
    <w:rsid w:val="36CF3DC1"/>
    <w:rsid w:val="377B4C43"/>
    <w:rsid w:val="37DA6703"/>
    <w:rsid w:val="38C595AB"/>
    <w:rsid w:val="395D4868"/>
    <w:rsid w:val="3ADB907D"/>
    <w:rsid w:val="3CEB086E"/>
    <w:rsid w:val="3FB7CBB6"/>
    <w:rsid w:val="3FD30338"/>
    <w:rsid w:val="41CB6140"/>
    <w:rsid w:val="41E835A6"/>
    <w:rsid w:val="43F3FB99"/>
    <w:rsid w:val="4B940D9B"/>
    <w:rsid w:val="4EF76377"/>
    <w:rsid w:val="4F5F3C3D"/>
    <w:rsid w:val="4FC1B42C"/>
    <w:rsid w:val="4FDE18AF"/>
    <w:rsid w:val="5289589A"/>
    <w:rsid w:val="53F7E271"/>
    <w:rsid w:val="55BE218F"/>
    <w:rsid w:val="566AE65E"/>
    <w:rsid w:val="5BB7F633"/>
    <w:rsid w:val="5D5FF84F"/>
    <w:rsid w:val="5E854E37"/>
    <w:rsid w:val="5ED3F3B9"/>
    <w:rsid w:val="5F9F005F"/>
    <w:rsid w:val="5FEF7CB5"/>
    <w:rsid w:val="5FFF30C2"/>
    <w:rsid w:val="5FFF6525"/>
    <w:rsid w:val="68A5554E"/>
    <w:rsid w:val="697BF0D7"/>
    <w:rsid w:val="6997C887"/>
    <w:rsid w:val="69ABFDD8"/>
    <w:rsid w:val="6B7FE08F"/>
    <w:rsid w:val="6DF411A6"/>
    <w:rsid w:val="6EDEF735"/>
    <w:rsid w:val="6FBD7849"/>
    <w:rsid w:val="6FC91831"/>
    <w:rsid w:val="6FFB6144"/>
    <w:rsid w:val="6FFBA581"/>
    <w:rsid w:val="7375E3C4"/>
    <w:rsid w:val="747C2871"/>
    <w:rsid w:val="75E131E0"/>
    <w:rsid w:val="76B2628D"/>
    <w:rsid w:val="77AF0661"/>
    <w:rsid w:val="77B93B90"/>
    <w:rsid w:val="77CB0268"/>
    <w:rsid w:val="7937F659"/>
    <w:rsid w:val="79DF1F57"/>
    <w:rsid w:val="79F933B3"/>
    <w:rsid w:val="7C32AD3E"/>
    <w:rsid w:val="7DA5DE7A"/>
    <w:rsid w:val="7EBAB86C"/>
    <w:rsid w:val="7EFDFA1E"/>
    <w:rsid w:val="7F9DE71D"/>
    <w:rsid w:val="7F9FD3FD"/>
    <w:rsid w:val="7FCE999C"/>
    <w:rsid w:val="7FD7A92C"/>
    <w:rsid w:val="7FDDD56D"/>
    <w:rsid w:val="7FFA6BAF"/>
    <w:rsid w:val="9BF1939F"/>
    <w:rsid w:val="9FFD3FD2"/>
    <w:rsid w:val="9FFF6B67"/>
    <w:rsid w:val="AFB49C24"/>
    <w:rsid w:val="B57F82A8"/>
    <w:rsid w:val="B5FDF9DF"/>
    <w:rsid w:val="B6B3FC59"/>
    <w:rsid w:val="B8D731DD"/>
    <w:rsid w:val="BB7FA28F"/>
    <w:rsid w:val="BD732949"/>
    <w:rsid w:val="BDEFCE05"/>
    <w:rsid w:val="BF732E01"/>
    <w:rsid w:val="BFBFCB26"/>
    <w:rsid w:val="C9B73820"/>
    <w:rsid w:val="C9F77167"/>
    <w:rsid w:val="CED1317F"/>
    <w:rsid w:val="D27FCAB3"/>
    <w:rsid w:val="D2AE543E"/>
    <w:rsid w:val="D6D30408"/>
    <w:rsid w:val="D6F20B33"/>
    <w:rsid w:val="DDAF9564"/>
    <w:rsid w:val="DFFD5177"/>
    <w:rsid w:val="DFFF7745"/>
    <w:rsid w:val="EB67510E"/>
    <w:rsid w:val="EDCD7B37"/>
    <w:rsid w:val="EDED5A77"/>
    <w:rsid w:val="EF1FB26F"/>
    <w:rsid w:val="EF6B4E1A"/>
    <w:rsid w:val="EF9F47B9"/>
    <w:rsid w:val="F7E81E7B"/>
    <w:rsid w:val="F9AFF7B4"/>
    <w:rsid w:val="FABA26EE"/>
    <w:rsid w:val="FBCC7921"/>
    <w:rsid w:val="FBEB4FDD"/>
    <w:rsid w:val="FBFF7BA1"/>
    <w:rsid w:val="FD3F48A5"/>
    <w:rsid w:val="FE5B61B4"/>
    <w:rsid w:val="FE7398F8"/>
    <w:rsid w:val="FEBF2421"/>
    <w:rsid w:val="FF1B2133"/>
    <w:rsid w:val="FF8F2C30"/>
    <w:rsid w:val="FFAFDDFA"/>
    <w:rsid w:val="FFB7CA01"/>
    <w:rsid w:val="FFEF325E"/>
    <w:rsid w:val="FFF7CA83"/>
    <w:rsid w:val="FFFF2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index heading"/>
    <w:basedOn w:val="1"/>
    <w:next w:val="3"/>
    <w:qFormat/>
    <w:uiPriority w:val="0"/>
    <w:pPr>
      <w:spacing w:line="440" w:lineRule="exact"/>
      <w:ind w:firstLine="480" w:firstLineChars="200"/>
    </w:pPr>
    <w:rPr>
      <w:rFonts w:ascii="Times New Roman" w:hAnsi="Times New Roman"/>
      <w:sz w:val="24"/>
      <w:szCs w:val="20"/>
    </w:rPr>
  </w:style>
  <w:style w:type="paragraph" w:styleId="3">
    <w:name w:val="index 1"/>
    <w:basedOn w:val="1"/>
    <w:next w:val="1"/>
    <w:unhideWhenUsed/>
    <w:qFormat/>
    <w:uiPriority w:val="0"/>
    <w:pPr>
      <w:spacing w:line="440" w:lineRule="exact"/>
      <w:ind w:firstLineChars="200"/>
    </w:pPr>
    <w:rPr>
      <w:rFonts w:ascii="Times New Roman" w:hAnsi="Times New Roman"/>
      <w:sz w:val="24"/>
      <w:szCs w:val="24"/>
    </w:rPr>
  </w:style>
  <w:style w:type="paragraph" w:styleId="5">
    <w:name w:val="Normal Indent"/>
    <w:basedOn w:val="1"/>
    <w:next w:val="4"/>
    <w:qFormat/>
    <w:uiPriority w:val="0"/>
    <w:pPr>
      <w:ind w:firstLine="200" w:firstLineChars="200"/>
    </w:pPr>
  </w:style>
  <w:style w:type="paragraph" w:styleId="6">
    <w:name w:val="Salutation"/>
    <w:basedOn w:val="1"/>
    <w:next w:val="1"/>
    <w:link w:val="17"/>
    <w:unhideWhenUsed/>
    <w:qFormat/>
    <w:uiPriority w:val="99"/>
    <w:rPr>
      <w:rFonts w:ascii="仿宋_GB2312" w:hAnsi="仿宋_GB2312" w:eastAsia="仿宋_GB2312" w:cs="仿宋_GB2312"/>
      <w:sz w:val="32"/>
      <w:szCs w:val="32"/>
      <w:lang w:val="zh-TW" w:eastAsia="zh-TW" w:bidi="zh-TW"/>
    </w:rPr>
  </w:style>
  <w:style w:type="paragraph" w:styleId="7">
    <w:name w:val="Closing"/>
    <w:basedOn w:val="1"/>
    <w:link w:val="18"/>
    <w:unhideWhenUsed/>
    <w:qFormat/>
    <w:uiPriority w:val="99"/>
    <w:pPr>
      <w:ind w:left="100" w:leftChars="2100"/>
    </w:pPr>
    <w:rPr>
      <w:rFonts w:ascii="仿宋_GB2312" w:hAnsi="仿宋_GB2312" w:eastAsia="仿宋_GB2312" w:cs="仿宋_GB2312"/>
      <w:sz w:val="32"/>
      <w:szCs w:val="32"/>
      <w:lang w:val="zh-TW" w:eastAsia="zh-TW" w:bidi="zh-TW"/>
    </w:rPr>
  </w:style>
  <w:style w:type="paragraph" w:styleId="8">
    <w:name w:val="Body Text"/>
    <w:basedOn w:val="1"/>
    <w:qFormat/>
    <w:uiPriority w:val="0"/>
    <w:pPr>
      <w:spacing w:after="120" w:afterLines="0" w:afterAutospacing="0"/>
    </w:pPr>
  </w:style>
  <w:style w:type="paragraph" w:styleId="9">
    <w:name w:val="Body Text Indent"/>
    <w:basedOn w:val="1"/>
    <w:next w:val="1"/>
    <w:qFormat/>
    <w:uiPriority w:val="0"/>
    <w:pPr>
      <w:keepNext/>
      <w:widowControl w:val="0"/>
      <w:spacing w:line="360" w:lineRule="auto"/>
    </w:pPr>
    <w:rPr>
      <w:rFonts w:eastAsia="宋体"/>
      <w:sz w:val="24"/>
    </w:rPr>
  </w:style>
  <w:style w:type="paragraph" w:styleId="10">
    <w:name w:val="footer"/>
    <w:basedOn w:val="1"/>
    <w:next w:val="1"/>
    <w:link w:val="15"/>
    <w:qFormat/>
    <w:uiPriority w:val="0"/>
    <w:pPr>
      <w:tabs>
        <w:tab w:val="center" w:pos="4153"/>
        <w:tab w:val="right" w:pos="8306"/>
      </w:tabs>
      <w:snapToGrid w:val="0"/>
      <w:ind w:firstLine="200" w:firstLineChars="200"/>
      <w:jc w:val="left"/>
    </w:pPr>
    <w:rPr>
      <w:rFonts w:ascii="Times New Roman" w:hAnsi="Times New Roman" w:eastAsia="仿宋_GB2312" w:cs="Times New Roman"/>
      <w:sz w:val="18"/>
      <w:szCs w:val="18"/>
    </w:rPr>
  </w:style>
  <w:style w:type="paragraph" w:styleId="11">
    <w:name w:val="header"/>
    <w:basedOn w:val="1"/>
    <w:link w:val="16"/>
    <w:qFormat/>
    <w:uiPriority w:val="0"/>
    <w:pPr>
      <w:pBdr>
        <w:bottom w:val="single" w:color="auto" w:sz="6" w:space="1"/>
      </w:pBdr>
      <w:tabs>
        <w:tab w:val="center" w:pos="4153"/>
        <w:tab w:val="right" w:pos="8306"/>
      </w:tabs>
      <w:snapToGrid w:val="0"/>
      <w:ind w:firstLine="200" w:firstLineChars="200"/>
      <w:jc w:val="center"/>
    </w:pPr>
    <w:rPr>
      <w:rFonts w:ascii="Times New Roman" w:hAnsi="Times New Roman" w:eastAsia="仿宋_GB2312" w:cs="Times New Roman"/>
      <w:sz w:val="18"/>
      <w:szCs w:val="18"/>
    </w:rPr>
  </w:style>
  <w:style w:type="paragraph" w:styleId="12">
    <w:name w:val="Body Text First Indent 2"/>
    <w:basedOn w:val="9"/>
    <w:next w:val="1"/>
    <w:unhideWhenUsed/>
    <w:qFormat/>
    <w:uiPriority w:val="99"/>
    <w:pPr>
      <w:ind w:firstLine="420" w:firstLineChars="200"/>
    </w:pPr>
  </w:style>
  <w:style w:type="character" w:customStyle="1" w:styleId="15">
    <w:name w:val="页脚 字符"/>
    <w:basedOn w:val="14"/>
    <w:link w:val="10"/>
    <w:qFormat/>
    <w:uiPriority w:val="0"/>
    <w:rPr>
      <w:rFonts w:ascii="Times New Roman" w:hAnsi="Times New Roman" w:eastAsia="仿宋_GB2312" w:cs="Times New Roman"/>
      <w:sz w:val="18"/>
      <w:szCs w:val="18"/>
    </w:rPr>
  </w:style>
  <w:style w:type="character" w:customStyle="1" w:styleId="16">
    <w:name w:val="页眉 字符"/>
    <w:basedOn w:val="14"/>
    <w:link w:val="11"/>
    <w:qFormat/>
    <w:uiPriority w:val="0"/>
    <w:rPr>
      <w:rFonts w:ascii="Times New Roman" w:hAnsi="Times New Roman" w:eastAsia="仿宋_GB2312" w:cs="Times New Roman"/>
      <w:sz w:val="18"/>
      <w:szCs w:val="18"/>
    </w:rPr>
  </w:style>
  <w:style w:type="character" w:customStyle="1" w:styleId="17">
    <w:name w:val="称呼 字符"/>
    <w:basedOn w:val="14"/>
    <w:link w:val="6"/>
    <w:qFormat/>
    <w:uiPriority w:val="99"/>
    <w:rPr>
      <w:rFonts w:ascii="仿宋_GB2312" w:hAnsi="仿宋_GB2312" w:eastAsia="仿宋_GB2312" w:cs="仿宋_GB2312"/>
      <w:sz w:val="32"/>
      <w:szCs w:val="32"/>
      <w:lang w:val="zh-TW" w:eastAsia="zh-TW" w:bidi="zh-TW"/>
    </w:rPr>
  </w:style>
  <w:style w:type="character" w:customStyle="1" w:styleId="18">
    <w:name w:val="结束语 字符"/>
    <w:basedOn w:val="14"/>
    <w:link w:val="7"/>
    <w:qFormat/>
    <w:uiPriority w:val="99"/>
    <w:rPr>
      <w:rFonts w:ascii="仿宋_GB2312" w:hAnsi="仿宋_GB2312" w:eastAsia="仿宋_GB2312" w:cs="仿宋_GB2312"/>
      <w:sz w:val="32"/>
      <w:szCs w:val="32"/>
      <w:lang w:val="zh-TW" w:eastAsia="zh-TW" w:bidi="zh-TW"/>
    </w:rPr>
  </w:style>
  <w:style w:type="paragraph" w:customStyle="1" w:styleId="19">
    <w:name w:val="Body text|2"/>
    <w:basedOn w:val="1"/>
    <w:qFormat/>
    <w:uiPriority w:val="0"/>
    <w:pPr>
      <w:spacing w:after="520" w:line="600" w:lineRule="exact"/>
      <w:jc w:val="center"/>
    </w:pPr>
    <w:rPr>
      <w:rFonts w:ascii="宋体" w:hAnsi="宋体" w:eastAsia="宋体" w:cs="宋体"/>
      <w:sz w:val="44"/>
      <w:szCs w:val="44"/>
      <w:lang w:val="zh-TW" w:eastAsia="zh-TW" w:bidi="zh-TW"/>
    </w:rPr>
  </w:style>
  <w:style w:type="character" w:customStyle="1" w:styleId="20">
    <w:name w:val="NormalCharacter"/>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1808</Words>
  <Characters>1852</Characters>
  <Lines>18</Lines>
  <Paragraphs>5</Paragraphs>
  <TotalTime>46</TotalTime>
  <ScaleCrop>false</ScaleCrop>
  <LinksUpToDate>false</LinksUpToDate>
  <CharactersWithSpaces>1855</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2023-04-02T18:57:00Z</dcterms:created>
  <dc:creator>West Phoenix</dc:creator>
  <cp:lastModifiedBy>Administrator</cp:lastModifiedBy>
  <cp:lastPrinted>2023-08-14T15:30:00Z</cp:lastPrinted>
  <dcterms:modified xsi:type="dcterms:W3CDTF">2023-08-30T02:56:18Z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E4FBACAEF0F94B2DA3E881D0D1C10E4D_13</vt:lpwstr>
  </property>
</Properties>
</file>