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rPr>
          <w:rFonts w:hint="eastAsia" w:eastAsia="仿宋"/>
          <w:color w:val="auto"/>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right"/>
        <w:rPr>
          <w:rFonts w:eastAsia="仿宋"/>
          <w:color w:val="auto"/>
          <w:highlight w:val="none"/>
        </w:rPr>
      </w:pPr>
    </w:p>
    <w:p>
      <w:pPr>
        <w:pStyle w:val="4"/>
        <w:keepNext w:val="0"/>
        <w:keepLines w:val="0"/>
        <w:pageBreakBefore w:val="0"/>
        <w:widowControl w:val="0"/>
        <w:kinsoku/>
        <w:wordWrap/>
        <w:overflowPunct/>
        <w:topLinePunct w:val="0"/>
        <w:autoSpaceDE/>
        <w:autoSpaceDN/>
        <w:bidi w:val="0"/>
        <w:spacing w:line="600" w:lineRule="exact"/>
        <w:rPr>
          <w:rFonts w:eastAsia="仿宋"/>
          <w:color w:val="auto"/>
          <w:highlight w:val="none"/>
        </w:rPr>
      </w:pPr>
    </w:p>
    <w:p>
      <w:pPr>
        <w:pStyle w:val="4"/>
        <w:keepNext w:val="0"/>
        <w:keepLines w:val="0"/>
        <w:pageBreakBefore w:val="0"/>
        <w:widowControl w:val="0"/>
        <w:kinsoku/>
        <w:wordWrap/>
        <w:overflowPunct/>
        <w:topLinePunct w:val="0"/>
        <w:autoSpaceDE/>
        <w:autoSpaceDN/>
        <w:bidi w:val="0"/>
        <w:spacing w:line="600" w:lineRule="exact"/>
        <w:rPr>
          <w:rFonts w:eastAsia="仿宋"/>
          <w:color w:val="auto"/>
          <w:highlight w:val="none"/>
        </w:rPr>
      </w:pPr>
    </w:p>
    <w:p>
      <w:pPr>
        <w:pStyle w:val="4"/>
        <w:keepNext w:val="0"/>
        <w:keepLines w:val="0"/>
        <w:pageBreakBefore w:val="0"/>
        <w:widowControl w:val="0"/>
        <w:kinsoku/>
        <w:wordWrap/>
        <w:overflowPunct/>
        <w:topLinePunct w:val="0"/>
        <w:autoSpaceDE/>
        <w:autoSpaceDN/>
        <w:bidi w:val="0"/>
        <w:spacing w:line="600" w:lineRule="exact"/>
        <w:rPr>
          <w:rFonts w:eastAsia="仿宋"/>
          <w:color w:val="auto"/>
          <w:highlight w:val="none"/>
        </w:rPr>
      </w:pPr>
    </w:p>
    <w:p>
      <w:pPr>
        <w:pStyle w:val="4"/>
        <w:keepNext w:val="0"/>
        <w:keepLines w:val="0"/>
        <w:pageBreakBefore w:val="0"/>
        <w:widowControl w:val="0"/>
        <w:kinsoku/>
        <w:wordWrap/>
        <w:overflowPunct/>
        <w:topLinePunct w:val="0"/>
        <w:autoSpaceDE/>
        <w:autoSpaceDN/>
        <w:bidi w:val="0"/>
        <w:spacing w:line="600" w:lineRule="exact"/>
        <w:rPr>
          <w:rFonts w:eastAsia="仿宋"/>
          <w:color w:val="auto"/>
          <w:highlight w:val="none"/>
        </w:rPr>
      </w:pPr>
    </w:p>
    <w:p>
      <w:pPr>
        <w:pStyle w:val="4"/>
        <w:keepNext w:val="0"/>
        <w:keepLines w:val="0"/>
        <w:pageBreakBefore w:val="0"/>
        <w:widowControl w:val="0"/>
        <w:kinsoku/>
        <w:wordWrap/>
        <w:overflowPunct/>
        <w:topLinePunct w:val="0"/>
        <w:autoSpaceDE/>
        <w:autoSpaceDN/>
        <w:bidi w:val="0"/>
        <w:spacing w:line="600" w:lineRule="exact"/>
        <w:rPr>
          <w:rFonts w:eastAsia="仿宋"/>
          <w:color w:val="auto"/>
          <w:highlight w:val="none"/>
        </w:rPr>
      </w:pPr>
    </w:p>
    <w:p>
      <w:pPr>
        <w:pStyle w:val="4"/>
        <w:keepNext w:val="0"/>
        <w:keepLines w:val="0"/>
        <w:pageBreakBefore w:val="0"/>
        <w:widowControl w:val="0"/>
        <w:kinsoku/>
        <w:wordWrap/>
        <w:overflowPunct/>
        <w:topLinePunct w:val="0"/>
        <w:autoSpaceDE/>
        <w:autoSpaceDN/>
        <w:bidi w:val="0"/>
        <w:spacing w:line="600" w:lineRule="exact"/>
        <w:ind w:left="0" w:leftChars="0" w:firstLine="0" w:firstLineChars="0"/>
        <w:rPr>
          <w:rFonts w:eastAsia="仿宋"/>
          <w:color w:val="auto"/>
          <w:highlight w:val="none"/>
        </w:rPr>
      </w:pPr>
    </w:p>
    <w:p>
      <w:pPr>
        <w:pStyle w:val="4"/>
        <w:keepNext w:val="0"/>
        <w:keepLines w:val="0"/>
        <w:pageBreakBefore w:val="0"/>
        <w:widowControl w:val="0"/>
        <w:kinsoku/>
        <w:wordWrap/>
        <w:overflowPunct/>
        <w:topLinePunct w:val="0"/>
        <w:autoSpaceDE/>
        <w:autoSpaceDN/>
        <w:bidi w:val="0"/>
        <w:spacing w:line="600" w:lineRule="exact"/>
        <w:rPr>
          <w:rFonts w:eastAsia="仿宋"/>
          <w:color w:val="auto"/>
          <w:highlight w:val="none"/>
        </w:rPr>
      </w:pPr>
    </w:p>
    <w:p>
      <w:pPr>
        <w:keepNext w:val="0"/>
        <w:keepLines w:val="0"/>
        <w:pageBreakBefore w:val="0"/>
        <w:widowControl w:val="0"/>
        <w:tabs>
          <w:tab w:val="left" w:pos="8280"/>
        </w:tabs>
        <w:kinsoku/>
        <w:wordWrap/>
        <w:overflowPunct/>
        <w:topLinePunct w:val="0"/>
        <w:autoSpaceDE/>
        <w:autoSpaceDN/>
        <w:bidi w:val="0"/>
        <w:spacing w:line="600" w:lineRule="exact"/>
        <w:ind w:right="26" w:firstLine="0" w:firstLineChars="0"/>
        <w:jc w:val="center"/>
        <w:rPr>
          <w:rFonts w:hint="eastAsia" w:ascii="仿宋" w:hAnsi="仿宋" w:eastAsia="仿宋" w:cs="仿宋"/>
          <w:color w:val="auto"/>
          <w:highlight w:val="none"/>
        </w:rPr>
      </w:pPr>
      <w:r>
        <w:rPr>
          <w:rFonts w:hint="eastAsia" w:ascii="仿宋" w:hAnsi="仿宋" w:eastAsia="仿宋" w:cs="仿宋"/>
          <w:color w:val="auto"/>
          <w:highlight w:val="none"/>
        </w:rPr>
        <w:t>鄂环</w:t>
      </w:r>
      <w:r>
        <w:rPr>
          <w:rFonts w:hint="eastAsia" w:ascii="仿宋" w:hAnsi="仿宋" w:eastAsia="仿宋" w:cs="仿宋"/>
          <w:color w:val="auto"/>
          <w:highlight w:val="none"/>
          <w:lang w:val="en-US" w:eastAsia="zh-CN"/>
        </w:rPr>
        <w:t>审</w:t>
      </w:r>
      <w:r>
        <w:rPr>
          <w:rFonts w:hint="eastAsia" w:ascii="仿宋" w:hAnsi="仿宋" w:eastAsia="仿宋" w:cs="仿宋"/>
          <w:color w:val="auto"/>
          <w:highlight w:val="none"/>
        </w:rPr>
        <w:t>字〔20</w:t>
      </w:r>
      <w:r>
        <w:rPr>
          <w:rFonts w:hint="eastAsia" w:ascii="仿宋" w:hAnsi="仿宋" w:eastAsia="仿宋" w:cs="仿宋"/>
          <w:color w:val="auto"/>
          <w:highlight w:val="none"/>
          <w:lang w:val="en-US" w:eastAsia="zh-CN"/>
        </w:rPr>
        <w:t>23</w:t>
      </w:r>
      <w:r>
        <w:rPr>
          <w:rFonts w:hint="eastAsia" w:ascii="仿宋" w:hAnsi="仿宋" w:eastAsia="仿宋" w:cs="仿宋"/>
          <w:color w:val="auto"/>
          <w:highlight w:val="none"/>
        </w:rPr>
        <w:t>〕</w:t>
      </w:r>
      <w:r>
        <w:rPr>
          <w:rFonts w:hint="eastAsia" w:ascii="仿宋" w:hAnsi="仿宋" w:eastAsia="仿宋" w:cs="仿宋"/>
          <w:color w:val="auto"/>
          <w:highlight w:val="none"/>
          <w:lang w:val="en-US" w:eastAsia="zh-CN"/>
        </w:rPr>
        <w:t>187</w:t>
      </w:r>
      <w:r>
        <w:rPr>
          <w:rFonts w:hint="eastAsia" w:ascii="仿宋" w:hAnsi="仿宋" w:eastAsia="仿宋" w:cs="仿宋"/>
          <w:color w:val="auto"/>
          <w:highlight w:val="none"/>
        </w:rPr>
        <w:t>号</w:t>
      </w:r>
    </w:p>
    <w:p>
      <w:pPr>
        <w:keepNext w:val="0"/>
        <w:keepLines w:val="0"/>
        <w:pageBreakBefore w:val="0"/>
        <w:widowControl w:val="0"/>
        <w:tabs>
          <w:tab w:val="left" w:pos="6780"/>
        </w:tabs>
        <w:kinsoku/>
        <w:wordWrap/>
        <w:overflowPunct/>
        <w:topLinePunct w:val="0"/>
        <w:autoSpaceDE/>
        <w:autoSpaceDN/>
        <w:bidi w:val="0"/>
        <w:spacing w:line="600" w:lineRule="exact"/>
        <w:ind w:firstLine="0" w:firstLineChars="0"/>
        <w:jc w:val="center"/>
        <w:rPr>
          <w:rFonts w:eastAsia="仿宋"/>
          <w:b/>
          <w:color w:val="auto"/>
          <w:sz w:val="36"/>
          <w:szCs w:val="36"/>
          <w:highlight w:val="none"/>
        </w:rPr>
      </w:pPr>
    </w:p>
    <w:p>
      <w:pPr>
        <w:keepNext w:val="0"/>
        <w:keepLines w:val="0"/>
        <w:pageBreakBefore w:val="0"/>
        <w:widowControl w:val="0"/>
        <w:kinsoku/>
        <w:wordWrap/>
        <w:overflowPunct/>
        <w:topLinePunct w:val="0"/>
        <w:autoSpaceDE/>
        <w:autoSpaceDN/>
        <w:bidi w:val="0"/>
        <w:spacing w:line="600" w:lineRule="exact"/>
        <w:ind w:firstLine="0" w:firstLineChars="0"/>
        <w:jc w:val="center"/>
        <w:rPr>
          <w:rFonts w:eastAsia="宋体"/>
          <w:b/>
          <w:color w:val="auto"/>
          <w:w w:val="95"/>
          <w:sz w:val="44"/>
          <w:szCs w:val="44"/>
          <w:highlight w:val="none"/>
        </w:rPr>
      </w:pPr>
      <w:r>
        <w:rPr>
          <w:rFonts w:eastAsia="宋体"/>
          <w:b/>
          <w:color w:val="auto"/>
          <w:w w:val="95"/>
          <w:sz w:val="44"/>
          <w:szCs w:val="44"/>
          <w:highlight w:val="none"/>
        </w:rPr>
        <w:t>鄂尔多斯市</w:t>
      </w:r>
      <w:r>
        <w:rPr>
          <w:rFonts w:hint="eastAsia" w:eastAsia="宋体"/>
          <w:b/>
          <w:color w:val="auto"/>
          <w:w w:val="95"/>
          <w:sz w:val="44"/>
          <w:szCs w:val="44"/>
          <w:highlight w:val="none"/>
        </w:rPr>
        <w:t>生态环境</w:t>
      </w:r>
      <w:r>
        <w:rPr>
          <w:rFonts w:eastAsia="宋体"/>
          <w:b/>
          <w:color w:val="auto"/>
          <w:w w:val="95"/>
          <w:sz w:val="44"/>
          <w:szCs w:val="44"/>
          <w:highlight w:val="none"/>
        </w:rPr>
        <w:t>局</w:t>
      </w:r>
    </w:p>
    <w:p>
      <w:pPr>
        <w:keepNext w:val="0"/>
        <w:keepLines w:val="0"/>
        <w:pageBreakBefore w:val="0"/>
        <w:widowControl w:val="0"/>
        <w:kinsoku/>
        <w:wordWrap/>
        <w:overflowPunct/>
        <w:topLinePunct w:val="0"/>
        <w:autoSpaceDE/>
        <w:autoSpaceDN/>
        <w:bidi w:val="0"/>
        <w:spacing w:line="600" w:lineRule="exact"/>
        <w:ind w:firstLine="0" w:firstLineChars="0"/>
        <w:jc w:val="center"/>
        <w:rPr>
          <w:rFonts w:hint="eastAsia" w:eastAsia="宋体"/>
          <w:b/>
          <w:color w:val="auto"/>
          <w:w w:val="95"/>
          <w:sz w:val="44"/>
          <w:szCs w:val="44"/>
          <w:highlight w:val="none"/>
        </w:rPr>
      </w:pPr>
      <w:r>
        <w:rPr>
          <w:rFonts w:eastAsia="宋体"/>
          <w:b/>
          <w:color w:val="auto"/>
          <w:w w:val="95"/>
          <w:sz w:val="44"/>
          <w:szCs w:val="44"/>
          <w:highlight w:val="none"/>
        </w:rPr>
        <w:t>关于</w:t>
      </w:r>
      <w:bookmarkStart w:id="0" w:name="_GoBack"/>
      <w:r>
        <w:rPr>
          <w:rFonts w:hint="eastAsia" w:eastAsia="宋体"/>
          <w:b/>
          <w:color w:val="auto"/>
          <w:w w:val="95"/>
          <w:sz w:val="44"/>
          <w:szCs w:val="44"/>
          <w:highlight w:val="none"/>
        </w:rPr>
        <w:t>鄂尔多斯市营盘壕煤炭有限公司</w:t>
      </w:r>
    </w:p>
    <w:p>
      <w:pPr>
        <w:keepNext w:val="0"/>
        <w:keepLines w:val="0"/>
        <w:pageBreakBefore w:val="0"/>
        <w:widowControl w:val="0"/>
        <w:kinsoku/>
        <w:wordWrap/>
        <w:overflowPunct/>
        <w:topLinePunct w:val="0"/>
        <w:autoSpaceDE/>
        <w:autoSpaceDN/>
        <w:bidi w:val="0"/>
        <w:spacing w:line="600" w:lineRule="exact"/>
        <w:ind w:firstLine="0" w:firstLineChars="0"/>
        <w:jc w:val="center"/>
        <w:rPr>
          <w:rFonts w:hint="eastAsia" w:eastAsia="宋体"/>
          <w:b/>
          <w:color w:val="auto"/>
          <w:w w:val="95"/>
          <w:sz w:val="44"/>
          <w:szCs w:val="44"/>
          <w:highlight w:val="none"/>
        </w:rPr>
      </w:pPr>
      <w:r>
        <w:rPr>
          <w:rFonts w:hint="eastAsia" w:eastAsia="宋体"/>
          <w:b/>
          <w:color w:val="auto"/>
          <w:w w:val="95"/>
          <w:sz w:val="44"/>
          <w:szCs w:val="44"/>
          <w:highlight w:val="none"/>
        </w:rPr>
        <w:t>营盘壕煤矿覆岩隔离注浆充填项目</w:t>
      </w:r>
    </w:p>
    <w:bookmarkEnd w:id="0"/>
    <w:p>
      <w:pPr>
        <w:keepNext w:val="0"/>
        <w:keepLines w:val="0"/>
        <w:pageBreakBefore w:val="0"/>
        <w:widowControl w:val="0"/>
        <w:kinsoku/>
        <w:wordWrap/>
        <w:overflowPunct/>
        <w:topLinePunct w:val="0"/>
        <w:autoSpaceDE/>
        <w:autoSpaceDN/>
        <w:bidi w:val="0"/>
        <w:spacing w:line="600" w:lineRule="exact"/>
        <w:ind w:firstLine="0" w:firstLineChars="0"/>
        <w:jc w:val="center"/>
        <w:rPr>
          <w:rFonts w:eastAsia="宋体"/>
          <w:b/>
          <w:color w:val="auto"/>
          <w:w w:val="95"/>
          <w:sz w:val="44"/>
          <w:szCs w:val="44"/>
          <w:highlight w:val="none"/>
        </w:rPr>
      </w:pPr>
      <w:r>
        <w:rPr>
          <w:rFonts w:eastAsia="宋体"/>
          <w:b/>
          <w:color w:val="auto"/>
          <w:w w:val="95"/>
          <w:sz w:val="44"/>
          <w:szCs w:val="44"/>
          <w:highlight w:val="none"/>
        </w:rPr>
        <w:t>环境影响报告表的批复</w:t>
      </w:r>
    </w:p>
    <w:p>
      <w:pPr>
        <w:keepNext w:val="0"/>
        <w:keepLines w:val="0"/>
        <w:pageBreakBefore w:val="0"/>
        <w:widowControl w:val="0"/>
        <w:kinsoku/>
        <w:wordWrap/>
        <w:overflowPunct/>
        <w:topLinePunct w:val="0"/>
        <w:autoSpaceDE/>
        <w:autoSpaceDN/>
        <w:bidi w:val="0"/>
        <w:spacing w:line="600" w:lineRule="exact"/>
        <w:ind w:firstLine="723"/>
        <w:jc w:val="center"/>
        <w:rPr>
          <w:rFonts w:eastAsia="仿宋"/>
          <w:b/>
          <w:color w:val="auto"/>
          <w:sz w:val="36"/>
          <w:szCs w:val="36"/>
          <w:highlight w:val="none"/>
        </w:rPr>
      </w:pP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鄂尔多斯市营盘壕煤炭有限公司：</w:t>
      </w:r>
    </w:p>
    <w:p>
      <w:pPr>
        <w:keepNext w:val="0"/>
        <w:keepLines w:val="0"/>
        <w:pageBreakBefore w:val="0"/>
        <w:widowControl w:val="0"/>
        <w:kinsoku/>
        <w:wordWrap/>
        <w:overflowPunct/>
        <w:topLinePunct w:val="0"/>
        <w:autoSpaceDE/>
        <w:autoSpaceDN/>
        <w:bidi w:val="0"/>
        <w:adjustRightInd w:val="0"/>
        <w:snapToGrid w:val="0"/>
        <w:spacing w:line="600" w:lineRule="exact"/>
        <w:ind w:firstLine="640"/>
        <w:textAlignment w:val="auto"/>
        <w:rPr>
          <w:rFonts w:hint="eastAsia" w:ascii="仿宋" w:hAnsi="仿宋" w:eastAsia="仿宋" w:cs="仿宋"/>
          <w:color w:val="auto"/>
          <w:szCs w:val="32"/>
          <w:highlight w:val="none"/>
        </w:rPr>
      </w:pPr>
      <w:r>
        <w:rPr>
          <w:rFonts w:hint="eastAsia" w:ascii="仿宋" w:hAnsi="仿宋" w:eastAsia="仿宋" w:cs="仿宋"/>
          <w:color w:val="auto"/>
          <w:sz w:val="32"/>
          <w:szCs w:val="32"/>
          <w:highlight w:val="none"/>
        </w:rPr>
        <w:t>你公司报送的由</w:t>
      </w:r>
      <w:r>
        <w:rPr>
          <w:rFonts w:hint="eastAsia" w:ascii="仿宋" w:hAnsi="仿宋" w:eastAsia="仿宋" w:cs="仿宋"/>
          <w:color w:val="auto"/>
          <w:sz w:val="32"/>
          <w:szCs w:val="32"/>
          <w:highlight w:val="none"/>
          <w:lang w:val="en-US" w:eastAsia="zh-CN"/>
        </w:rPr>
        <w:t>鄂尔多斯市环保投资有限公司</w:t>
      </w:r>
      <w:r>
        <w:rPr>
          <w:rFonts w:hint="eastAsia" w:ascii="仿宋" w:hAnsi="仿宋" w:eastAsia="仿宋" w:cs="仿宋"/>
          <w:color w:val="auto"/>
          <w:sz w:val="32"/>
          <w:szCs w:val="32"/>
          <w:highlight w:val="none"/>
        </w:rPr>
        <w:t>编制的《鄂尔多斯市营盘壕煤炭有限公司营盘壕煤矿覆岩隔离注浆充填项目环境影响报告表》（以下简称《报告表》）收悉。</w:t>
      </w:r>
      <w:r>
        <w:rPr>
          <w:rFonts w:hint="eastAsia" w:ascii="仿宋" w:hAnsi="仿宋" w:eastAsia="仿宋" w:cs="仿宋"/>
          <w:color w:val="auto"/>
          <w:szCs w:val="32"/>
          <w:highlight w:val="none"/>
        </w:rPr>
        <w:t>我局综合保障中心对该项目进行了技术评估，并形成了技术评估报告，根据《报告</w:t>
      </w:r>
      <w:r>
        <w:rPr>
          <w:rFonts w:hint="eastAsia" w:ascii="仿宋" w:hAnsi="仿宋" w:eastAsia="仿宋" w:cs="仿宋"/>
          <w:color w:val="auto"/>
          <w:szCs w:val="32"/>
          <w:highlight w:val="none"/>
          <w:lang w:val="en-US" w:eastAsia="zh-CN"/>
        </w:rPr>
        <w:t>表</w:t>
      </w:r>
      <w:r>
        <w:rPr>
          <w:rFonts w:hint="eastAsia" w:ascii="仿宋" w:hAnsi="仿宋" w:eastAsia="仿宋" w:cs="仿宋"/>
          <w:color w:val="auto"/>
          <w:szCs w:val="32"/>
          <w:highlight w:val="none"/>
        </w:rPr>
        <w:t>》和《技术评估报告》，</w:t>
      </w:r>
      <w:r>
        <w:rPr>
          <w:rFonts w:hint="eastAsia" w:ascii="仿宋" w:hAnsi="仿宋" w:eastAsia="仿宋" w:cs="仿宋"/>
          <w:color w:val="auto"/>
          <w:szCs w:val="32"/>
        </w:rPr>
        <w:t>经研究，现批复如下：</w:t>
      </w:r>
    </w:p>
    <w:p>
      <w:pPr>
        <w:keepNext w:val="0"/>
        <w:keepLines w:val="0"/>
        <w:pageBreakBefore w:val="0"/>
        <w:widowControl w:val="0"/>
        <w:numPr>
          <w:ilvl w:val="0"/>
          <w:numId w:val="0"/>
        </w:numPr>
        <w:kinsoku/>
        <w:wordWrap/>
        <w:overflowPunct/>
        <w:topLinePunct w:val="0"/>
        <w:autoSpaceDE/>
        <w:autoSpaceDN/>
        <w:bidi w:val="0"/>
        <w:spacing w:before="97" w:line="600" w:lineRule="exact"/>
        <w:ind w:right="174" w:rightChars="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rPr>
        <w:t>该项目位于</w:t>
      </w:r>
      <w:r>
        <w:rPr>
          <w:rFonts w:hint="eastAsia" w:ascii="仿宋" w:hAnsi="仿宋" w:eastAsia="仿宋" w:cs="仿宋"/>
          <w:color w:val="auto"/>
          <w:sz w:val="32"/>
          <w:szCs w:val="32"/>
          <w:highlight w:val="none"/>
          <w:lang w:val="en-US" w:eastAsia="zh-CN"/>
        </w:rPr>
        <w:t>鄂尔多斯市乌审旗鄂尔多斯市营盘壕煤炭有限公司营盘壕煤矿井田范围内</w:t>
      </w:r>
      <w:r>
        <w:rPr>
          <w:rFonts w:hint="eastAsia" w:ascii="仿宋" w:hAnsi="仿宋" w:eastAsia="仿宋" w:cs="仿宋"/>
          <w:color w:val="auto"/>
          <w:sz w:val="32"/>
          <w:szCs w:val="32"/>
          <w:highlight w:val="none"/>
        </w:rPr>
        <w:t>。</w:t>
      </w:r>
      <w:r>
        <w:rPr>
          <w:rFonts w:hint="eastAsia" w:ascii="仿宋_GB2312" w:hAnsi="Times New Roman" w:eastAsia="仿宋_GB2312" w:cs="Times New Roman"/>
          <w:color w:val="auto"/>
          <w:sz w:val="32"/>
          <w:lang w:val="en-US" w:eastAsia="zh-CN"/>
        </w:rPr>
        <w:t>主要建设内容包括破碎系统、注浆站、注浆钻孔、注浆管线及配套的公用、辅助及环保工程，本次注浆工作面为2102工作面，服务时间约23个月。</w:t>
      </w:r>
      <w:r>
        <w:rPr>
          <w:rFonts w:hint="eastAsia" w:ascii="仿宋" w:hAnsi="仿宋" w:eastAsia="仿宋" w:cs="仿宋"/>
          <w:color w:val="auto"/>
          <w:sz w:val="32"/>
          <w:szCs w:val="32"/>
          <w:highlight w:val="none"/>
          <w:lang w:val="en-US" w:eastAsia="zh-CN"/>
        </w:rPr>
        <w:t>项目总投资</w:t>
      </w:r>
      <w:r>
        <w:rPr>
          <w:rFonts w:hint="eastAsia" w:ascii="仿宋_GB2312" w:hAnsi="Times New Roman" w:eastAsia="仿宋_GB2312" w:cs="Times New Roman"/>
          <w:color w:val="auto"/>
          <w:sz w:val="32"/>
          <w:lang w:val="en-US" w:eastAsia="zh-CN"/>
        </w:rPr>
        <w:t>7880.25</w:t>
      </w:r>
      <w:r>
        <w:rPr>
          <w:rFonts w:hint="eastAsia" w:ascii="仿宋" w:hAnsi="仿宋" w:eastAsia="仿宋" w:cs="仿宋"/>
          <w:color w:val="auto"/>
          <w:sz w:val="32"/>
          <w:szCs w:val="32"/>
          <w:highlight w:val="none"/>
          <w:lang w:val="en-US" w:eastAsia="zh-CN"/>
        </w:rPr>
        <w:t>万元，</w:t>
      </w:r>
      <w:r>
        <w:rPr>
          <w:rFonts w:hint="eastAsia" w:ascii="仿宋_GB2312" w:hAnsi="Times New Roman" w:eastAsia="仿宋_GB2312" w:cs="Times New Roman"/>
          <w:color w:val="auto"/>
          <w:sz w:val="32"/>
          <w:lang w:val="en-US" w:eastAsia="zh-CN"/>
        </w:rPr>
        <w:t>其中环保投资87万元</w:t>
      </w:r>
      <w:r>
        <w:rPr>
          <w:rFonts w:hint="eastAsia" w:ascii="仿宋" w:hAnsi="仿宋" w:eastAsia="仿宋" w:cs="仿宋"/>
          <w:color w:val="auto"/>
          <w:sz w:val="32"/>
          <w:szCs w:val="32"/>
          <w:highlight w:val="none"/>
        </w:rPr>
        <w:t>。</w:t>
      </w:r>
    </w:p>
    <w:p>
      <w:pPr>
        <w:pStyle w:val="5"/>
        <w:keepNext w:val="0"/>
        <w:keepLines w:val="0"/>
        <w:pageBreakBefore w:val="0"/>
        <w:widowControl w:val="0"/>
        <w:kinsoku/>
        <w:wordWrap/>
        <w:overflowPunct/>
        <w:topLinePunct w:val="0"/>
        <w:autoSpaceDE/>
        <w:autoSpaceDN/>
        <w:bidi w:val="0"/>
        <w:spacing w:line="540" w:lineRule="exact"/>
        <w:ind w:left="0" w:leftChars="0"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《报告表》</w:t>
      </w:r>
      <w:r>
        <w:rPr>
          <w:rFonts w:hint="eastAsia" w:ascii="仿宋" w:hAnsi="仿宋" w:eastAsia="仿宋" w:cs="仿宋"/>
          <w:color w:val="auto"/>
          <w:sz w:val="32"/>
          <w:szCs w:val="32"/>
          <w:highlight w:val="none"/>
          <w:lang w:val="en-US" w:eastAsia="zh-CN"/>
        </w:rPr>
        <w:t>和《评估报告》</w:t>
      </w:r>
      <w:r>
        <w:rPr>
          <w:rFonts w:hint="eastAsia" w:ascii="仿宋" w:hAnsi="仿宋" w:eastAsia="仿宋" w:cs="仿宋"/>
          <w:color w:val="auto"/>
          <w:sz w:val="32"/>
          <w:szCs w:val="32"/>
          <w:highlight w:val="none"/>
        </w:rPr>
        <w:t>认为，在全面落实各项生态环境保护和环境污染防治措施的前提下，项目建设对环境的不利影响能够得到一定的缓解和控制。因此，我局原则同意你公司按照《报告表》</w:t>
      </w:r>
      <w:r>
        <w:rPr>
          <w:rFonts w:hint="eastAsia" w:ascii="仿宋" w:hAnsi="仿宋" w:eastAsia="仿宋" w:cs="仿宋"/>
          <w:color w:val="auto"/>
          <w:sz w:val="32"/>
          <w:szCs w:val="32"/>
          <w:highlight w:val="none"/>
          <w:lang w:val="en-US" w:eastAsia="zh-CN"/>
        </w:rPr>
        <w:t>和《评估报告》</w:t>
      </w:r>
      <w:r>
        <w:rPr>
          <w:rFonts w:hint="eastAsia" w:ascii="仿宋" w:hAnsi="仿宋" w:eastAsia="仿宋" w:cs="仿宋"/>
          <w:color w:val="auto"/>
          <w:sz w:val="32"/>
          <w:szCs w:val="32"/>
          <w:highlight w:val="none"/>
        </w:rPr>
        <w:t>中所列的建设项目性质、规模、地点、工艺、生态环境保护措施及下述要求进行建设。</w:t>
      </w:r>
    </w:p>
    <w:p>
      <w:pPr>
        <w:keepNext w:val="0"/>
        <w:keepLines w:val="0"/>
        <w:pageBreakBefore w:val="0"/>
        <w:widowControl w:val="0"/>
        <w:kinsoku/>
        <w:wordWrap/>
        <w:overflowPunct/>
        <w:topLinePunct w:val="0"/>
        <w:autoSpaceDE/>
        <w:autoSpaceDN/>
        <w:bidi w:val="0"/>
        <w:adjustRightInd w:val="0"/>
        <w:snapToGrid/>
        <w:spacing w:line="540" w:lineRule="exact"/>
        <w:ind w:left="0" w:leftChars="0" w:firstLine="640"/>
        <w:textAlignment w:val="baseline"/>
        <w:outlineLvl w:val="9"/>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二、项目</w:t>
      </w:r>
      <w:r>
        <w:rPr>
          <w:rFonts w:hint="eastAsia" w:ascii="仿宋" w:hAnsi="仿宋" w:eastAsia="仿宋" w:cs="仿宋"/>
          <w:color w:val="auto"/>
          <w:sz w:val="32"/>
          <w:szCs w:val="32"/>
          <w:highlight w:val="none"/>
          <w:lang w:val="en-US" w:eastAsia="zh-CN"/>
        </w:rPr>
        <w:t>在</w:t>
      </w:r>
      <w:r>
        <w:rPr>
          <w:rFonts w:hint="eastAsia" w:ascii="仿宋" w:hAnsi="仿宋" w:eastAsia="仿宋" w:cs="仿宋"/>
          <w:color w:val="auto"/>
          <w:sz w:val="32"/>
          <w:szCs w:val="32"/>
          <w:highlight w:val="none"/>
        </w:rPr>
        <w:t>建设与运行管理中应重点做好的工作</w:t>
      </w:r>
      <w:r>
        <w:rPr>
          <w:rFonts w:hint="eastAsia" w:ascii="仿宋" w:hAnsi="仿宋" w:eastAsia="仿宋" w:cs="仿宋"/>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1.加强施工期环境管理。</w:t>
      </w:r>
      <w:r>
        <w:rPr>
          <w:rFonts w:hint="eastAsia" w:ascii="仿宋_GB2312" w:hAnsi="仿宋_GB2312" w:eastAsia="仿宋_GB2312" w:cs="仿宋_GB2312"/>
          <w:color w:val="auto"/>
          <w:sz w:val="32"/>
          <w:szCs w:val="32"/>
          <w:lang w:val="en-US" w:eastAsia="zh-CN"/>
        </w:rPr>
        <w:t>采用定向钻的施工方式对基本农田地上部分进行避让；施工场地在施工完成后对钻孔进行充填并覆土以恢复植被，根据立地条件采取适宜当地生长的植被进行恢复；输浆管路在铺设后利用自然恢复+人工补播的形式进行相应的植被恢复措施；加强抚育管理，使之恢复原有的生态功能。</w:t>
      </w:r>
    </w:p>
    <w:p>
      <w:pPr>
        <w:spacing w:line="600" w:lineRule="exact"/>
        <w:ind w:firstLine="640" w:firstLineChars="200"/>
        <w:rPr>
          <w:rFonts w:hint="eastAsia" w:ascii="仿宋_GB2312" w:hAnsi="仿宋_GB2312" w:eastAsia="仿宋_GB2312" w:cs="仿宋_GB2312"/>
          <w:color w:val="auto"/>
          <w:sz w:val="32"/>
          <w:szCs w:val="32"/>
        </w:rPr>
      </w:pPr>
      <w:r>
        <w:rPr>
          <w:rFonts w:hint="eastAsia" w:ascii="仿宋" w:hAnsi="仿宋" w:eastAsia="仿宋" w:cs="仿宋"/>
          <w:color w:val="auto"/>
          <w:sz w:val="32"/>
          <w:szCs w:val="32"/>
          <w:highlight w:val="none"/>
        </w:rPr>
        <w:t>2.认真落实《报告表》中提出的大气污染防治措施。</w:t>
      </w:r>
      <w:r>
        <w:rPr>
          <w:rFonts w:hint="eastAsia" w:ascii="仿宋_GB2312" w:hAnsi="仿宋_GB2312" w:eastAsia="仿宋_GB2312" w:cs="仿宋_GB2312"/>
          <w:color w:val="auto"/>
          <w:sz w:val="32"/>
          <w:szCs w:val="32"/>
          <w:lang w:val="en-US" w:eastAsia="zh-CN"/>
        </w:rPr>
        <w:t>筛分破碎间的颗粒物经湿式除尘器处理后，经15米高排气筒排放，颗粒物</w:t>
      </w:r>
      <w:r>
        <w:rPr>
          <w:rFonts w:hint="eastAsia" w:ascii="仿宋_GB2312" w:hAnsi="仿宋_GB2312" w:cs="仿宋_GB2312"/>
          <w:color w:val="auto"/>
          <w:sz w:val="32"/>
          <w:szCs w:val="32"/>
          <w:lang w:val="en-US" w:eastAsia="zh-CN"/>
        </w:rPr>
        <w:t>须</w:t>
      </w:r>
      <w:r>
        <w:rPr>
          <w:rFonts w:hint="eastAsia" w:ascii="仿宋_GB2312" w:hAnsi="仿宋_GB2312" w:eastAsia="仿宋_GB2312" w:cs="仿宋_GB2312"/>
          <w:color w:val="auto"/>
          <w:sz w:val="32"/>
          <w:szCs w:val="32"/>
          <w:lang w:val="en-US" w:eastAsia="zh-CN"/>
        </w:rPr>
        <w:t>满足《煤炭工业污染物排放标准》(GB20426-2006)要求；</w:t>
      </w:r>
      <w:r>
        <w:rPr>
          <w:rFonts w:hint="eastAsia" w:ascii="仿宋" w:hAnsi="仿宋" w:eastAsia="仿宋" w:cs="仿宋"/>
          <w:bCs/>
          <w:color w:val="auto"/>
          <w:szCs w:val="32"/>
          <w:lang w:val="zh-CN"/>
        </w:rPr>
        <w:t>通过采取</w:t>
      </w:r>
      <w:r>
        <w:rPr>
          <w:rFonts w:hint="eastAsia" w:ascii="仿宋" w:hAnsi="仿宋" w:eastAsia="仿宋" w:cs="仿宋"/>
          <w:bCs/>
          <w:color w:val="auto"/>
          <w:szCs w:val="32"/>
        </w:rPr>
        <w:t>全封闭及</w:t>
      </w:r>
      <w:r>
        <w:rPr>
          <w:rFonts w:hint="eastAsia" w:ascii="仿宋_GB2312" w:hAnsi="仿宋_GB2312" w:eastAsia="仿宋_GB2312" w:cs="仿宋_GB2312"/>
          <w:color w:val="auto"/>
          <w:sz w:val="32"/>
          <w:szCs w:val="32"/>
          <w:lang w:val="en-US" w:eastAsia="zh-CN"/>
        </w:rPr>
        <w:t>球磨工序采用湿式球磨机</w:t>
      </w:r>
      <w:r>
        <w:rPr>
          <w:rFonts w:hint="eastAsia" w:ascii="仿宋" w:hAnsi="仿宋" w:eastAsia="仿宋" w:cs="仿宋"/>
          <w:bCs/>
          <w:color w:val="auto"/>
          <w:szCs w:val="32"/>
          <w:lang w:val="zh-CN"/>
        </w:rPr>
        <w:t>等措施，</w:t>
      </w:r>
      <w:r>
        <w:rPr>
          <w:rFonts w:hint="eastAsia" w:ascii="仿宋" w:hAnsi="仿宋" w:eastAsia="仿宋" w:cs="仿宋"/>
          <w:bCs/>
          <w:color w:val="auto"/>
          <w:szCs w:val="32"/>
          <w:lang w:val="en-US" w:eastAsia="zh-CN"/>
        </w:rPr>
        <w:t>确保</w:t>
      </w:r>
      <w:r>
        <w:rPr>
          <w:rFonts w:hint="eastAsia" w:ascii="仿宋_GB2312" w:hAnsi="仿宋_GB2312" w:eastAsia="仿宋_GB2312" w:cs="仿宋_GB2312"/>
          <w:color w:val="auto"/>
          <w:sz w:val="32"/>
          <w:szCs w:val="32"/>
        </w:rPr>
        <w:t>项目厂界颗粒物无组织排放满足《煤炭工业污染物排放标准》（GB20426-2006）中</w:t>
      </w:r>
      <w:r>
        <w:rPr>
          <w:rFonts w:hint="eastAsia" w:ascii="仿宋_GB2312" w:hAnsi="仿宋_GB2312" w:cs="仿宋_GB2312"/>
          <w:color w:val="auto"/>
          <w:sz w:val="32"/>
          <w:szCs w:val="32"/>
          <w:lang w:val="en-US" w:eastAsia="zh-CN"/>
        </w:rPr>
        <w:t>相应</w:t>
      </w:r>
      <w:r>
        <w:rPr>
          <w:rFonts w:hint="eastAsia" w:ascii="仿宋_GB2312" w:hAnsi="仿宋_GB2312" w:eastAsia="仿宋_GB2312" w:cs="仿宋_GB2312"/>
          <w:color w:val="auto"/>
          <w:sz w:val="32"/>
          <w:szCs w:val="32"/>
        </w:rPr>
        <w:t>标准限值要求。</w:t>
      </w:r>
    </w:p>
    <w:p>
      <w:pPr>
        <w:pStyle w:val="2"/>
        <w:keepNext w:val="0"/>
        <w:keepLines w:val="0"/>
        <w:pageBreakBefore w:val="0"/>
        <w:widowControl w:val="0"/>
        <w:kinsoku/>
        <w:wordWrap/>
        <w:overflowPunct/>
        <w:topLinePunct w:val="0"/>
        <w:bidi w:val="0"/>
        <w:adjustRightInd/>
        <w:spacing w:after="0" w:line="64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2.强化废水处理与回用。</w:t>
      </w:r>
      <w:r>
        <w:rPr>
          <w:rFonts w:hint="eastAsia" w:ascii="仿宋_GB2312" w:hAnsi="仿宋_GB2312" w:eastAsia="仿宋_GB2312" w:cs="仿宋_GB2312"/>
          <w:color w:val="auto"/>
          <w:sz w:val="32"/>
          <w:szCs w:val="32"/>
          <w:lang w:val="en-US" w:eastAsia="zh-CN"/>
        </w:rPr>
        <w:t>注浆管道冲洗废水随管道排至井下用于充填；地面冲洗废水、设备冷却水送送往矿井水处理站处理；湿式除尘器除尘废水用于制浆；生活污水依托营盘壕现有生活污水处理设施进行处理。</w:t>
      </w:r>
      <w:r>
        <w:rPr>
          <w:rFonts w:hint="eastAsia" w:ascii="仿宋" w:hAnsi="仿宋" w:eastAsia="仿宋" w:cs="仿宋"/>
          <w:color w:val="auto"/>
          <w:sz w:val="32"/>
          <w:szCs w:val="32"/>
          <w:highlight w:val="none"/>
          <w:lang w:val="en-US" w:eastAsia="zh-CN"/>
        </w:rPr>
        <w:t>按照“源头控制、分区防控、污染监控、应急响应”的原则，提出地下水污染防控措施，确保不会对区域地下水造成污染。</w:t>
      </w:r>
    </w:p>
    <w:p>
      <w:pPr>
        <w:keepNext w:val="0"/>
        <w:keepLines w:val="0"/>
        <w:pageBreakBefore w:val="0"/>
        <w:widowControl w:val="0"/>
        <w:kinsoku/>
        <w:wordWrap/>
        <w:overflowPunct/>
        <w:topLinePunct w:val="0"/>
        <w:autoSpaceDE/>
        <w:autoSpaceDN/>
        <w:bidi w:val="0"/>
        <w:spacing w:line="600" w:lineRule="exact"/>
        <w:ind w:firstLine="64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.应采取妥善控制措施，确保厂界噪声满足《工业企业厂界环境噪声排放标准》（GB12348-2008）2类标准要求。</w:t>
      </w:r>
    </w:p>
    <w:p>
      <w:pPr>
        <w:pStyle w:val="2"/>
        <w:keepNext w:val="0"/>
        <w:keepLines w:val="0"/>
        <w:pageBreakBefore w:val="0"/>
        <w:widowControl w:val="0"/>
        <w:kinsoku/>
        <w:wordWrap/>
        <w:overflowPunct/>
        <w:topLinePunct w:val="0"/>
        <w:bidi w:val="0"/>
        <w:adjustRightInd/>
        <w:spacing w:after="0" w:line="64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w:t>
      </w:r>
      <w:r>
        <w:rPr>
          <w:rFonts w:hint="eastAsia" w:ascii="仿宋" w:hAnsi="仿宋" w:eastAsia="仿宋" w:cs="仿宋"/>
          <w:color w:val="auto"/>
          <w:kern w:val="0"/>
          <w:sz w:val="32"/>
          <w:szCs w:val="32"/>
          <w:highlight w:val="none"/>
          <w:lang w:eastAsia="zh-CN"/>
        </w:rPr>
        <w:t>落实固体废物污染防治措施。建设单位须严格按照《一般工业固体废物贮存和填埋污染控制标准》（GB18599-2020）和《危险废物贮存污染控制标准》（GB18597-20</w:t>
      </w:r>
      <w:r>
        <w:rPr>
          <w:rFonts w:hint="eastAsia" w:ascii="仿宋" w:hAnsi="仿宋" w:eastAsia="仿宋" w:cs="仿宋"/>
          <w:color w:val="auto"/>
          <w:kern w:val="0"/>
          <w:sz w:val="32"/>
          <w:szCs w:val="32"/>
          <w:highlight w:val="none"/>
          <w:lang w:val="en-US" w:eastAsia="zh-CN"/>
        </w:rPr>
        <w:t>23</w:t>
      </w:r>
      <w:r>
        <w:rPr>
          <w:rFonts w:hint="eastAsia" w:ascii="仿宋" w:hAnsi="仿宋" w:eastAsia="仿宋" w:cs="仿宋"/>
          <w:color w:val="auto"/>
          <w:kern w:val="0"/>
          <w:sz w:val="32"/>
          <w:szCs w:val="32"/>
          <w:highlight w:val="none"/>
          <w:lang w:eastAsia="zh-CN"/>
        </w:rPr>
        <w:t>）要求对一般固废和危险废物进行处置，</w:t>
      </w:r>
      <w:r>
        <w:rPr>
          <w:rFonts w:hint="eastAsia" w:ascii="仿宋" w:hAnsi="仿宋" w:eastAsia="仿宋" w:cs="仿宋"/>
          <w:color w:val="auto"/>
          <w:kern w:val="0"/>
          <w:sz w:val="32"/>
          <w:szCs w:val="32"/>
          <w:highlight w:val="none"/>
          <w:lang w:val="en-US" w:eastAsia="zh-CN"/>
        </w:rPr>
        <w:t>施工期</w:t>
      </w:r>
      <w:r>
        <w:rPr>
          <w:rFonts w:hint="eastAsia" w:ascii="仿宋_GB2312" w:hAnsi="仿宋_GB2312" w:eastAsia="仿宋_GB2312" w:cs="仿宋_GB2312"/>
          <w:color w:val="auto"/>
          <w:kern w:val="2"/>
          <w:sz w:val="32"/>
          <w:szCs w:val="32"/>
          <w:lang w:val="en-US" w:eastAsia="zh-CN" w:bidi="ar-SA"/>
        </w:rPr>
        <w:t>废弃钻井泥浆经沉淀后上清液用于配置钻井泥浆，沉淀物及钻井岩屑拉运至有资质单位进行处理</w:t>
      </w:r>
      <w:r>
        <w:rPr>
          <w:rFonts w:hint="eastAsia" w:ascii="仿宋_GB2312" w:hAnsi="仿宋_GB2312" w:cs="仿宋_GB2312"/>
          <w:color w:val="auto"/>
          <w:kern w:val="2"/>
          <w:sz w:val="32"/>
          <w:szCs w:val="32"/>
          <w:lang w:val="en-US" w:eastAsia="zh-CN" w:bidi="ar-SA"/>
        </w:rPr>
        <w:t>。运营期</w:t>
      </w:r>
      <w:r>
        <w:rPr>
          <w:rFonts w:hint="eastAsia" w:ascii="仿宋_GB2312" w:hAnsi="仿宋_GB2312" w:eastAsia="仿宋_GB2312" w:cs="仿宋_GB2312"/>
          <w:color w:val="auto"/>
          <w:kern w:val="2"/>
          <w:sz w:val="32"/>
          <w:szCs w:val="32"/>
          <w:lang w:val="en-US" w:eastAsia="zh-CN" w:bidi="ar-SA"/>
        </w:rPr>
        <w:t>废矿物油、废油桶等危险废物暂存依托营盘壕煤矿危废库</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委托有资质单位进行处置</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生活垃圾交由当地环卫部门处理。</w:t>
      </w:r>
    </w:p>
    <w:p>
      <w:pPr>
        <w:keepNext w:val="0"/>
        <w:keepLines w:val="0"/>
        <w:pageBreakBefore w:val="0"/>
        <w:widowControl w:val="0"/>
        <w:kinsoku/>
        <w:wordWrap/>
        <w:overflowPunct/>
        <w:topLinePunct w:val="0"/>
        <w:autoSpaceDE/>
        <w:autoSpaceDN/>
        <w:bidi w:val="0"/>
        <w:adjustRightInd w:val="0"/>
        <w:snapToGrid w:val="0"/>
        <w:spacing w:line="540" w:lineRule="exact"/>
        <w:ind w:firstLine="64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.建设单位须强化环境风险防范，落实环保设施安全生产要求，项目污染防治设施须与主体工程一起按照安全生产要求设计，有效防范因污染物事故排放或安全生产事故可能引发的环境风险。</w:t>
      </w:r>
    </w:p>
    <w:p>
      <w:pPr>
        <w:keepNext w:val="0"/>
        <w:keepLines w:val="0"/>
        <w:pageBreakBefore w:val="0"/>
        <w:widowControl w:val="0"/>
        <w:kinsoku/>
        <w:wordWrap/>
        <w:overflowPunct/>
        <w:topLinePunct w:val="0"/>
        <w:autoSpaceDE/>
        <w:autoSpaceDN/>
        <w:bidi w:val="0"/>
        <w:snapToGrid/>
        <w:spacing w:line="540" w:lineRule="exact"/>
        <w:ind w:left="0" w:leftChars="0" w:firstLine="640"/>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三、项目建设必须严格执行环境保护“三同时”制度。项目竣工后，</w:t>
      </w:r>
      <w:r>
        <w:rPr>
          <w:rFonts w:hint="eastAsia" w:ascii="仿宋" w:hAnsi="仿宋" w:eastAsia="仿宋" w:cs="仿宋"/>
          <w:color w:val="auto"/>
          <w:sz w:val="32"/>
          <w:szCs w:val="32"/>
          <w:highlight w:val="none"/>
          <w:lang w:eastAsia="zh-CN"/>
        </w:rPr>
        <w:t>须</w:t>
      </w:r>
      <w:r>
        <w:rPr>
          <w:rFonts w:hint="eastAsia" w:ascii="仿宋" w:hAnsi="仿宋" w:eastAsia="仿宋" w:cs="仿宋"/>
          <w:color w:val="auto"/>
          <w:sz w:val="32"/>
          <w:szCs w:val="32"/>
          <w:highlight w:val="none"/>
        </w:rPr>
        <w:t>按照规定程序</w:t>
      </w:r>
      <w:r>
        <w:rPr>
          <w:rFonts w:hint="eastAsia" w:ascii="仿宋" w:hAnsi="仿宋" w:eastAsia="仿宋" w:cs="仿宋"/>
          <w:color w:val="auto"/>
          <w:sz w:val="32"/>
          <w:szCs w:val="32"/>
          <w:highlight w:val="none"/>
          <w:lang w:eastAsia="zh-CN"/>
        </w:rPr>
        <w:t>实施</w:t>
      </w:r>
      <w:r>
        <w:rPr>
          <w:rFonts w:hint="eastAsia" w:ascii="仿宋" w:hAnsi="仿宋" w:eastAsia="仿宋" w:cs="仿宋"/>
          <w:color w:val="auto"/>
          <w:sz w:val="32"/>
          <w:szCs w:val="32"/>
          <w:highlight w:val="none"/>
        </w:rPr>
        <w:t>竣工环境保护验收。</w:t>
      </w:r>
    </w:p>
    <w:p>
      <w:pPr>
        <w:keepNext w:val="0"/>
        <w:keepLines w:val="0"/>
        <w:pageBreakBefore w:val="0"/>
        <w:widowControl w:val="0"/>
        <w:kinsoku/>
        <w:wordWrap/>
        <w:overflowPunct/>
        <w:topLinePunct w:val="0"/>
        <w:autoSpaceDE/>
        <w:autoSpaceDN/>
        <w:bidi w:val="0"/>
        <w:snapToGrid/>
        <w:spacing w:line="540" w:lineRule="exact"/>
        <w:ind w:left="0" w:leftChars="0" w:firstLine="640"/>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四、你公司应在收到本批复20日内，将《报告表》（报批版）及批复文件送至</w:t>
      </w:r>
      <w:r>
        <w:rPr>
          <w:rFonts w:hint="eastAsia" w:ascii="仿宋" w:hAnsi="仿宋" w:eastAsia="仿宋" w:cs="仿宋"/>
          <w:color w:val="auto"/>
          <w:sz w:val="32"/>
          <w:szCs w:val="32"/>
          <w:highlight w:val="none"/>
          <w:lang w:eastAsia="zh-CN"/>
        </w:rPr>
        <w:t>鄂尔多斯市生态环境局</w:t>
      </w:r>
      <w:r>
        <w:rPr>
          <w:rFonts w:hint="eastAsia" w:ascii="仿宋" w:hAnsi="仿宋" w:eastAsia="仿宋" w:cs="仿宋"/>
          <w:color w:val="auto"/>
          <w:sz w:val="32"/>
          <w:szCs w:val="32"/>
          <w:highlight w:val="none"/>
          <w:lang w:val="en-US" w:eastAsia="zh-CN"/>
        </w:rPr>
        <w:t>乌审旗</w:t>
      </w:r>
      <w:r>
        <w:rPr>
          <w:rFonts w:hint="eastAsia" w:ascii="仿宋" w:hAnsi="仿宋" w:eastAsia="仿宋" w:cs="仿宋"/>
          <w:color w:val="auto"/>
          <w:sz w:val="32"/>
          <w:szCs w:val="32"/>
          <w:highlight w:val="none"/>
          <w:lang w:eastAsia="zh-CN"/>
        </w:rPr>
        <w:t>分局</w:t>
      </w:r>
      <w:r>
        <w:rPr>
          <w:rFonts w:hint="eastAsia" w:ascii="仿宋" w:hAnsi="仿宋" w:eastAsia="仿宋" w:cs="仿宋"/>
          <w:color w:val="auto"/>
          <w:sz w:val="32"/>
          <w:szCs w:val="32"/>
          <w:highlight w:val="none"/>
        </w:rPr>
        <w:t>，我局委托</w:t>
      </w:r>
      <w:r>
        <w:rPr>
          <w:rFonts w:hint="eastAsia" w:ascii="仿宋" w:hAnsi="仿宋" w:eastAsia="仿宋" w:cs="仿宋"/>
          <w:color w:val="auto"/>
          <w:sz w:val="32"/>
          <w:szCs w:val="32"/>
          <w:highlight w:val="none"/>
          <w:lang w:eastAsia="zh-CN"/>
        </w:rPr>
        <w:t>鄂尔多斯市生态环境局</w:t>
      </w:r>
      <w:r>
        <w:rPr>
          <w:rFonts w:hint="eastAsia" w:ascii="仿宋" w:hAnsi="仿宋" w:eastAsia="仿宋" w:cs="仿宋"/>
          <w:color w:val="auto"/>
          <w:sz w:val="32"/>
          <w:szCs w:val="32"/>
          <w:highlight w:val="none"/>
          <w:lang w:val="en-US" w:eastAsia="zh-CN"/>
        </w:rPr>
        <w:t>乌审旗</w:t>
      </w:r>
      <w:r>
        <w:rPr>
          <w:rFonts w:hint="eastAsia" w:ascii="仿宋" w:hAnsi="仿宋" w:eastAsia="仿宋" w:cs="仿宋"/>
          <w:color w:val="auto"/>
          <w:sz w:val="32"/>
          <w:szCs w:val="32"/>
          <w:highlight w:val="none"/>
          <w:lang w:eastAsia="zh-CN"/>
        </w:rPr>
        <w:t>分局</w:t>
      </w:r>
      <w:r>
        <w:rPr>
          <w:rFonts w:hint="eastAsia" w:ascii="仿宋" w:hAnsi="仿宋" w:eastAsia="仿宋" w:cs="仿宋"/>
          <w:color w:val="auto"/>
          <w:sz w:val="32"/>
          <w:szCs w:val="32"/>
          <w:highlight w:val="none"/>
        </w:rPr>
        <w:t>负责该项目的日常监管工作。</w:t>
      </w:r>
    </w:p>
    <w:p>
      <w:pPr>
        <w:keepNext w:val="0"/>
        <w:keepLines w:val="0"/>
        <w:pageBreakBefore w:val="0"/>
        <w:widowControl w:val="0"/>
        <w:kinsoku/>
        <w:wordWrap/>
        <w:overflowPunct/>
        <w:topLinePunct w:val="0"/>
        <w:autoSpaceDE/>
        <w:autoSpaceDN/>
        <w:bidi w:val="0"/>
        <w:snapToGrid/>
        <w:spacing w:line="540" w:lineRule="exact"/>
        <w:ind w:left="0" w:leftChars="0" w:firstLine="640"/>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五、该项目从批准之日起超过5年方决定开工建设，其环评文件应重新审核。如果建设地点、规模、防治污染和防止生态破坏的措施等发生重大变化时，需重新报批环评文件。</w:t>
      </w:r>
    </w:p>
    <w:p>
      <w:pPr>
        <w:pStyle w:val="5"/>
        <w:ind w:left="0" w:leftChars="0" w:firstLine="0" w:firstLineChars="0"/>
        <w:rPr>
          <w:rFonts w:hint="eastAsia"/>
          <w:color w:val="auto"/>
        </w:rPr>
      </w:pPr>
    </w:p>
    <w:p>
      <w:pPr>
        <w:rPr>
          <w:rFonts w:hint="eastAsia"/>
          <w:color w:val="auto"/>
        </w:rPr>
      </w:pPr>
    </w:p>
    <w:p>
      <w:pPr>
        <w:keepNext w:val="0"/>
        <w:keepLines w:val="0"/>
        <w:pageBreakBefore w:val="0"/>
        <w:widowControl w:val="0"/>
        <w:kinsoku/>
        <w:wordWrap/>
        <w:overflowPunct/>
        <w:topLinePunct w:val="0"/>
        <w:autoSpaceDE/>
        <w:autoSpaceDN/>
        <w:bidi w:val="0"/>
        <w:snapToGrid/>
        <w:spacing w:line="540" w:lineRule="exact"/>
        <w:ind w:firstLine="5120" w:firstLineChars="1600"/>
        <w:jc w:val="both"/>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鄂尔多斯市</w:t>
      </w:r>
      <w:r>
        <w:rPr>
          <w:rFonts w:hint="eastAsia" w:ascii="仿宋" w:hAnsi="仿宋" w:eastAsia="仿宋" w:cs="仿宋"/>
          <w:color w:val="auto"/>
          <w:sz w:val="32"/>
          <w:szCs w:val="32"/>
          <w:highlight w:val="none"/>
          <w:lang w:eastAsia="zh-CN"/>
        </w:rPr>
        <w:t>生态环境</w:t>
      </w:r>
      <w:r>
        <w:rPr>
          <w:rFonts w:hint="eastAsia" w:ascii="仿宋" w:hAnsi="仿宋" w:eastAsia="仿宋" w:cs="仿宋"/>
          <w:color w:val="auto"/>
          <w:sz w:val="32"/>
          <w:szCs w:val="32"/>
          <w:highlight w:val="none"/>
        </w:rPr>
        <w:t>局</w:t>
      </w:r>
      <w:r>
        <w:rPr>
          <w:rFonts w:hint="eastAsia" w:ascii="仿宋" w:hAnsi="仿宋" w:eastAsia="仿宋" w:cs="仿宋"/>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snapToGrid/>
        <w:spacing w:line="540" w:lineRule="exact"/>
        <w:ind w:left="0" w:leftChars="0" w:right="320" w:firstLine="0" w:firstLineChars="0"/>
        <w:jc w:val="center"/>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20</w:t>
      </w:r>
      <w:r>
        <w:rPr>
          <w:rFonts w:hint="eastAsia" w:ascii="仿宋" w:hAnsi="仿宋" w:eastAsia="仿宋" w:cs="仿宋"/>
          <w:color w:val="auto"/>
          <w:sz w:val="32"/>
          <w:szCs w:val="32"/>
          <w:highlight w:val="none"/>
          <w:lang w:val="en-US" w:eastAsia="zh-CN"/>
        </w:rPr>
        <w:t>23</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11</w:t>
      </w:r>
      <w:r>
        <w:rPr>
          <w:rFonts w:hint="eastAsia" w:ascii="仿宋" w:hAnsi="仿宋" w:eastAsia="仿宋" w:cs="仿宋"/>
          <w:color w:val="auto"/>
          <w:sz w:val="32"/>
          <w:szCs w:val="32"/>
          <w:highlight w:val="none"/>
        </w:rPr>
        <w:t>日</w:t>
      </w:r>
    </w:p>
    <w:p>
      <w:pPr>
        <w:pStyle w:val="2"/>
        <w:rPr>
          <w:rFonts w:hint="eastAsia" w:ascii="仿宋" w:hAnsi="仿宋" w:eastAsia="仿宋" w:cs="仿宋"/>
          <w:color w:val="auto"/>
          <w:sz w:val="32"/>
          <w:szCs w:val="32"/>
          <w:highlight w:val="none"/>
        </w:rPr>
      </w:pPr>
    </w:p>
    <w:p>
      <w:pPr>
        <w:rPr>
          <w:rFonts w:hint="eastAsia" w:ascii="仿宋" w:hAnsi="仿宋" w:eastAsia="仿宋" w:cs="仿宋"/>
          <w:color w:val="auto"/>
          <w:sz w:val="32"/>
          <w:szCs w:val="32"/>
          <w:highlight w:val="none"/>
        </w:rPr>
      </w:pPr>
    </w:p>
    <w:p>
      <w:pPr>
        <w:pStyle w:val="2"/>
        <w:rPr>
          <w:rFonts w:hint="eastAsia" w:ascii="仿宋" w:hAnsi="仿宋" w:eastAsia="仿宋" w:cs="仿宋"/>
          <w:color w:val="auto"/>
          <w:sz w:val="32"/>
          <w:szCs w:val="32"/>
          <w:highlight w:val="none"/>
        </w:rPr>
      </w:pPr>
    </w:p>
    <w:p>
      <w:pPr>
        <w:pStyle w:val="2"/>
        <w:ind w:left="0" w:leftChars="0" w:firstLine="0" w:firstLineChars="0"/>
        <w:rPr>
          <w:rFonts w:hint="eastAsia"/>
          <w:color w:val="auto"/>
        </w:rPr>
      </w:pPr>
    </w:p>
    <w:p>
      <w:pPr>
        <w:ind w:left="0" w:leftChars="0" w:firstLine="0" w:firstLineChars="0"/>
        <w:rPr>
          <w:rFonts w:hint="eastAsia"/>
          <w:color w:val="auto"/>
        </w:rPr>
      </w:pPr>
    </w:p>
    <w:p>
      <w:pPr>
        <w:pStyle w:val="7"/>
        <w:ind w:left="0" w:leftChars="0" w:firstLine="0" w:firstLineChars="0"/>
        <w:rPr>
          <w:rFonts w:hint="default"/>
          <w:color w:val="auto"/>
          <w:highlight w:val="none"/>
        </w:rPr>
      </w:pPr>
    </w:p>
    <w:p>
      <w:pPr>
        <w:spacing w:line="500" w:lineRule="exact"/>
        <w:ind w:left="840" w:leftChars="0" w:hanging="840" w:hangingChars="300"/>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5080</wp:posOffset>
                </wp:positionV>
                <wp:extent cx="5687695"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4pt;height:0pt;width:447.85pt;z-index:251659264;mso-width-relative:page;mso-height-relative:page;" filled="f" stroked="t" coordsize="21600,21600" o:gfxdata="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p6XMs0QAAAAIBAAAPAAAAAAAAAAEAIAAAACIAAABkcnMvZG93bnJldi54bWxQSwECFAAUAAAA&#10;CACHTuJA3WxlKvUBAADkAwAADgAAAAAAAAABACAAAAAgAQAAZHJzL2Uyb0RvYy54bWxQSwUGAAAA&#10;AAYABgBZAQAAhwUAAAAA&#10;">
                <v:fill on="f" focussize="0,0"/>
                <v:stroke color="#000000" joinstyle="round"/>
                <v:imagedata o:title=""/>
                <o:lock v:ext="edit" aspectratio="f"/>
              </v:line>
            </w:pict>
          </mc:Fallback>
        </mc:AlternateContent>
      </w:r>
      <w:r>
        <w:rPr>
          <w:rFonts w:hint="default" w:ascii="Times New Roman" w:hAnsi="Times New Roman" w:cs="Times New Roman"/>
          <w:color w:val="auto"/>
          <w:sz w:val="28"/>
          <w:szCs w:val="28"/>
          <w:highlight w:val="none"/>
        </w:rPr>
        <w:t>抄送：</w:t>
      </w:r>
      <w:r>
        <w:rPr>
          <w:rFonts w:hint="eastAsia" w:ascii="Times New Roman" w:hAnsi="Times New Roman" w:cs="Times New Roman"/>
          <w:color w:val="auto"/>
          <w:sz w:val="28"/>
          <w:szCs w:val="28"/>
          <w:highlight w:val="none"/>
          <w:lang w:eastAsia="zh-CN"/>
        </w:rPr>
        <w:t>鄂尔多斯市生态环境局</w:t>
      </w:r>
      <w:r>
        <w:rPr>
          <w:rFonts w:hint="eastAsia" w:cs="Times New Roman"/>
          <w:color w:val="auto"/>
          <w:sz w:val="28"/>
          <w:szCs w:val="28"/>
          <w:highlight w:val="none"/>
          <w:lang w:val="en-US" w:eastAsia="zh-CN"/>
        </w:rPr>
        <w:t>乌审旗</w:t>
      </w:r>
      <w:r>
        <w:rPr>
          <w:rFonts w:hint="eastAsia" w:ascii="Times New Roman" w:hAnsi="Times New Roman" w:cs="Times New Roman"/>
          <w:color w:val="auto"/>
          <w:sz w:val="28"/>
          <w:szCs w:val="28"/>
          <w:highlight w:val="none"/>
          <w:lang w:eastAsia="zh-CN"/>
        </w:rPr>
        <w:t>分局</w:t>
      </w:r>
      <w:r>
        <w:rPr>
          <w:rFonts w:hint="default"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lang w:val="en-US" w:eastAsia="zh-CN"/>
        </w:rPr>
        <w:t>市生态环境综合行政执法支队</w:t>
      </w:r>
      <w:r>
        <w:rPr>
          <w:rFonts w:hint="default" w:ascii="Times New Roman" w:hAnsi="Times New Roman" w:cs="Times New Roman"/>
          <w:color w:val="auto"/>
          <w:sz w:val="28"/>
          <w:szCs w:val="28"/>
          <w:highlight w:val="none"/>
          <w:lang w:eastAsia="zh-CN"/>
        </w:rPr>
        <w:t>，</w:t>
      </w:r>
      <w:r>
        <w:rPr>
          <w:rFonts w:hint="default" w:ascii="Times New Roman" w:hAnsi="Times New Roman" w:cs="Times New Roman"/>
          <w:color w:val="auto"/>
          <w:sz w:val="28"/>
          <w:szCs w:val="28"/>
          <w:highlight w:val="none"/>
          <w:lang w:val="en-US" w:eastAsia="zh-CN"/>
        </w:rPr>
        <w:t>鄂尔多斯市环保投资有限公司</w:t>
      </w:r>
      <w:r>
        <w:rPr>
          <w:rFonts w:hint="eastAsia" w:ascii="Times New Roman" w:hAnsi="Times New Roman"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eastAsia="zh-CN"/>
        </w:rPr>
        <w:t>市生态环境局综合保障中心。</w:t>
      </w:r>
    </w:p>
    <w:p>
      <w:pPr>
        <w:spacing w:line="500" w:lineRule="exact"/>
        <w:ind w:firstLine="0" w:firstLineChars="0"/>
        <w:rPr>
          <w:rFonts w:hint="eastAsia" w:ascii="仿宋" w:hAnsi="仿宋" w:eastAsia="仿宋" w:cs="仿宋"/>
          <w:color w:val="auto"/>
          <w:sz w:val="28"/>
          <w:szCs w:val="28"/>
          <w:highlight w:val="none"/>
        </w:rPr>
      </w:pPr>
      <w:r>
        <w:rPr>
          <w:rFonts w:hint="default" w:ascii="Times New Roman" w:hAnsi="Times New Roman" w:cs="Times New Roman"/>
          <w:color w:val="auto"/>
          <w:sz w:val="28"/>
          <w:szCs w:val="28"/>
          <w:highlight w:val="none"/>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373380</wp:posOffset>
                </wp:positionV>
                <wp:extent cx="5687695" cy="0"/>
                <wp:effectExtent l="0" t="0" r="0" b="0"/>
                <wp:wrapNone/>
                <wp:docPr id="6" name="直接连接符 6"/>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5pt;margin-top:29.4pt;height:0pt;width:447.85pt;z-index:251661312;mso-width-relative:page;mso-height-relative:page;" filled="f" stroked="t" coordsize="21600,21600" o:gfxdata="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wD7dNQAAAAHAQAADwAAAAAAAAABACAAAAAiAAAAZHJzL2Rvd25yZXYueG1sUEsBAhQA&#10;FAAAAAgAh07iQO7RyZ32AQAA5AMAAA4AAAAAAAAAAQAgAAAAIwEAAGRycy9lMm9Eb2MueG1sUEsF&#10;BgAAAAAGAAYAWQEAAIsFAAAAAA==&#10;">
                <v:fill on="f" focussize="0,0"/>
                <v:stroke color="#000000" joinstyle="round"/>
                <v:imagedata o:title=""/>
                <o:lock v:ext="edit" aspectratio="f"/>
              </v:line>
            </w:pict>
          </mc:Fallback>
        </mc:AlternateContent>
      </w:r>
      <w:r>
        <w:rPr>
          <w:rFonts w:hint="default" w:ascii="Times New Roman" w:hAnsi="Times New Roman" w:cs="Times New Roman"/>
          <w:color w:val="auto"/>
          <w:sz w:val="28"/>
          <w:szCs w:val="28"/>
          <w:highlight w:val="none"/>
        </w:rPr>
        <w:t xml:space="preserve"> </w:t>
      </w:r>
      <w:r>
        <w:rPr>
          <w:rFonts w:hint="eastAsia" w:ascii="仿宋" w:hAnsi="仿宋" w:eastAsia="仿宋" w:cs="仿宋"/>
          <w:color w:val="auto"/>
          <w:sz w:val="28"/>
          <w:szCs w:val="28"/>
          <w:highlight w:val="none"/>
        </w:rPr>
        <w:t>鄂尔多斯市</w:t>
      </w:r>
      <w:r>
        <w:rPr>
          <w:rFonts w:hint="eastAsia" w:ascii="仿宋" w:hAnsi="仿宋" w:eastAsia="仿宋" w:cs="仿宋"/>
          <w:color w:val="auto"/>
          <w:sz w:val="28"/>
          <w:szCs w:val="28"/>
          <w:highlight w:val="none"/>
          <w:lang w:eastAsia="zh-CN"/>
        </w:rPr>
        <w:t>生态环境</w:t>
      </w:r>
      <w:r>
        <w:rPr>
          <w:rFonts w:hint="eastAsia" w:ascii="仿宋" w:hAnsi="仿宋" w:eastAsia="仿宋" w:cs="仿宋"/>
          <w:color w:val="auto"/>
          <w:sz w:val="28"/>
          <w:szCs w:val="28"/>
          <w:highlight w:val="none"/>
        </w:rPr>
        <w:t>局</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20</w:t>
      </w:r>
      <w:r>
        <w:rPr>
          <w:rFonts w:hint="eastAsia" w:ascii="仿宋" w:hAnsi="仿宋" w:eastAsia="仿宋" w:cs="仿宋"/>
          <w:color w:val="auto"/>
          <w:sz w:val="28"/>
          <w:szCs w:val="28"/>
          <w:highlight w:val="none"/>
          <w:lang w:val="en-US" w:eastAsia="zh-CN"/>
        </w:rPr>
        <w:t>23</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8</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lang w:val="en-US" w:eastAsia="zh-CN"/>
        </w:rPr>
        <w:t>11</w:t>
      </w:r>
      <w:r>
        <w:rPr>
          <w:rFonts w:hint="eastAsia" w:ascii="仿宋" w:hAnsi="仿宋" w:eastAsia="仿宋" w:cs="仿宋"/>
          <w:color w:val="auto"/>
          <w:sz w:val="28"/>
          <w:szCs w:val="28"/>
          <w:highlight w:val="none"/>
        </w:rPr>
        <w:t>日印发</w:t>
      </w:r>
      <w:r>
        <w:rPr>
          <w:rFonts w:hint="eastAsia" w:ascii="仿宋" w:hAnsi="仿宋" w:eastAsia="仿宋" w:cs="仿宋"/>
          <w:color w:val="auto"/>
          <w:sz w:val="28"/>
          <w:szCs w:val="28"/>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7620</wp:posOffset>
                </wp:positionV>
                <wp:extent cx="5687695"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68769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pt;width:447.85pt;z-index:251660288;mso-width-relative:page;mso-height-relative:page;" filled="f" stroked="t" coordsize="21600,21600" o:gfxdata="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C/bdn7SAAAABAEAAA8AAAAAAAAAAQAgAAAAIgAAAGRycy9kb3ducmV2LnhtbFBLAQIUABQA&#10;AAAIAIdO4kDMBwFH9gEAAOQDAAAOAAAAAAAAAAEAIAAAACEBAABkcnMvZTJvRG9jLnhtbFBLBQYA&#10;AAAABgAGAFkBAACJBQAAAAA=&#10;">
                <v:fill on="f" focussize="0,0"/>
                <v:stroke color="#00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val="0"/>
        <w:snapToGrid w:val="0"/>
        <w:spacing w:line="600" w:lineRule="exact"/>
        <w:ind w:firstLine="0" w:firstLineChars="0"/>
        <w:textAlignment w:val="auto"/>
        <w:rPr>
          <w:rFonts w:hint="eastAsia" w:ascii="仿宋" w:hAnsi="仿宋" w:eastAsia="仿宋" w:cs="仿宋"/>
          <w:color w:val="auto"/>
          <w:sz w:val="28"/>
          <w:szCs w:val="28"/>
        </w:rPr>
      </w:pPr>
    </w:p>
    <w:sectPr>
      <w:headerReference r:id="rId7" w:type="first"/>
      <w:footerReference r:id="rId10" w:type="first"/>
      <w:headerReference r:id="rId5" w:type="default"/>
      <w:footerReference r:id="rId8" w:type="default"/>
      <w:headerReference r:id="rId6" w:type="even"/>
      <w:footerReference r:id="rId9" w:type="even"/>
      <w:pgSz w:w="11906" w:h="16838"/>
      <w:pgMar w:top="2098" w:right="1588" w:bottom="1588" w:left="1588" w:header="851" w:footer="992" w:gutter="0"/>
      <w:pgNumType w:fmt="numberInDash"/>
      <w:cols w:space="720"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5ZjkyNWM5NDA5YzI0MWZjNTA3MDA1ZjJiYmIxN2UifQ=="/>
  </w:docVars>
  <w:rsids>
    <w:rsidRoot w:val="6F5642B6"/>
    <w:rsid w:val="08A84589"/>
    <w:rsid w:val="099A5775"/>
    <w:rsid w:val="28C4679D"/>
    <w:rsid w:val="3BA96372"/>
    <w:rsid w:val="47640900"/>
    <w:rsid w:val="4CE0771A"/>
    <w:rsid w:val="4DAF0A4E"/>
    <w:rsid w:val="57B665B8"/>
    <w:rsid w:val="69B422F3"/>
    <w:rsid w:val="6A6D7586"/>
    <w:rsid w:val="6F5642B6"/>
    <w:rsid w:val="718C401C"/>
    <w:rsid w:val="7F947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4">
    <w:name w:val="Normal Indent"/>
    <w:basedOn w:val="1"/>
    <w:next w:val="5"/>
    <w:qFormat/>
    <w:uiPriority w:val="0"/>
    <w:rPr>
      <w:rFonts w:ascii="Calibri" w:hAnsi="Calibri"/>
      <w:kern w:val="0"/>
    </w:rPr>
  </w:style>
  <w:style w:type="paragraph" w:styleId="5">
    <w:name w:val="Body Text First Indent 2"/>
    <w:basedOn w:val="6"/>
    <w:next w:val="1"/>
    <w:unhideWhenUsed/>
    <w:qFormat/>
    <w:uiPriority w:val="99"/>
    <w:pPr>
      <w:ind w:firstLine="420"/>
    </w:pPr>
  </w:style>
  <w:style w:type="paragraph" w:styleId="6">
    <w:name w:val="Body Text Indent"/>
    <w:basedOn w:val="1"/>
    <w:next w:val="1"/>
    <w:unhideWhenUsed/>
    <w:qFormat/>
    <w:uiPriority w:val="99"/>
    <w:pPr>
      <w:spacing w:after="120"/>
      <w:ind w:left="420" w:leftChars="200"/>
    </w:pPr>
  </w:style>
  <w:style w:type="paragraph" w:styleId="7">
    <w:name w:val="footer"/>
    <w:basedOn w:val="1"/>
    <w:qFormat/>
    <w:uiPriority w:val="0"/>
    <w:pPr>
      <w:tabs>
        <w:tab w:val="center" w:pos="4153"/>
        <w:tab w:val="right" w:pos="8306"/>
      </w:tabs>
      <w:snapToGrid w:val="0"/>
      <w:jc w:val="left"/>
    </w:pPr>
    <w:rPr>
      <w:kern w:val="0"/>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List"/>
    <w:basedOn w:val="1"/>
    <w:qFormat/>
    <w:uiPriority w:val="0"/>
    <w:pPr>
      <w:spacing w:line="600" w:lineRule="exact"/>
      <w:ind w:firstLine="1446"/>
    </w:pPr>
    <w:rPr>
      <w:sz w:val="28"/>
    </w:rPr>
  </w:style>
  <w:style w:type="paragraph" w:customStyle="1" w:styleId="12">
    <w:name w:val="样式 正文缩进正文缩进2正文缩进 Char Char正文缩进 Char Char Char Char正文缩进 Char ..."/>
    <w:basedOn w:val="4"/>
    <w:qFormat/>
    <w:uiPriority w:val="0"/>
    <w:pPr>
      <w:spacing w:line="360" w:lineRule="auto"/>
      <w:ind w:firstLine="200"/>
    </w:pPr>
    <w:rPr>
      <w:rFonts w:cs="宋体"/>
      <w:sz w:val="24"/>
    </w:rPr>
  </w:style>
  <w:style w:type="paragraph" w:customStyle="1" w:styleId="13">
    <w:name w:val="表头"/>
    <w:basedOn w:val="9"/>
    <w:next w:val="1"/>
    <w:qFormat/>
    <w:uiPriority w:val="0"/>
    <w:pPr>
      <w:adjustRightInd w:val="0"/>
      <w:snapToGrid w:val="0"/>
      <w:jc w:val="center"/>
    </w:pPr>
    <w:rPr>
      <w:b/>
      <w:sz w:val="24"/>
      <w:szCs w:val="24"/>
    </w:rPr>
  </w:style>
  <w:style w:type="paragraph" w:customStyle="1" w:styleId="14">
    <w:name w:val="表中"/>
    <w:qFormat/>
    <w:uiPriority w:val="0"/>
    <w:pPr>
      <w:adjustRightInd w:val="0"/>
      <w:snapToGrid w:val="0"/>
      <w:jc w:val="center"/>
    </w:pPr>
    <w:rPr>
      <w:rFonts w:ascii="Times New Roman" w:hAnsi="Times New Roman" w:eastAsia="宋体" w:cs="Times New Roman"/>
      <w:kern w:val="44"/>
      <w:sz w:val="21"/>
      <w:szCs w:val="21"/>
      <w:lang w:val="en-US" w:eastAsia="zh-CN" w:bidi="ar-SA"/>
    </w:rPr>
  </w:style>
  <w:style w:type="paragraph" w:customStyle="1" w:styleId="15">
    <w:name w:val="111111正文"/>
    <w:basedOn w:val="1"/>
    <w:qFormat/>
    <w:uiPriority w:val="0"/>
    <w:pPr>
      <w:spacing w:line="360" w:lineRule="auto"/>
      <w:ind w:firstLine="200" w:firstLineChars="20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1548</Words>
  <Characters>1637</Characters>
  <Lines>0</Lines>
  <Paragraphs>0</Paragraphs>
  <TotalTime>4</TotalTime>
  <ScaleCrop>false</ScaleCrop>
  <LinksUpToDate>false</LinksUpToDate>
  <CharactersWithSpaces>1697</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2022-12-04T12:12:00Z</dcterms:created>
  <dc:creator> </dc:creator>
  <cp:lastModifiedBy>Administrator</cp:lastModifiedBy>
  <dcterms:modified xsi:type="dcterms:W3CDTF">2023-11-03T09:22:07Z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3657F1B17CF743A79847E1CCC3006BF2_13</vt:lpwstr>
  </property>
</Properties>
</file>