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spacing w:line="600" w:lineRule="exact"/>
        <w:ind w:right="26" w:firstLine="0" w:firstLineChars="0"/>
        <w:jc w:val="right"/>
        <w:rPr>
          <w:rFonts w:hint="eastAsia" w:eastAsia="仿宋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spacing w:line="600" w:lineRule="exact"/>
        <w:ind w:right="26" w:firstLine="0" w:firstLineChars="0"/>
        <w:jc w:val="righ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rPr>
          <w:rFonts w:eastAsia="仿宋"/>
          <w:color w:val="auto"/>
          <w:highlight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eastAsia="仿宋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spacing w:line="600" w:lineRule="exact"/>
        <w:ind w:right="26" w:firstLine="0" w:firstLineChars="0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鄂环</w:t>
      </w:r>
      <w:r>
        <w:rPr>
          <w:rFonts w:hint="eastAsia" w:ascii="仿宋" w:hAnsi="仿宋" w:eastAsia="仿宋" w:cs="仿宋"/>
          <w:color w:val="auto"/>
          <w:highlight w:val="none"/>
          <w:lang w:val="en-US" w:eastAsia="zh-CN"/>
        </w:rPr>
        <w:t>审</w:t>
      </w:r>
      <w:r>
        <w:rPr>
          <w:rFonts w:hint="eastAsia" w:ascii="仿宋" w:hAnsi="仿宋" w:eastAsia="仿宋" w:cs="仿宋"/>
          <w:color w:val="auto"/>
          <w:highlight w:val="none"/>
        </w:rPr>
        <w:t>字〔20</w:t>
      </w:r>
      <w:r>
        <w:rPr>
          <w:rFonts w:hint="eastAsia" w:ascii="仿宋" w:hAnsi="仿宋" w:eastAsia="仿宋" w:cs="仿宋"/>
          <w:color w:val="auto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color w:val="auto"/>
          <w:highlight w:val="none"/>
        </w:rPr>
        <w:t>〕</w:t>
      </w:r>
      <w:r>
        <w:rPr>
          <w:rFonts w:hint="eastAsia" w:ascii="仿宋" w:hAnsi="仿宋" w:eastAsia="仿宋" w:cs="仿宋"/>
          <w:color w:val="auto"/>
          <w:highlight w:val="none"/>
          <w:lang w:val="en-US" w:eastAsia="zh-CN"/>
        </w:rPr>
        <w:t>154</w:t>
      </w:r>
      <w:r>
        <w:rPr>
          <w:rFonts w:hint="eastAsia" w:ascii="仿宋" w:hAnsi="仿宋" w:eastAsia="仿宋" w:cs="仿宋"/>
          <w:color w:val="auto"/>
          <w:highlight w:val="none"/>
        </w:rPr>
        <w:t>号</w:t>
      </w:r>
    </w:p>
    <w:p>
      <w:pPr>
        <w:keepNext w:val="0"/>
        <w:keepLines w:val="0"/>
        <w:pageBreakBefore w:val="0"/>
        <w:widowControl w:val="0"/>
        <w:tabs>
          <w:tab w:val="left" w:pos="6780"/>
        </w:tabs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rPr>
          <w:rFonts w:eastAsia="仿宋"/>
          <w:b/>
          <w:color w:val="auto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rPr>
          <w:rFonts w:eastAsia="宋体"/>
          <w:b/>
          <w:color w:val="auto"/>
          <w:w w:val="95"/>
          <w:sz w:val="44"/>
          <w:szCs w:val="44"/>
          <w:highlight w:val="none"/>
        </w:rPr>
      </w:pPr>
      <w:r>
        <w:rPr>
          <w:rFonts w:eastAsia="宋体"/>
          <w:b/>
          <w:color w:val="auto"/>
          <w:w w:val="95"/>
          <w:sz w:val="44"/>
          <w:szCs w:val="44"/>
          <w:highlight w:val="none"/>
        </w:rPr>
        <w:t>鄂尔多斯市</w:t>
      </w:r>
      <w:r>
        <w:rPr>
          <w:rFonts w:hint="eastAsia" w:eastAsia="宋体"/>
          <w:b/>
          <w:color w:val="auto"/>
          <w:w w:val="95"/>
          <w:sz w:val="44"/>
          <w:szCs w:val="44"/>
          <w:highlight w:val="none"/>
        </w:rPr>
        <w:t>生态环境</w:t>
      </w:r>
      <w:r>
        <w:rPr>
          <w:rFonts w:eastAsia="宋体"/>
          <w:b/>
          <w:color w:val="auto"/>
          <w:w w:val="95"/>
          <w:sz w:val="44"/>
          <w:szCs w:val="44"/>
          <w:highlight w:val="none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rPr>
          <w:rFonts w:hint="eastAsia" w:eastAsia="宋体"/>
          <w:b/>
          <w:color w:val="auto"/>
          <w:w w:val="95"/>
          <w:sz w:val="44"/>
          <w:szCs w:val="44"/>
          <w:highlight w:val="none"/>
        </w:rPr>
      </w:pPr>
      <w:r>
        <w:rPr>
          <w:rFonts w:eastAsia="宋体"/>
          <w:b/>
          <w:color w:val="auto"/>
          <w:w w:val="95"/>
          <w:sz w:val="44"/>
          <w:szCs w:val="44"/>
          <w:highlight w:val="none"/>
        </w:rPr>
        <w:t>关于</w:t>
      </w:r>
      <w:r>
        <w:rPr>
          <w:rFonts w:hint="eastAsia" w:eastAsia="宋体"/>
          <w:b/>
          <w:color w:val="auto"/>
          <w:w w:val="95"/>
          <w:sz w:val="44"/>
          <w:szCs w:val="44"/>
          <w:highlight w:val="none"/>
        </w:rPr>
        <w:t>龙王沟煤矿煤矸石综合治理项目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rPr>
          <w:rFonts w:eastAsia="宋体"/>
          <w:b/>
          <w:color w:val="auto"/>
          <w:w w:val="95"/>
          <w:sz w:val="44"/>
          <w:szCs w:val="44"/>
          <w:highlight w:val="none"/>
        </w:rPr>
      </w:pPr>
      <w:r>
        <w:rPr>
          <w:rFonts w:eastAsia="宋体"/>
          <w:b/>
          <w:color w:val="auto"/>
          <w:w w:val="95"/>
          <w:sz w:val="44"/>
          <w:szCs w:val="44"/>
          <w:highlight w:val="none"/>
        </w:rPr>
        <w:t>环境影响报告表的批复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723"/>
        <w:jc w:val="center"/>
        <w:rPr>
          <w:rFonts w:eastAsia="仿宋"/>
          <w:b/>
          <w:color w:val="auto"/>
          <w:sz w:val="36"/>
          <w:szCs w:val="36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内蒙古一本环保科技有限公司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仿宋" w:hAnsi="仿宋" w:eastAsia="仿宋" w:cs="仿宋"/>
          <w:color w:val="auto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你公司报送的由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内蒙古中政国环工程顾问有限公司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编制的《</w:t>
      </w:r>
      <w:r>
        <w:rPr>
          <w:rFonts w:hint="eastAsia" w:ascii="仿宋" w:hAnsi="仿宋" w:eastAsia="仿宋" w:cs="仿宋"/>
          <w:sz w:val="32"/>
          <w:szCs w:val="20"/>
          <w:u w:val="none"/>
        </w:rPr>
        <w:t>龙王沟煤矿煤矸石综合治理项目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环境影响报告表》（以下简称《报告表》）收悉。</w:t>
      </w:r>
      <w:r>
        <w:rPr>
          <w:rFonts w:hint="eastAsia" w:ascii="仿宋" w:hAnsi="仿宋" w:eastAsia="仿宋" w:cs="仿宋"/>
          <w:color w:val="auto"/>
          <w:szCs w:val="32"/>
          <w:highlight w:val="none"/>
        </w:rPr>
        <w:t>我局综合保障中心对该项目进行了技术评估，并形成了技术评估报告，根据《报告</w:t>
      </w:r>
      <w:r>
        <w:rPr>
          <w:rFonts w:hint="eastAsia" w:ascii="仿宋" w:hAnsi="仿宋" w:eastAsia="仿宋" w:cs="仿宋"/>
          <w:color w:val="auto"/>
          <w:szCs w:val="32"/>
          <w:highlight w:val="none"/>
          <w:lang w:val="en-US" w:eastAsia="zh-CN"/>
        </w:rPr>
        <w:t>表</w:t>
      </w:r>
      <w:r>
        <w:rPr>
          <w:rFonts w:hint="eastAsia" w:ascii="仿宋" w:hAnsi="仿宋" w:eastAsia="仿宋" w:cs="仿宋"/>
          <w:color w:val="auto"/>
          <w:szCs w:val="32"/>
          <w:highlight w:val="none"/>
        </w:rPr>
        <w:t>》和《技术评估报告》，</w:t>
      </w:r>
      <w:r>
        <w:rPr>
          <w:rFonts w:hint="eastAsia" w:ascii="仿宋" w:hAnsi="仿宋" w:eastAsia="仿宋" w:cs="仿宋"/>
          <w:color w:val="auto"/>
          <w:szCs w:val="32"/>
        </w:rPr>
        <w:t>经研究，现批复如下：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" w:hAnsi="仿宋" w:eastAsia="仿宋" w:cs="仿宋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22"/>
        </w:rPr>
        <w:t>本项目的环境影响评价文件未经我局审批即擅自开工建设，违反了《中华人民共和国环境影响评价法》的有关规定，依据《中华人民共和国环境影响评价法》第三十一条之规定，对该公司实施了处罚，罚款已缴纳。你公司必须增强守法意识，杜绝违法行为再次发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97" w:line="560" w:lineRule="exact"/>
        <w:ind w:right="174" w:righ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该项目位于准格尔旗薛家湾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镇龙王沟煤矿工业广场内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主要建设内容包括地面制浆站、井下注浆系统以及配套的公用、辅助工程等。本项目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设计年处置煤矸石240万吨，其中可分选出有用资源约96万吨（高岭土48万吨、砂岩40.8万吨、低阶煤7.2万吨），剩余不可利用矸石，破碎制浆后回注采空区。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项目总投资</w:t>
      </w: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12400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万元，全部为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环保投资。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《报告表》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和《评估报告》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认为，在全面落实各项生态环境保护和环境污染防治措施的前提下，项目建设对环境的不利影响能够得到一定的缓解和控制。因此，我局原则同意你公司按照《报告表》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和《评估报告》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中所列的建设项目性质、规模、地点、工艺、生态环境保护措施及下述要求进行建设。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/>
        <w:textAlignment w:val="baseline"/>
        <w:outlineLvl w:val="9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、项目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建设与运行管理中应重点做好的工作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.加强施工期环境管理。施工单位在设备安装过程中应严格按照设计要求施工，尽可能缩小施工活动范围，施工场地四周须建立围挡，定期进行洒水和清扫；禁止在敏感建筑物集中区域内进行打桩、搅拌混凝土、鸣笛等活动；施工结束后须尽快对临时占地和周边进行生态植被恢复，防止水土流失；施工期产生的废水和固体废弃物要集中收集统一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2.认真落实《报告表》中提出的大气污染防治措施。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地面制浆站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全封闭，振动筛、破碎机等设备以及成品仓、暂存矸石仓等设施产尘点全封闭，产生的粉尘经负压收集至布袋除尘器处理后排放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。厂界颗粒物无组织排放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满足</w:t>
      </w:r>
      <w:r>
        <w:rPr>
          <w:rFonts w:hint="eastAsia" w:ascii="仿宋" w:hAnsi="仿宋" w:eastAsia="仿宋" w:cs="仿宋"/>
          <w:sz w:val="32"/>
          <w:szCs w:val="32"/>
        </w:rPr>
        <w:t>《煤炭工业污染物排放标准》（GB20426-2006）中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相应</w:t>
      </w:r>
      <w:r>
        <w:rPr>
          <w:rFonts w:hint="eastAsia" w:ascii="仿宋" w:hAnsi="仿宋" w:eastAsia="仿宋" w:cs="仿宋"/>
          <w:sz w:val="32"/>
          <w:szCs w:val="32"/>
        </w:rPr>
        <w:t>标准限值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强化废水处理与回用。生活污水依托生活区现有化粪池暂存，定期送至龙王沟煤矿工业广场生活污水处理站处理；地面冲洗废水经沉淀池沉淀后回用；井下冲洗废水、采空区浆体泌出废水与矿井水一同进入矿井水处理站进行处理，处理后回用。按照“源头控制、分区防控、污染监控、应急响应”的原则，提出地下水污染防控措施，确保不会对区域地下水造成污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.应采取妥善控制措施，确保厂界噪声满足《工业企业厂界环境噪声排放标准》（GB12348-2008）2类标准要求。</w:t>
      </w:r>
    </w:p>
    <w:p>
      <w:pPr>
        <w:pStyle w:val="11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outlineLvl w:val="1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落实固体废物污染防治措施。建设单位须严格按照《一般工业固体废物贮存和填埋污染控制标准》（GB18599-2020）和《危险废物贮存污染控制标准》（GB18597-2001）（及其修改单）要求对一般固废和危险废物进行处置，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除尘灰、沉淀池污泥返回制浆工序回用；废矿物油、废油桶依托龙王沟煤矿危废库暂存，委托有资质的单位处置；生活垃圾委托环卫部门统一清运。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.建设单位须强化环境风险防范，落实环保设施安全生产要求，项目污染防治设施须与主体工程一起按照安全生产要求设计，有效防范因污染物事故排放或安全生产事故可能引发的环境风险。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、项目建设必须严格执行环境保护“三同时”制度。项目竣工后，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按照规定程序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实施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竣工环境保护验收。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/>
        <w:outlineLvl w:val="9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、你公司应在收到本批复20日内，将《报告表》（报批版）及批复文件送至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鄂尔多斯市生态环境局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准格尔旗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分局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，我局委托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鄂尔多斯市生态环境局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准格尔旗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eastAsia="zh-CN"/>
        </w:rPr>
        <w:t>分局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负责该项目的日常监管工作。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/>
        <w:outlineLvl w:val="9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、该项目从批准之日起超过5年方决定开工建设，其环评文件应重新审核。如果建设地点、规模、防治污染和防止生态破坏的措施等发生重大变化时，需重新报批环评文件。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ind w:left="0" w:leftChars="0" w:firstLine="0" w:firstLineChars="0"/>
        <w:rPr>
          <w:rFonts w:hint="eastAsia" w:ascii="仿宋" w:hAnsi="仿宋" w:eastAsia="仿宋" w:cs="仿宋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firstLine="5120" w:firstLineChars="1600"/>
        <w:jc w:val="both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鄂尔多斯市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生态环境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局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320" w:firstLine="0" w:firstLineChars="0"/>
        <w:jc w:val="center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20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320" w:firstLine="0" w:firstLineChars="0"/>
        <w:jc w:val="center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320" w:firstLine="0" w:firstLineChars="0"/>
        <w:jc w:val="center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right="320" w:firstLine="0" w:firstLineChars="0"/>
        <w:jc w:val="both"/>
        <w:outlineLvl w:val="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                     </w:t>
      </w:r>
    </w:p>
    <w:p>
      <w:pPr>
        <w:pStyle w:val="6"/>
        <w:ind w:left="0" w:leftChars="0" w:firstLine="0" w:firstLineChars="0"/>
        <w:rPr>
          <w:rFonts w:hint="default"/>
          <w:highlight w:val="none"/>
        </w:rPr>
      </w:pPr>
    </w:p>
    <w:p>
      <w:pPr>
        <w:spacing w:line="500" w:lineRule="exact"/>
        <w:ind w:left="840" w:leftChars="0" w:hanging="840" w:hangingChars="300"/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687695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4pt;height:0pt;width:447.85pt;z-index:251659264;mso-width-relative:page;mso-height-relative:page;" filled="f" stroked="t" coordsize="21600,21600" o:gfxdata="UEsDBAoAAAAAAIdO4kAAAAAAAAAAAAAAAAAEAAAAZHJzL1BLAwQUAAAACACHTuJAaelzLNEAAAAC&#10;AQAADwAAAGRycy9kb3ducmV2LnhtbE2PzU7DMBCE70i8g7VIXCpqt4jShjg9ALlxoQX1uo2XJCJe&#10;p7H7A0/P9lSOoxnNfJMvT75TBxpiG9jCZGxAEVfBtVxb+FiXd3NQMSE77AKThR+KsCyur3LMXDjy&#10;Ox1WqVZSwjFDC01KfaZ1rBryGMehJxbvKwwek8ih1m7Ao5T7Tk+NmWmPLctCgz09N1R9r/beQiw/&#10;aVf+jqqR2dzXgaa7l7dXtPb2ZmKeQCU6pUsYzviCDoUwbcOeXVSdBTmSLAi9ePPFwyOo7VnqItf/&#10;0Ys/UEsDBBQAAAAIAIdO4kDdbGUq9QEAAOQDAAAOAAAAZHJzL2Uyb0RvYy54bWytU81uEzEQviPx&#10;DpbvZJNICe0qmx4aygVBJOABJl7vriX/yeNkk5fgBZC4wYkjd96G9jEYe9MU2ksO3YN37Bl/M983&#10;48XV3mi2kwGVsxWfjMacSStcrWxb8c+fbl5dcIYRbA3aWVnxg0R+tXz5YtH7Uk5d53QtAyMQi2Xv&#10;K97F6MuiQNFJAzhyXlpyNi4YiLQNbVEH6And6GI6Hs+L3oXaByckIp2uBic/IoZzAF3TKCFXTmyN&#10;tHFADVJDJErYKY98mattGinih6ZBGZmuODGNeaUkZG/SWiwXULYBfKfEsQQ4p4RHnAwoS0lPUCuI&#10;wLZBPYEySgSHrokj4UwxEMmKEIvJ+JE2HzvwMnMhqdGfRMfngxXvd+vAVF3xGWcWDDX89uuvP1++&#10;3/3+Ruvtzx9slkTqPZYUe23X4bhDvw6J8b4JJv2JC9tnYQ8nYeU+MkGHs/nF6/klZRD3vuLhog8Y&#10;30pnWDIqrpVNnKGE3TuMlIxC70PSsbasr/jlbJrggAawocaTaTyRQNvmu+i0qm+U1ukGhnZzrQPb&#10;QRqC/CVKhPtfWEqyAuyGuOwaxqOTUL+xNYsHT/JYehU8lWBkzZmW9IiSRYBQRlD6nEhKrS1VkFQd&#10;dEzWxtUHasbWB9V2pMQkV5k81Pxc73FQ03T9u89ID49z+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p6XMs0QAAAAIBAAAPAAAAAAAAAAEAIAAAACIAAABkcnMvZG93bnJldi54bWxQSwECFAAUAAAA&#10;CACHTuJA3WxlKvUBAADkAwAADgAAAAAAAAABACAAAAAg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>抄送：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eastAsia="zh-CN"/>
        </w:rPr>
        <w:t>鄂尔多斯市生态环境</w:t>
      </w:r>
      <w:r>
        <w:rPr>
          <w:rFonts w:hint="eastAsia" w:ascii="Times New Roman" w:hAnsi="Times New Roman" w:cs="Times New Roman"/>
          <w:color w:val="000000"/>
          <w:sz w:val="28"/>
          <w:szCs w:val="28"/>
          <w:highlight w:val="none"/>
          <w:lang w:eastAsia="zh-CN"/>
        </w:rPr>
        <w:t>局</w:t>
      </w:r>
      <w:r>
        <w:rPr>
          <w:rFonts w:hint="eastAsia" w:ascii="Times New Roman" w:hAnsi="Times New Roman" w:cs="Times New Roman"/>
          <w:color w:val="000000"/>
          <w:sz w:val="28"/>
          <w:szCs w:val="28"/>
          <w:highlight w:val="none"/>
          <w:lang w:val="en-US" w:eastAsia="zh-CN"/>
        </w:rPr>
        <w:t>准格尔旗</w:t>
      </w:r>
      <w:r>
        <w:rPr>
          <w:rFonts w:hint="eastAsia" w:ascii="Times New Roman" w:hAnsi="Times New Roman" w:cs="Times New Roman"/>
          <w:color w:val="000000"/>
          <w:sz w:val="28"/>
          <w:szCs w:val="28"/>
          <w:highlight w:val="none"/>
          <w:lang w:eastAsia="zh-CN"/>
        </w:rPr>
        <w:t>分局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>，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>市生态环境综合行政执法支队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  <w:t>内蒙古中政国环工程顾问有限公司</w:t>
      </w:r>
      <w:r>
        <w:rPr>
          <w:rFonts w:hint="eastAsia" w:ascii="Times New Roman" w:hAnsi="Times New Roman" w:cs="Times New Roman"/>
          <w:color w:val="000000"/>
          <w:sz w:val="28"/>
          <w:szCs w:val="28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市生态环境局综合保障中心。</w:t>
      </w:r>
    </w:p>
    <w:p>
      <w:pPr>
        <w:spacing w:line="500" w:lineRule="exact"/>
        <w:ind w:firstLine="0" w:firstLineChars="0"/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373380</wp:posOffset>
                </wp:positionV>
                <wp:extent cx="5687695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65pt;margin-top:29.4pt;height:0pt;width:447.85pt;z-index:251661312;mso-width-relative:page;mso-height-relative:page;" filled="f" stroked="t" coordsize="21600,21600" o:gfxdata="UEsDBAoAAAAAAIdO4kAAAAAAAAAAAAAAAAAEAAAAZHJzL1BLAwQUAAAACACHTuJAMwD7dNQAAAAH&#10;AQAADwAAAGRycy9kb3ducmV2LnhtbE2PzU7DMBCE70i8g7VIXCpqtxEoDXF6AHLjQgFx3cZLEhGv&#10;09j9gadnEQc47sxo9ptyffKDOtAU+8AWFnMDirgJrufWwstzfZWDignZ4RCYLHxShHV1flZi4cKR&#10;n+iwSa2SEo4FWuhSGgutY9ORxzgPI7F472HymOScWu0mPEq5H/TSmBvtsWf50OFIdx01H5u9txDr&#10;V9rVX7NmZt6yNtByd//4gNZeXizMLahEp/QXhh98QYdKmLZhzy6qwUKWSdDCdS4DxM5XK5m2/RV0&#10;Ver//NU3UEsDBBQAAAAIAIdO4kDu0cmd9gEAAOQDAAAOAAAAZHJzL2Uyb0RvYy54bWytU81uEzEQ&#10;viPxDpbvZJNICe0qmx4aygVBJOABJl7vriX/yeNkk5fgBZC4wYkjd96G9jEYe9MU2ksO3YN37Bl/&#10;M98348XV3mi2kwGVsxWfjMacSStcrWxb8c+fbl5dcIYRbA3aWVnxg0R+tXz5YtH7Uk5d53QtAyMQ&#10;i2XvK97F6MuiQNFJAzhyXlpyNi4YiLQNbVEH6And6GI6Hs+L3oXaByckIp2uBic/IoZzAF3TKCFX&#10;TmyNtHFADVJDJErYKY98mattGinih6ZBGZmuODGNeaUkZG/SWiwXULYBfKfEsQQ4p4RHnAwoS0lP&#10;UCuIwLZBPYEySgSHrokj4UwxEMmKEIvJ+JE2HzvwMnMhqdGfRMfngxXvd+vAVF3xOWcWDDX89uuv&#10;P1++3/3+Ruvtzx9snkTqPZYUe23X4bhDvw6J8b4JJv2JC9tnYQ8nYeU+MkGHs/nF6/nljDNx7yse&#10;LvqA8a10hiWj4lrZxBlK2L3DSMko9D4kHWvL+opfzqYJDmgAG2o8mcYTCbRtvotOq/pGaZ1uYGg3&#10;1zqwHaQhyF+iRLj/haUkK8BuiMuuYTw6CfUbW7N48CSPpVfBUwlG1pxpSY8oWQQIZQSlz4mk1NpS&#10;BUnVQcdkbVx9oGZsfVBtR0pMcpXJQ83P9R4HNU3Xv/uM9PA4l3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wD7dNQAAAAHAQAADwAAAAAAAAABACAAAAAiAAAAZHJzL2Rvd25yZXYueG1sUEsBAhQA&#10;FAAAAAgAh07iQO7RyZ32AQAA5A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鄂尔多斯市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生态环境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局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20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日印发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8769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6pt;height:0pt;width:447.85pt;z-index:251660288;mso-width-relative:page;mso-height-relative:page;" filled="f" stroked="t" coordsize="21600,21600" o:gfxdata="UEsDBAoAAAAAAIdO4kAAAAAAAAAAAAAAAAAEAAAAZHJzL1BLAwQUAAAACACHTuJAL9t2ftIAAAAE&#10;AQAADwAAAGRycy9kb3ducmV2LnhtbE2PzU7DMBCE70i8g7VIXKrWbhC0hDg9ALlxoYC4buMliYjX&#10;aez+wNOz9ALH2VnNfFOsjr5XexpjF9jCfGZAEdfBddxYeH2ppktQMSE77AOThS+KsCrPzwrMXTjw&#10;M+3XqVESwjFHC21KQ651rFvyGGdhIBbvI4wek8ix0W7Eg4T7XmfG3GiPHUtDiwPdt1R/rnfeQqze&#10;aFt9T+qJeb9qAmXbh6dHtPbyYm7uQCU6pr9n+MUXdCiFaRN27KLqLciQJNcMlJjL2+sFqM1J67LQ&#10;/+HLH1BLAwQUAAAACACHTuJAzAcBR/YBAADkAwAADgAAAGRycy9lMm9Eb2MueG1srVPNjtMwEL4j&#10;8Q6W7zRttS27UdM9bFkuCCoBDzB1nMSS/+Rxm/YleAEkbnDiyJ232eUxGDvdLiyXHsjBGXvG38z3&#10;zXhxvTea7WRA5WzFJ6MxZ9IKVyvbVvzjh9sXl5xhBFuDdlZW/CCRXy+fP1v0vpRT1zldy8AIxGLZ&#10;+4p3MfqyKFB00gCOnJeWnI0LBiJtQ1vUAXpCN7qYjsfzoneh9sEJiUinq8HJj4jhHEDXNErIlRNb&#10;I20cUIPUEIkSdsojX+Zqm0aK+K5pUEamK05MY14pCdmbtBbLBZRtAN8pcSwBzinhCScDylLSE9QK&#10;IrBtUP9AGSWCQ9fEkXCmGIhkRYjFZPxEm/cdeJm5kNToT6Lj/4MVb3frwFRd8QvOLBhq+P3nH3ef&#10;vv76+YXW++/f2EUSqfdYUuyNXYfjDv06JMb7Jpj0Jy5sn4U9nISV+8gEHc7mly/nVzPOxIOveLzo&#10;A8bX0hmWjIprZRNnKGH3BiMlo9CHkHSsLesrfjWbJjigAWyo8WQaTyTQtvkuOq3qW6V1uoGh3dzo&#10;wHaQhiB/iRLh/hWWkqwAuyEuu4bx6CTUr2zN4sGTPJZeBU8lGFlzpiU9omQRIJQRlD4nklJrSxUk&#10;VQcdk7Vx9YGasfVBtR0pMclVJg81P9d7HNQ0XX/uM9Lj41z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/bdn7SAAAABAEAAA8AAAAAAAAAAQAgAAAAIgAAAGRycy9kb3ducmV2LnhtbFBLAQIUABQA&#10;AAAIAIdO4kDMBwFH9gEAAOQDAAAOAAAAAAAAAAEAIAAAACE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rPr>
          <w:rFonts w:hint="eastAsia"/>
          <w:lang w:eastAsia="zh-CN"/>
        </w:rPr>
      </w:pPr>
    </w:p>
    <w:p>
      <w:pPr>
        <w:pStyle w:val="11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1588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560"/>
      <w:jc w:val="right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560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lear" w:pos="4153"/>
        <w:tab w:val="clear" w:pos="8306"/>
      </w:tabs>
      <w:ind w:firstLine="360"/>
    </w:pPr>
  </w:p>
  <w:p>
    <w:pPr>
      <w:ind w:firstLine="6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522C20"/>
    <w:multiLevelType w:val="singleLevel"/>
    <w:tmpl w:val="11522C2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5ZjkyNWM5NDA5YzI0MWZjNTA3MDA1ZjJiYmIxN2UifQ=="/>
  </w:docVars>
  <w:rsids>
    <w:rsidRoot w:val="6F5642B6"/>
    <w:rsid w:val="1CE10AE9"/>
    <w:rsid w:val="3BA96372"/>
    <w:rsid w:val="47640900"/>
    <w:rsid w:val="4AE05AEF"/>
    <w:rsid w:val="4CE0771A"/>
    <w:rsid w:val="5E707805"/>
    <w:rsid w:val="6A6D7586"/>
    <w:rsid w:val="6F5642B6"/>
    <w:rsid w:val="718C401C"/>
    <w:rsid w:val="78E4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rPr>
      <w:rFonts w:ascii="Calibri" w:hAnsi="Calibri"/>
      <w:kern w:val="0"/>
    </w:rPr>
  </w:style>
  <w:style w:type="paragraph" w:styleId="4">
    <w:name w:val="Body Text First Indent 2"/>
    <w:basedOn w:val="5"/>
    <w:next w:val="1"/>
    <w:unhideWhenUsed/>
    <w:qFormat/>
    <w:uiPriority w:val="99"/>
    <w:pPr>
      <w:ind w:firstLine="420"/>
    </w:p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List"/>
    <w:basedOn w:val="1"/>
    <w:qFormat/>
    <w:uiPriority w:val="0"/>
    <w:pPr>
      <w:spacing w:line="600" w:lineRule="exact"/>
      <w:ind w:firstLine="1446"/>
    </w:pPr>
    <w:rPr>
      <w:sz w:val="28"/>
    </w:rPr>
  </w:style>
  <w:style w:type="paragraph" w:customStyle="1" w:styleId="11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/>
    </w:pPr>
    <w:rPr>
      <w:rFonts w:cs="宋体"/>
      <w:sz w:val="24"/>
    </w:rPr>
  </w:style>
  <w:style w:type="paragraph" w:customStyle="1" w:styleId="12">
    <w:name w:val="表头"/>
    <w:basedOn w:val="8"/>
    <w:next w:val="1"/>
    <w:qFormat/>
    <w:uiPriority w:val="0"/>
    <w:pPr>
      <w:adjustRightInd w:val="0"/>
      <w:snapToGrid w:val="0"/>
      <w:jc w:val="center"/>
    </w:pPr>
    <w:rPr>
      <w:b/>
      <w:sz w:val="24"/>
      <w:szCs w:val="24"/>
    </w:rPr>
  </w:style>
  <w:style w:type="paragraph" w:customStyle="1" w:styleId="13">
    <w:name w:val="表中"/>
    <w:qFormat/>
    <w:uiPriority w:val="0"/>
    <w:pPr>
      <w:adjustRightInd w:val="0"/>
      <w:snapToGrid w:val="0"/>
      <w:jc w:val="center"/>
    </w:pPr>
    <w:rPr>
      <w:rFonts w:ascii="Times New Roman" w:hAnsi="Times New Roman" w:eastAsia="宋体" w:cs="Times New Roman"/>
      <w:kern w:val="44"/>
      <w:sz w:val="21"/>
      <w:szCs w:val="21"/>
      <w:lang w:val="en-US" w:eastAsia="zh-CN" w:bidi="ar-SA"/>
    </w:rPr>
  </w:style>
  <w:style w:type="paragraph" w:customStyle="1" w:styleId="14">
    <w:name w:val="111111正文"/>
    <w:basedOn w:val="1"/>
    <w:qFormat/>
    <w:uiPriority w:val="0"/>
    <w:pPr>
      <w:spacing w:line="360" w:lineRule="auto"/>
      <w:ind w:firstLine="200" w:firstLineChars="20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1658</Words>
  <Characters>1735</Characters>
  <Lines>0</Lines>
  <Paragraphs>0</Paragraphs>
  <TotalTime>2</TotalTime>
  <ScaleCrop>false</ScaleCrop>
  <LinksUpToDate>false</LinksUpToDate>
  <CharactersWithSpaces>1817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2022-12-04T12:12:00Z</dcterms:created>
  <dc:creator> </dc:creator>
  <cp:lastModifiedBy>Administrator</cp:lastModifiedBy>
  <dcterms:modified xsi:type="dcterms:W3CDTF">2023-11-09T05:39:24Z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3F6C778342234AF0B8E3FDA4A1B4D818_13</vt:lpwstr>
  </property>
</Properties>
</file>