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right"/>
        <w:textAlignment w:val="auto"/>
        <w:rPr>
          <w:rFonts w:hint="eastAsia" w:eastAsia="仿宋"/>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right"/>
        <w:textAlignment w:val="auto"/>
        <w:rPr>
          <w:rFonts w:eastAsia="仿宋"/>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center"/>
        <w:textAlignment w:val="auto"/>
        <w:rPr>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center"/>
        <w:textAlignment w:val="auto"/>
        <w:rPr>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center"/>
        <w:textAlignment w:val="auto"/>
        <w:rPr>
          <w:highlight w:val="none"/>
        </w:rPr>
      </w:pPr>
    </w:p>
    <w:p>
      <w:pPr>
        <w:pStyle w:val="5"/>
        <w:keepNext w:val="0"/>
        <w:keepLines w:val="0"/>
        <w:pageBreakBefore w:val="0"/>
        <w:widowControl w:val="0"/>
        <w:kinsoku/>
        <w:wordWrap/>
        <w:overflowPunct/>
        <w:topLinePunct w:val="0"/>
        <w:autoSpaceDE/>
        <w:autoSpaceDN/>
        <w:bidi w:val="0"/>
        <w:spacing w:line="600" w:lineRule="exact"/>
        <w:ind w:firstLine="0" w:firstLineChars="0"/>
        <w:textAlignment w:val="auto"/>
        <w:rPr>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center"/>
        <w:textAlignment w:val="auto"/>
        <w:rPr>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center"/>
        <w:textAlignment w:val="auto"/>
        <w:rPr>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center"/>
        <w:textAlignment w:val="auto"/>
        <w:rPr>
          <w:highlight w:val="none"/>
        </w:rPr>
      </w:pPr>
    </w:p>
    <w:p>
      <w:pPr>
        <w:pStyle w:val="5"/>
        <w:keepNext w:val="0"/>
        <w:keepLines w:val="0"/>
        <w:pageBreakBefore w:val="0"/>
        <w:widowControl w:val="0"/>
        <w:kinsoku/>
        <w:wordWrap/>
        <w:overflowPunct/>
        <w:topLinePunct w:val="0"/>
        <w:autoSpaceDE/>
        <w:autoSpaceDN/>
        <w:bidi w:val="0"/>
        <w:spacing w:line="600" w:lineRule="exact"/>
        <w:ind w:left="0" w:leftChars="0" w:firstLine="0" w:firstLineChars="0"/>
        <w:textAlignment w:val="auto"/>
        <w:rPr>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center"/>
        <w:textAlignment w:val="auto"/>
        <w:rPr>
          <w:highlight w:val="none"/>
        </w:rPr>
      </w:pPr>
      <w:r>
        <w:rPr>
          <w:highlight w:val="none"/>
        </w:rPr>
        <w:t>鄂环</w:t>
      </w:r>
      <w:r>
        <w:rPr>
          <w:rFonts w:hint="eastAsia"/>
          <w:highlight w:val="none"/>
        </w:rPr>
        <w:t>审</w:t>
      </w:r>
      <w:r>
        <w:rPr>
          <w:highlight w:val="none"/>
        </w:rPr>
        <w:t>字〔</w:t>
      </w:r>
      <w:r>
        <w:rPr>
          <w:rFonts w:hint="eastAsia"/>
          <w:highlight w:val="none"/>
        </w:rPr>
        <w:t>202</w:t>
      </w:r>
      <w:r>
        <w:rPr>
          <w:rFonts w:hint="eastAsia"/>
          <w:highlight w:val="none"/>
          <w:lang w:val="en-US" w:eastAsia="zh-CN"/>
        </w:rPr>
        <w:t>3</w:t>
      </w:r>
      <w:r>
        <w:rPr>
          <w:highlight w:val="none"/>
        </w:rPr>
        <w:t>〕</w:t>
      </w:r>
      <w:r>
        <w:rPr>
          <w:rFonts w:hint="eastAsia"/>
          <w:highlight w:val="none"/>
          <w:lang w:val="en-US" w:eastAsia="zh-CN"/>
        </w:rPr>
        <w:t>141</w:t>
      </w:r>
      <w:r>
        <w:rPr>
          <w:highlight w:val="none"/>
        </w:rPr>
        <w:t>号</w:t>
      </w:r>
    </w:p>
    <w:p>
      <w:pPr>
        <w:keepNext w:val="0"/>
        <w:keepLines w:val="0"/>
        <w:pageBreakBefore w:val="0"/>
        <w:widowControl w:val="0"/>
        <w:tabs>
          <w:tab w:val="left" w:pos="6780"/>
        </w:tabs>
        <w:kinsoku/>
        <w:wordWrap/>
        <w:overflowPunct/>
        <w:topLinePunct w:val="0"/>
        <w:autoSpaceDE/>
        <w:autoSpaceDN/>
        <w:bidi w:val="0"/>
        <w:spacing w:line="600" w:lineRule="exact"/>
        <w:ind w:firstLine="0" w:firstLineChars="0"/>
        <w:jc w:val="center"/>
        <w:textAlignment w:val="auto"/>
        <w:rPr>
          <w:rFonts w:eastAsia="仿宋"/>
          <w:b/>
          <w:sz w:val="36"/>
          <w:szCs w:val="36"/>
          <w:highlight w:val="none"/>
        </w:rPr>
      </w:pPr>
    </w:p>
    <w:p>
      <w:pPr>
        <w:keepNext w:val="0"/>
        <w:keepLines w:val="0"/>
        <w:pageBreakBefore w:val="0"/>
        <w:widowControl w:val="0"/>
        <w:kinsoku/>
        <w:wordWrap/>
        <w:overflowPunct/>
        <w:topLinePunct w:val="0"/>
        <w:autoSpaceDE/>
        <w:autoSpaceDN/>
        <w:bidi w:val="0"/>
        <w:spacing w:line="600" w:lineRule="exact"/>
        <w:ind w:firstLine="0" w:firstLineChars="0"/>
        <w:jc w:val="center"/>
        <w:textAlignment w:val="auto"/>
        <w:rPr>
          <w:rFonts w:eastAsia="宋体"/>
          <w:b/>
          <w:w w:val="95"/>
          <w:sz w:val="44"/>
          <w:szCs w:val="44"/>
          <w:highlight w:val="none"/>
        </w:rPr>
      </w:pPr>
      <w:r>
        <w:rPr>
          <w:rFonts w:eastAsia="宋体"/>
          <w:b/>
          <w:w w:val="95"/>
          <w:sz w:val="44"/>
          <w:szCs w:val="44"/>
          <w:highlight w:val="none"/>
        </w:rPr>
        <w:t>鄂尔多斯市生态环境局</w:t>
      </w:r>
    </w:p>
    <w:p>
      <w:pPr>
        <w:keepNext w:val="0"/>
        <w:keepLines w:val="0"/>
        <w:pageBreakBefore w:val="0"/>
        <w:widowControl w:val="0"/>
        <w:kinsoku/>
        <w:wordWrap/>
        <w:overflowPunct/>
        <w:topLinePunct w:val="0"/>
        <w:autoSpaceDE/>
        <w:autoSpaceDN/>
        <w:bidi w:val="0"/>
        <w:spacing w:line="600" w:lineRule="exact"/>
        <w:ind w:firstLine="0" w:firstLineChars="0"/>
        <w:jc w:val="center"/>
        <w:textAlignment w:val="auto"/>
        <w:rPr>
          <w:rFonts w:hint="eastAsia" w:eastAsia="宋体"/>
          <w:b/>
          <w:w w:val="95"/>
          <w:sz w:val="44"/>
          <w:szCs w:val="44"/>
          <w:highlight w:val="none"/>
        </w:rPr>
      </w:pPr>
      <w:r>
        <w:rPr>
          <w:rFonts w:eastAsia="宋体"/>
          <w:b/>
          <w:w w:val="95"/>
          <w:sz w:val="44"/>
          <w:szCs w:val="44"/>
          <w:highlight w:val="none"/>
        </w:rPr>
        <w:t>关于</w:t>
      </w:r>
      <w:r>
        <w:rPr>
          <w:rFonts w:hint="eastAsia" w:eastAsia="宋体"/>
          <w:b/>
          <w:w w:val="95"/>
          <w:sz w:val="44"/>
          <w:szCs w:val="44"/>
          <w:highlight w:val="none"/>
        </w:rPr>
        <w:t>杭锦旗锡尼镇城镇生活垃圾分类和处理项目环境影响报告书的批复</w:t>
      </w:r>
    </w:p>
    <w:p>
      <w:pPr>
        <w:keepNext w:val="0"/>
        <w:keepLines w:val="0"/>
        <w:pageBreakBefore w:val="0"/>
        <w:widowControl w:val="0"/>
        <w:kinsoku/>
        <w:wordWrap/>
        <w:overflowPunct/>
        <w:topLinePunct w:val="0"/>
        <w:autoSpaceDE/>
        <w:autoSpaceDN/>
        <w:bidi w:val="0"/>
        <w:spacing w:line="600" w:lineRule="exact"/>
        <w:ind w:firstLine="723"/>
        <w:jc w:val="center"/>
        <w:textAlignment w:val="auto"/>
        <w:rPr>
          <w:rFonts w:eastAsia="仿宋"/>
          <w:b/>
          <w:sz w:val="36"/>
          <w:szCs w:val="36"/>
          <w:highlight w:val="none"/>
        </w:rPr>
      </w:pPr>
    </w:p>
    <w:p>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textAlignment w:val="auto"/>
        <w:rPr>
          <w:rFonts w:hint="eastAsia" w:ascii="仿宋_GB2312" w:hAnsi="仿宋_GB2312" w:cs="仿宋_GB2312"/>
          <w:color w:val="000000"/>
          <w:szCs w:val="32"/>
          <w:highlight w:val="none"/>
        </w:rPr>
      </w:pPr>
      <w:r>
        <w:rPr>
          <w:rFonts w:hint="eastAsia" w:ascii="仿宋_GB2312" w:hAnsi="仿宋_GB2312" w:cs="仿宋_GB2312"/>
          <w:color w:val="000000"/>
          <w:szCs w:val="32"/>
          <w:highlight w:val="none"/>
        </w:rPr>
        <w:t>杭锦旗城市公用事业服务中心：</w:t>
      </w:r>
    </w:p>
    <w:p>
      <w:pPr>
        <w:keepNext w:val="0"/>
        <w:keepLines w:val="0"/>
        <w:pageBreakBefore w:val="0"/>
        <w:widowControl w:val="0"/>
        <w:kinsoku/>
        <w:wordWrap/>
        <w:overflowPunct/>
        <w:topLinePunct w:val="0"/>
        <w:autoSpaceDE/>
        <w:autoSpaceDN/>
        <w:bidi w:val="0"/>
        <w:adjustRightInd w:val="0"/>
        <w:snapToGrid w:val="0"/>
        <w:spacing w:line="600" w:lineRule="exact"/>
        <w:ind w:firstLine="640"/>
        <w:textAlignment w:val="auto"/>
        <w:rPr>
          <w:rFonts w:hint="eastAsia" w:ascii="仿宋_GB2312" w:hAnsi="仿宋_GB2312" w:cs="仿宋_GB2312"/>
          <w:color w:val="000000"/>
          <w:szCs w:val="32"/>
          <w:highlight w:val="none"/>
        </w:rPr>
      </w:pPr>
      <w:r>
        <w:rPr>
          <w:rFonts w:hint="eastAsia" w:ascii="仿宋_GB2312" w:hAnsi="仿宋_GB2312" w:cs="仿宋_GB2312"/>
          <w:color w:val="000000"/>
          <w:szCs w:val="32"/>
          <w:highlight w:val="none"/>
        </w:rPr>
        <w:t>你公司报送的由内蒙古信德工程技术咨询服务有限公司编制的《杭锦旗锡尼镇城镇生活垃圾分类和处理项目环境影响报告书》（以下简称《报告书》）收悉，我局综合保障中心组织专家对该项目进行了技术评估，并形成了技术评估报告，根据《报告书》和《技术评估报告》，经研究，现批复如下：</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Cs/>
          <w:sz w:val="32"/>
          <w:szCs w:val="32"/>
          <w:lang w:eastAsia="zh-CN"/>
        </w:rPr>
      </w:pPr>
      <w:r>
        <w:rPr>
          <w:rFonts w:hint="eastAsia" w:ascii="仿宋_GB2312" w:hAnsi="仿宋_GB2312" w:cs="仿宋_GB2312"/>
          <w:color w:val="000000"/>
          <w:szCs w:val="32"/>
          <w:highlight w:val="none"/>
        </w:rPr>
        <w:t>项目位于鄂尔多斯市杭锦旗锡尼镇镇区东约10km锡尼镇垃圾填埋场预留场地内。</w:t>
      </w:r>
      <w:r>
        <w:rPr>
          <w:rFonts w:hint="eastAsia" w:ascii="仿宋_GB2312" w:hAnsi="仿宋_GB2312" w:cs="仿宋_GB2312"/>
          <w:color w:val="000000"/>
          <w:szCs w:val="32"/>
          <w:highlight w:val="none"/>
          <w:lang w:val="en-US" w:eastAsia="zh-CN"/>
        </w:rPr>
        <w:t>项目</w:t>
      </w:r>
      <w:r>
        <w:rPr>
          <w:rFonts w:hint="default" w:ascii="Times New Roman" w:hAnsi="Times New Roman" w:eastAsia="仿宋_GB2312" w:cs="Times New Roman"/>
          <w:sz w:val="32"/>
        </w:rPr>
        <w:t>日分选生活垃圾总量为100</w:t>
      </w:r>
      <w:r>
        <w:rPr>
          <w:rFonts w:hint="eastAsia" w:ascii="Times New Roman" w:hAnsi="Times New Roman" w:cs="Times New Roman"/>
          <w:sz w:val="32"/>
          <w:lang w:val="en-US" w:eastAsia="zh-CN"/>
        </w:rPr>
        <w:t>吨/天</w:t>
      </w:r>
      <w:r>
        <w:rPr>
          <w:rFonts w:hint="default" w:ascii="Times New Roman" w:hAnsi="Times New Roman" w:eastAsia="仿宋_GB2312" w:cs="Times New Roman"/>
          <w:sz w:val="32"/>
        </w:rPr>
        <w:t>，焚烧处理生活垃圾</w:t>
      </w:r>
      <w:r>
        <w:rPr>
          <w:rFonts w:hint="eastAsia" w:ascii="Times New Roman" w:hAnsi="Times New Roman" w:cs="Times New Roman"/>
          <w:sz w:val="32"/>
          <w:lang w:val="en-US" w:eastAsia="zh-CN"/>
        </w:rPr>
        <w:t>60吨</w:t>
      </w:r>
      <w:r>
        <w:rPr>
          <w:rFonts w:hint="default" w:ascii="Times New Roman" w:hAnsi="Times New Roman" w:eastAsia="仿宋_GB2312" w:cs="Times New Roman"/>
          <w:sz w:val="32"/>
        </w:rPr>
        <w:t>/</w:t>
      </w:r>
      <w:r>
        <w:rPr>
          <w:rFonts w:hint="eastAsia" w:ascii="Times New Roman" w:hAnsi="Times New Roman" w:cs="Times New Roman"/>
          <w:sz w:val="32"/>
          <w:lang w:val="en-US" w:eastAsia="zh-CN"/>
        </w:rPr>
        <w:t>天</w:t>
      </w:r>
      <w:r>
        <w:rPr>
          <w:rFonts w:hint="default" w:ascii="Times New Roman" w:hAnsi="Times New Roman" w:eastAsia="仿宋_GB2312" w:cs="Times New Roman"/>
          <w:sz w:val="32"/>
        </w:rPr>
        <w:t>，处理餐厨垃圾10</w:t>
      </w:r>
      <w:r>
        <w:rPr>
          <w:rFonts w:hint="eastAsia" w:ascii="Times New Roman" w:hAnsi="Times New Roman" w:cs="Times New Roman"/>
          <w:sz w:val="32"/>
          <w:lang w:val="en-US" w:eastAsia="zh-CN"/>
        </w:rPr>
        <w:t>吨/天</w:t>
      </w:r>
      <w:r>
        <w:rPr>
          <w:rFonts w:hint="default" w:ascii="Times New Roman" w:hAnsi="Times New Roman" w:eastAsia="仿宋_GB2312" w:cs="Times New Roman"/>
          <w:sz w:val="32"/>
        </w:rPr>
        <w:t>。</w:t>
      </w:r>
      <w:r>
        <w:rPr>
          <w:rFonts w:hint="eastAsia" w:ascii="Times New Roman" w:hAnsi="Times New Roman" w:cs="Times New Roman"/>
          <w:sz w:val="32"/>
          <w:lang w:val="en-US" w:eastAsia="zh-CN"/>
        </w:rPr>
        <w:t>主要</w:t>
      </w:r>
      <w:r>
        <w:rPr>
          <w:rFonts w:hint="eastAsia" w:ascii="Times New Roman" w:hAnsi="Times New Roman" w:eastAsia="仿宋_GB2312" w:cs="Times New Roman"/>
          <w:sz w:val="32"/>
          <w:lang w:val="en-US" w:eastAsia="zh-CN"/>
        </w:rPr>
        <w:t>建设内容包括</w:t>
      </w:r>
      <w:r>
        <w:rPr>
          <w:rFonts w:hint="default" w:ascii="Times New Roman" w:hAnsi="Times New Roman" w:eastAsia="仿宋_GB2312" w:cs="Times New Roman"/>
          <w:sz w:val="32"/>
        </w:rPr>
        <w:t>生活垃圾分选车间</w:t>
      </w:r>
      <w:r>
        <w:rPr>
          <w:rFonts w:hint="eastAsia" w:ascii="Times New Roman" w:hAnsi="Times New Roman" w:eastAsia="仿宋_GB2312" w:cs="Times New Roman"/>
          <w:sz w:val="32"/>
          <w:lang w:eastAsia="zh-CN"/>
        </w:rPr>
        <w:t>、</w:t>
      </w:r>
      <w:r>
        <w:rPr>
          <w:rFonts w:hint="default" w:ascii="Times New Roman" w:hAnsi="Times New Roman" w:eastAsia="仿宋_GB2312" w:cs="Times New Roman"/>
          <w:sz w:val="32"/>
        </w:rPr>
        <w:t>生活垃圾焚烧车间</w:t>
      </w:r>
      <w:r>
        <w:rPr>
          <w:rFonts w:hint="eastAsia" w:ascii="Times New Roman" w:hAnsi="Times New Roman" w:eastAsia="仿宋_GB2312" w:cs="Times New Roman"/>
          <w:sz w:val="32"/>
          <w:lang w:eastAsia="zh-CN"/>
        </w:rPr>
        <w:t>、</w:t>
      </w:r>
      <w:r>
        <w:rPr>
          <w:rFonts w:hint="default" w:ascii="Times New Roman" w:hAnsi="Times New Roman" w:eastAsia="仿宋_GB2312" w:cs="Times New Roman"/>
          <w:sz w:val="32"/>
        </w:rPr>
        <w:t>餐厨垃圾处理车间</w:t>
      </w:r>
      <w:r>
        <w:rPr>
          <w:rFonts w:hint="eastAsia" w:ascii="Times New Roman" w:hAnsi="Times New Roman" w:cs="Times New Roman"/>
          <w:sz w:val="32"/>
          <w:lang w:val="en-US" w:eastAsia="zh-CN"/>
        </w:rPr>
        <w:t>等公</w:t>
      </w:r>
      <w:r>
        <w:rPr>
          <w:rFonts w:hint="default" w:ascii="Times New Roman" w:hAnsi="Times New Roman" w:eastAsia="仿宋_GB2312" w:cs="Times New Roman"/>
          <w:sz w:val="32"/>
        </w:rPr>
        <w:t>辅助工程</w:t>
      </w:r>
      <w:r>
        <w:rPr>
          <w:rFonts w:hint="eastAsia" w:ascii="Times New Roman" w:hAnsi="Times New Roman" w:cs="Times New Roman"/>
          <w:sz w:val="32"/>
          <w:lang w:val="en-US" w:eastAsia="zh-CN"/>
        </w:rPr>
        <w:t>及环保设施</w:t>
      </w:r>
      <w:r>
        <w:rPr>
          <w:rFonts w:hint="default" w:ascii="Times New Roman" w:hAnsi="Times New Roman" w:eastAsia="仿宋_GB2312" w:cs="Times New Roman"/>
          <w:sz w:val="32"/>
        </w:rPr>
        <w:t>。</w:t>
      </w:r>
      <w:r>
        <w:rPr>
          <w:rFonts w:hint="eastAsia" w:ascii="仿宋" w:hAnsi="仿宋" w:eastAsia="仿宋" w:cs="仿宋"/>
          <w:bCs/>
          <w:sz w:val="32"/>
          <w:szCs w:val="32"/>
        </w:rPr>
        <w:t>项目总投资</w:t>
      </w:r>
      <w:r>
        <w:rPr>
          <w:rFonts w:hint="eastAsia" w:ascii="仿宋" w:hAnsi="仿宋" w:eastAsia="仿宋" w:cs="仿宋"/>
          <w:bCs/>
          <w:sz w:val="32"/>
          <w:szCs w:val="32"/>
          <w:lang w:val="en-US" w:eastAsia="zh-CN"/>
        </w:rPr>
        <w:t>3661.2</w:t>
      </w:r>
      <w:r>
        <w:rPr>
          <w:rFonts w:hint="eastAsia" w:ascii="仿宋" w:hAnsi="仿宋" w:eastAsia="仿宋" w:cs="仿宋"/>
          <w:bCs/>
          <w:sz w:val="32"/>
          <w:szCs w:val="32"/>
        </w:rPr>
        <w:t>万元，环保投资为</w:t>
      </w:r>
      <w:bookmarkStart w:id="0" w:name="_GoBack"/>
      <w:r>
        <w:rPr>
          <w:rFonts w:hint="eastAsia" w:ascii="仿宋" w:hAnsi="仿宋" w:eastAsia="仿宋" w:cs="仿宋"/>
          <w:bCs/>
          <w:sz w:val="32"/>
          <w:szCs w:val="32"/>
          <w:lang w:val="en-US" w:eastAsia="zh-CN"/>
        </w:rPr>
        <w:t>207</w:t>
      </w:r>
      <w:bookmarkEnd w:id="0"/>
      <w:r>
        <w:rPr>
          <w:rFonts w:hint="eastAsia" w:ascii="仿宋" w:hAnsi="仿宋" w:eastAsia="仿宋" w:cs="仿宋"/>
          <w:bCs/>
          <w:sz w:val="32"/>
          <w:szCs w:val="32"/>
        </w:rPr>
        <w:t>万元</w:t>
      </w:r>
      <w:r>
        <w:rPr>
          <w:rFonts w:hint="eastAsia" w:ascii="仿宋" w:hAnsi="仿宋" w:eastAsia="仿宋" w:cs="仿宋"/>
          <w:bCs/>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cs="仿宋_GB2312"/>
          <w:color w:val="000000"/>
          <w:szCs w:val="32"/>
          <w:highlight w:val="none"/>
        </w:rPr>
      </w:pPr>
      <w:r>
        <w:rPr>
          <w:rFonts w:hint="eastAsia" w:ascii="仿宋_GB2312" w:hAnsi="仿宋_GB2312" w:cs="仿宋_GB2312"/>
          <w:color w:val="000000"/>
          <w:szCs w:val="32"/>
          <w:highlight w:val="none"/>
        </w:rPr>
        <w:t>《报告书》和《技术评估报告》认为，在全面落实各项生态环境保护和环境污染防治措施的前提下，项目建设对环境的不利影响能够得到一定的缓解和控制。因此，我局原则同意你公司按照《报告书》和《技术评估报告》中</w:t>
      </w:r>
      <w:r>
        <w:rPr>
          <w:rFonts w:hint="eastAsia" w:ascii="仿宋" w:hAnsi="仿宋" w:eastAsia="仿宋" w:cs="仿宋"/>
          <w:color w:val="000000"/>
          <w:sz w:val="32"/>
          <w:szCs w:val="32"/>
        </w:rPr>
        <w:t>所列的建设项目性质、规模、地点、工艺、生态环境保护措施及下述要求进行建设。</w:t>
      </w:r>
    </w:p>
    <w:p>
      <w:pPr>
        <w:keepNext w:val="0"/>
        <w:keepLines w:val="0"/>
        <w:pageBreakBefore w:val="0"/>
        <w:widowControl w:val="0"/>
        <w:kinsoku/>
        <w:wordWrap/>
        <w:overflowPunct/>
        <w:topLinePunct w:val="0"/>
        <w:autoSpaceDE/>
        <w:autoSpaceDN/>
        <w:bidi w:val="0"/>
        <w:adjustRightInd w:val="0"/>
        <w:snapToGrid w:val="0"/>
        <w:spacing w:line="600" w:lineRule="exact"/>
        <w:ind w:firstLine="640"/>
        <w:textAlignment w:val="auto"/>
        <w:rPr>
          <w:rFonts w:ascii="仿宋_GB2312" w:hAnsi="仿宋_GB2312" w:cs="仿宋_GB2312"/>
          <w:color w:val="000000"/>
          <w:szCs w:val="32"/>
          <w:highlight w:val="none"/>
        </w:rPr>
      </w:pPr>
      <w:r>
        <w:rPr>
          <w:rFonts w:hint="eastAsia" w:ascii="仿宋_GB2312" w:hAnsi="仿宋_GB2312" w:cs="仿宋_GB2312"/>
          <w:color w:val="000000"/>
          <w:szCs w:val="32"/>
          <w:highlight w:val="none"/>
        </w:rPr>
        <w:t>二、</w:t>
      </w:r>
      <w:r>
        <w:rPr>
          <w:rFonts w:hint="eastAsia" w:ascii="仿宋" w:hAnsi="仿宋" w:eastAsia="仿宋" w:cs="仿宋"/>
          <w:color w:val="000000"/>
          <w:szCs w:val="32"/>
          <w:highlight w:val="none"/>
        </w:rPr>
        <w:t>项目</w:t>
      </w:r>
      <w:r>
        <w:rPr>
          <w:rFonts w:hint="eastAsia" w:ascii="仿宋" w:hAnsi="仿宋" w:eastAsia="仿宋" w:cs="仿宋"/>
          <w:color w:val="000000"/>
          <w:szCs w:val="32"/>
          <w:highlight w:val="none"/>
          <w:lang w:val="en-US" w:eastAsia="zh-CN"/>
        </w:rPr>
        <w:t>在</w:t>
      </w:r>
      <w:r>
        <w:rPr>
          <w:rFonts w:hint="eastAsia" w:ascii="仿宋" w:hAnsi="仿宋" w:eastAsia="仿宋" w:cs="仿宋"/>
          <w:color w:val="000000"/>
          <w:szCs w:val="32"/>
          <w:highlight w:val="none"/>
        </w:rPr>
        <w:t>建设与运行管理中应重点做好</w:t>
      </w:r>
      <w:r>
        <w:rPr>
          <w:rFonts w:hint="eastAsia" w:ascii="仿宋" w:hAnsi="仿宋" w:eastAsia="仿宋" w:cs="仿宋"/>
          <w:color w:val="000000"/>
          <w:szCs w:val="32"/>
          <w:highlight w:val="none"/>
          <w:lang w:val="en-US" w:eastAsia="zh-CN"/>
        </w:rPr>
        <w:t>以下</w:t>
      </w:r>
      <w:r>
        <w:rPr>
          <w:rFonts w:hint="eastAsia" w:ascii="仿宋" w:hAnsi="仿宋" w:eastAsia="仿宋" w:cs="仿宋"/>
          <w:color w:val="000000"/>
          <w:szCs w:val="32"/>
          <w:highlight w:val="none"/>
        </w:rPr>
        <w:t>工作</w:t>
      </w:r>
      <w:r>
        <w:rPr>
          <w:rFonts w:hint="eastAsia" w:ascii="仿宋" w:hAnsi="仿宋" w:eastAsia="仿宋" w:cs="仿宋"/>
          <w:color w:val="000000"/>
          <w:szCs w:val="32"/>
          <w:highlight w:val="none"/>
          <w:lang w:eastAsia="zh-CN"/>
        </w:rPr>
        <w:t>。</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仿宋_GB2312" w:hAnsi="仿宋_GB2312" w:cs="仿宋_GB2312"/>
          <w:color w:val="000000"/>
          <w:szCs w:val="32"/>
          <w:highlight w:val="yellow"/>
        </w:rPr>
      </w:pPr>
      <w:r>
        <w:rPr>
          <w:rFonts w:ascii="仿宋_GB2312" w:hAnsi="仿宋_GB2312" w:cs="仿宋_GB2312"/>
          <w:color w:val="000000"/>
          <w:szCs w:val="32"/>
          <w:highlight w:val="none"/>
        </w:rPr>
        <w:t>1.</w:t>
      </w:r>
      <w:r>
        <w:rPr>
          <w:rFonts w:hint="eastAsia" w:ascii="仿宋" w:hAnsi="仿宋" w:eastAsia="仿宋" w:cs="仿宋"/>
          <w:highlight w:val="none"/>
        </w:rPr>
        <w:t>加</w:t>
      </w:r>
      <w:r>
        <w:rPr>
          <w:rFonts w:hint="eastAsia" w:ascii="仿宋" w:hAnsi="仿宋" w:eastAsia="仿宋" w:cs="仿宋"/>
        </w:rPr>
        <w:t>强施工期环境管理，土石方开挖及设备安装过程中应严格按照设计要求施工，尽可能缩小施工活动范围，并及时采取场地洒水等措施，减少裸露土地面积和扬尘。施工场界设围墙或遮挡物；定时对施工现场扬尘区及道路洒水；严禁在施工场地焚烧废弃物。加强车辆运输的密闭管理。施工期产生的废水和固体废弃物须集中收集后统一处置。</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仿宋" w:hAnsi="仿宋" w:eastAsia="仿宋" w:cs="仿宋"/>
          <w:lang w:val="en-US" w:eastAsia="zh-CN"/>
        </w:rPr>
      </w:pPr>
      <w:r>
        <w:rPr>
          <w:rFonts w:hint="eastAsia" w:ascii="仿宋" w:hAnsi="仿宋" w:eastAsia="仿宋" w:cs="仿宋"/>
        </w:rPr>
        <w:t>2.认真落实《报告书》中提出的大气污染防治措施。</w:t>
      </w:r>
      <w:r>
        <w:rPr>
          <w:rFonts w:hint="eastAsia" w:ascii="仿宋" w:hAnsi="仿宋" w:eastAsia="仿宋" w:cs="仿宋"/>
          <w:lang w:val="en-US" w:eastAsia="zh-CN"/>
        </w:rPr>
        <w:t>焚烧</w:t>
      </w:r>
      <w:r>
        <w:rPr>
          <w:rFonts w:hint="default" w:ascii="仿宋" w:hAnsi="仿宋" w:eastAsia="仿宋" w:cs="仿宋"/>
          <w:lang w:val="en-US" w:eastAsia="zh-CN"/>
        </w:rPr>
        <w:t>烟气采用“SNCR脱硝+急冷+活性炭粉末喷射+旋风除尘+布袋除尘+活性炭固定床吸附+湿法脱酸+45m烟囱”的处理工艺，处理后</w:t>
      </w:r>
      <w:r>
        <w:rPr>
          <w:rFonts w:hint="eastAsia" w:ascii="仿宋" w:hAnsi="仿宋" w:eastAsia="仿宋" w:cs="仿宋"/>
          <w:lang w:val="en-US" w:eastAsia="zh-CN"/>
        </w:rPr>
        <w:t>废气须满足</w:t>
      </w:r>
      <w:r>
        <w:rPr>
          <w:rFonts w:hint="default" w:ascii="仿宋" w:hAnsi="仿宋" w:eastAsia="仿宋" w:cs="仿宋"/>
          <w:lang w:val="en-US" w:eastAsia="zh-CN"/>
        </w:rPr>
        <w:t>《生活垃圾焚烧污染控制标准》（GB18485-2014）及修改单中</w:t>
      </w:r>
      <w:r>
        <w:rPr>
          <w:rFonts w:hint="eastAsia" w:ascii="仿宋" w:hAnsi="仿宋" w:eastAsia="仿宋" w:cs="仿宋"/>
          <w:lang w:val="en-US" w:eastAsia="zh-CN"/>
        </w:rPr>
        <w:t>相关</w:t>
      </w:r>
      <w:r>
        <w:rPr>
          <w:rFonts w:hint="default" w:ascii="仿宋" w:hAnsi="仿宋" w:eastAsia="仿宋" w:cs="仿宋"/>
          <w:lang w:val="en-US" w:eastAsia="zh-CN"/>
        </w:rPr>
        <w:t>限值</w:t>
      </w:r>
      <w:r>
        <w:rPr>
          <w:rFonts w:hint="eastAsia" w:ascii="仿宋" w:hAnsi="仿宋" w:eastAsia="仿宋" w:cs="仿宋"/>
          <w:lang w:val="en-US" w:eastAsia="zh-CN"/>
        </w:rPr>
        <w:t>要求</w:t>
      </w:r>
      <w:r>
        <w:rPr>
          <w:rFonts w:hint="default" w:ascii="仿宋" w:hAnsi="仿宋" w:eastAsia="仿宋" w:cs="仿宋"/>
          <w:lang w:val="en-US" w:eastAsia="zh-CN"/>
        </w:rPr>
        <w:t>，恶臭污染物</w:t>
      </w:r>
      <w:r>
        <w:rPr>
          <w:rFonts w:hint="eastAsia" w:ascii="仿宋" w:hAnsi="仿宋" w:eastAsia="仿宋" w:cs="仿宋"/>
          <w:lang w:val="en-US" w:eastAsia="zh-CN"/>
        </w:rPr>
        <w:t>二氧化硫</w:t>
      </w:r>
      <w:r>
        <w:rPr>
          <w:rFonts w:hint="default" w:ascii="仿宋" w:hAnsi="仿宋" w:eastAsia="仿宋" w:cs="仿宋"/>
          <w:lang w:val="en-US" w:eastAsia="zh-CN"/>
        </w:rPr>
        <w:t>、</w:t>
      </w:r>
      <w:r>
        <w:rPr>
          <w:rFonts w:hint="eastAsia" w:ascii="仿宋" w:hAnsi="仿宋" w:eastAsia="仿宋" w:cs="仿宋"/>
          <w:lang w:val="en-US" w:eastAsia="zh-CN"/>
        </w:rPr>
        <w:t>氮氧化物</w:t>
      </w:r>
      <w:r>
        <w:rPr>
          <w:rFonts w:hint="default" w:ascii="仿宋" w:hAnsi="仿宋" w:eastAsia="仿宋" w:cs="仿宋"/>
          <w:lang w:val="en-US" w:eastAsia="zh-CN"/>
        </w:rPr>
        <w:t>、臭气浓度</w:t>
      </w:r>
      <w:r>
        <w:rPr>
          <w:rFonts w:hint="eastAsia" w:ascii="仿宋" w:hAnsi="仿宋" w:eastAsia="仿宋" w:cs="仿宋"/>
          <w:lang w:val="en-US" w:eastAsia="zh-CN"/>
        </w:rPr>
        <w:t>须满足</w:t>
      </w:r>
      <w:r>
        <w:rPr>
          <w:rFonts w:hint="default" w:ascii="仿宋" w:hAnsi="仿宋" w:eastAsia="仿宋" w:cs="仿宋"/>
          <w:lang w:val="en-US" w:eastAsia="zh-CN"/>
        </w:rPr>
        <w:t>《恶臭污染物排放标准》（GB14554-93）</w:t>
      </w:r>
      <w:r>
        <w:rPr>
          <w:rFonts w:hint="eastAsia" w:ascii="仿宋" w:hAnsi="仿宋" w:eastAsia="仿宋" w:cs="仿宋"/>
          <w:lang w:val="en-US" w:eastAsia="zh-CN"/>
        </w:rPr>
        <w:t>后排放</w:t>
      </w:r>
      <w:r>
        <w:rPr>
          <w:rFonts w:hint="default" w:ascii="仿宋" w:hAnsi="仿宋" w:eastAsia="仿宋" w:cs="仿宋"/>
          <w:lang w:val="en-US" w:eastAsia="zh-CN"/>
        </w:rPr>
        <w:t>。</w:t>
      </w:r>
    </w:p>
    <w:p>
      <w:pPr>
        <w:pStyle w:val="21"/>
        <w:keepNext w:val="0"/>
        <w:keepLines w:val="0"/>
        <w:pageBreakBefore w:val="0"/>
        <w:widowControl w:val="0"/>
        <w:kinsoku/>
        <w:wordWrap/>
        <w:overflowPunct/>
        <w:topLinePunct w:val="0"/>
        <w:autoSpaceDE/>
        <w:autoSpaceDN/>
        <w:bidi w:val="0"/>
        <w:spacing w:line="600" w:lineRule="exact"/>
        <w:ind w:firstLine="480"/>
        <w:textAlignment w:val="auto"/>
        <w:rPr>
          <w:rFonts w:hint="default" w:ascii="Times New Roman" w:hAnsi="Times New Roman" w:eastAsia="仿宋_GB2312" w:cs="Times New Roman"/>
          <w:snapToGrid/>
          <w:kern w:val="2"/>
          <w:sz w:val="32"/>
          <w:szCs w:val="20"/>
          <w:lang w:val="en-US" w:eastAsia="zh-CN" w:bidi="ar-SA"/>
        </w:rPr>
      </w:pPr>
      <w:r>
        <w:rPr>
          <w:rFonts w:hint="default" w:ascii="Times New Roman" w:hAnsi="Times New Roman" w:eastAsia="仿宋_GB2312" w:cs="Times New Roman"/>
          <w:snapToGrid/>
          <w:kern w:val="2"/>
          <w:sz w:val="32"/>
          <w:szCs w:val="20"/>
          <w:lang w:val="en-US" w:eastAsia="zh-CN" w:bidi="ar-SA"/>
        </w:rPr>
        <w:t>分选车间及餐厨垃圾处理车间</w:t>
      </w:r>
      <w:r>
        <w:rPr>
          <w:rFonts w:hint="eastAsia" w:ascii="Times New Roman" w:hAnsi="Times New Roman" w:eastAsia="仿宋_GB2312" w:cs="Times New Roman"/>
          <w:snapToGrid/>
          <w:kern w:val="2"/>
          <w:sz w:val="32"/>
          <w:szCs w:val="20"/>
          <w:lang w:val="en-US" w:eastAsia="zh-CN" w:bidi="ar-SA"/>
        </w:rPr>
        <w:t>、渗滤液收集池等</w:t>
      </w:r>
      <w:r>
        <w:rPr>
          <w:rFonts w:hint="default" w:ascii="Times New Roman" w:hAnsi="Times New Roman" w:eastAsia="仿宋_GB2312" w:cs="Times New Roman"/>
          <w:snapToGrid/>
          <w:kern w:val="2"/>
          <w:sz w:val="32"/>
          <w:szCs w:val="20"/>
          <w:lang w:val="en-US" w:eastAsia="zh-CN" w:bidi="ar-SA"/>
        </w:rPr>
        <w:t>均为全封闭结构，并采用负压系统，同时设置恶臭气体收集系统，收集后的恶臭气体经预热后送入焚烧炉，作为助燃用一次空气。厂区内非甲烷总烃无组织排放满足《挥发性有机物无组织排放控制标准》（GB37822-2019）中</w:t>
      </w:r>
      <w:r>
        <w:rPr>
          <w:rFonts w:hint="eastAsia" w:eastAsia="仿宋_GB2312" w:cs="Times New Roman"/>
          <w:snapToGrid/>
          <w:kern w:val="2"/>
          <w:sz w:val="32"/>
          <w:szCs w:val="20"/>
          <w:lang w:val="en-US" w:eastAsia="zh-CN" w:bidi="ar-SA"/>
        </w:rPr>
        <w:t>相关</w:t>
      </w:r>
      <w:r>
        <w:rPr>
          <w:rFonts w:hint="default" w:ascii="Times New Roman" w:hAnsi="Times New Roman" w:eastAsia="仿宋_GB2312" w:cs="Times New Roman"/>
          <w:snapToGrid/>
          <w:kern w:val="2"/>
          <w:sz w:val="32"/>
          <w:szCs w:val="20"/>
          <w:lang w:val="en-US" w:eastAsia="zh-CN" w:bidi="ar-SA"/>
        </w:rPr>
        <w:t>限值</w:t>
      </w:r>
      <w:r>
        <w:rPr>
          <w:rFonts w:hint="eastAsia" w:eastAsia="仿宋_GB2312" w:cs="Times New Roman"/>
          <w:snapToGrid/>
          <w:kern w:val="2"/>
          <w:sz w:val="32"/>
          <w:szCs w:val="20"/>
          <w:lang w:val="en-US" w:eastAsia="zh-CN" w:bidi="ar-SA"/>
        </w:rPr>
        <w:t>要求。二氧化硫、氮氧化物</w:t>
      </w:r>
      <w:r>
        <w:rPr>
          <w:rFonts w:hint="default" w:ascii="Times New Roman" w:hAnsi="Times New Roman" w:eastAsia="仿宋_GB2312" w:cs="Times New Roman"/>
          <w:snapToGrid/>
          <w:kern w:val="2"/>
          <w:sz w:val="32"/>
          <w:szCs w:val="20"/>
          <w:lang w:val="en-US" w:eastAsia="zh-CN" w:bidi="ar-SA"/>
        </w:rPr>
        <w:t>均</w:t>
      </w:r>
      <w:r>
        <w:rPr>
          <w:rFonts w:hint="eastAsia" w:eastAsia="仿宋_GB2312" w:cs="Times New Roman"/>
          <w:snapToGrid/>
          <w:kern w:val="2"/>
          <w:sz w:val="32"/>
          <w:szCs w:val="20"/>
          <w:lang w:val="en-US" w:eastAsia="zh-CN" w:bidi="ar-SA"/>
        </w:rPr>
        <w:t>须</w:t>
      </w:r>
      <w:r>
        <w:rPr>
          <w:rFonts w:hint="default" w:ascii="Times New Roman" w:hAnsi="Times New Roman" w:eastAsia="仿宋_GB2312" w:cs="Times New Roman"/>
          <w:snapToGrid/>
          <w:kern w:val="2"/>
          <w:sz w:val="32"/>
          <w:szCs w:val="20"/>
          <w:lang w:val="en-US" w:eastAsia="zh-CN" w:bidi="ar-SA"/>
        </w:rPr>
        <w:t>满足《恶臭污染物排放标准》（GB14554-93）中恶臭污染物厂界标准值。</w:t>
      </w:r>
    </w:p>
    <w:p>
      <w:pPr>
        <w:pStyle w:val="5"/>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default" w:ascii="Times New Roman" w:hAnsi="Times New Roman" w:eastAsia="仿宋_GB2312" w:cs="楷体_GB2312"/>
          <w:sz w:val="32"/>
          <w:szCs w:val="32"/>
          <w:highlight w:val="none"/>
          <w:lang w:val="en-US" w:eastAsia="zh-CN"/>
        </w:rPr>
      </w:pPr>
      <w:r>
        <w:rPr>
          <w:rFonts w:ascii="仿宋_GB2312" w:hAnsi="仿宋_GB2312" w:cs="仿宋_GB2312"/>
          <w:color w:val="000000"/>
          <w:szCs w:val="32"/>
          <w:highlight w:val="none"/>
        </w:rPr>
        <w:t>3.</w:t>
      </w:r>
      <w:r>
        <w:rPr>
          <w:rFonts w:hint="eastAsia" w:ascii="仿宋_GB2312" w:hAnsi="仿宋_GB2312" w:cs="仿宋_GB2312"/>
          <w:color w:val="000000"/>
          <w:szCs w:val="32"/>
          <w:highlight w:val="none"/>
        </w:rPr>
        <w:t>认真落实《报告书》中提出的</w:t>
      </w:r>
      <w:r>
        <w:rPr>
          <w:rFonts w:hint="eastAsia" w:ascii="仿宋_GB2312" w:hAnsi="仿宋_GB2312" w:cs="仿宋_GB2312"/>
          <w:color w:val="000000"/>
          <w:szCs w:val="32"/>
          <w:highlight w:val="none"/>
          <w:lang w:val="en-US" w:eastAsia="zh-CN"/>
        </w:rPr>
        <w:t>废水</w:t>
      </w:r>
      <w:r>
        <w:rPr>
          <w:rFonts w:hint="eastAsia" w:ascii="仿宋_GB2312" w:hAnsi="仿宋_GB2312" w:cs="仿宋_GB2312"/>
          <w:color w:val="000000"/>
          <w:szCs w:val="32"/>
          <w:highlight w:val="none"/>
        </w:rPr>
        <w:t>污染防治措施。强化废水处理与回用，实行雨污分流、清污分流。</w:t>
      </w:r>
      <w:r>
        <w:rPr>
          <w:rFonts w:hint="default" w:ascii="Times New Roman" w:hAnsi="Times New Roman" w:eastAsia="仿宋_GB2312" w:cs="楷体_GB2312"/>
          <w:sz w:val="32"/>
          <w:szCs w:val="32"/>
          <w:highlight w:val="none"/>
          <w:lang w:val="en-US" w:eastAsia="zh-CN"/>
        </w:rPr>
        <w:t>生活垃圾渗滤液、餐厨垃圾渗滤液、卸料平台地面冲洗废水、生活污水</w:t>
      </w:r>
      <w:r>
        <w:rPr>
          <w:rFonts w:hint="eastAsia" w:ascii="Times New Roman" w:hAnsi="Times New Roman" w:eastAsia="仿宋_GB2312" w:cs="楷体_GB2312"/>
          <w:sz w:val="32"/>
          <w:szCs w:val="32"/>
          <w:highlight w:val="none"/>
          <w:lang w:val="en-US" w:eastAsia="zh-CN"/>
        </w:rPr>
        <w:t>、初期雨水</w:t>
      </w:r>
      <w:r>
        <w:rPr>
          <w:rFonts w:hint="default" w:ascii="Times New Roman" w:hAnsi="Times New Roman" w:eastAsia="仿宋_GB2312" w:cs="楷体_GB2312"/>
          <w:sz w:val="32"/>
          <w:szCs w:val="32"/>
          <w:highlight w:val="none"/>
          <w:lang w:val="en-US" w:eastAsia="zh-CN"/>
        </w:rPr>
        <w:t>均送至锡尼镇填埋场渗滤液处理系统处理后回用，不外排。</w:t>
      </w:r>
    </w:p>
    <w:p>
      <w:pPr>
        <w:keepNext w:val="0"/>
        <w:keepLines w:val="0"/>
        <w:pageBreakBefore w:val="0"/>
        <w:widowControl w:val="0"/>
        <w:kinsoku/>
        <w:wordWrap/>
        <w:overflowPunct/>
        <w:topLinePunct w:val="0"/>
        <w:autoSpaceDE/>
        <w:autoSpaceDN/>
        <w:bidi w:val="0"/>
        <w:adjustRightInd w:val="0"/>
        <w:snapToGrid w:val="0"/>
        <w:spacing w:line="600" w:lineRule="exact"/>
        <w:ind w:firstLine="640"/>
        <w:textAlignment w:val="auto"/>
        <w:rPr>
          <w:rFonts w:hint="eastAsia" w:ascii="仿宋" w:hAnsi="仿宋" w:eastAsia="仿宋" w:cs="仿宋"/>
          <w:szCs w:val="32"/>
          <w:lang w:val="en-US" w:eastAsia="zh-CN"/>
        </w:rPr>
      </w:pPr>
      <w:r>
        <w:rPr>
          <w:rFonts w:hint="eastAsia" w:ascii="仿宋" w:hAnsi="仿宋" w:eastAsia="仿宋" w:cs="仿宋"/>
          <w:szCs w:val="32"/>
          <w:lang w:val="en-US" w:eastAsia="zh-CN"/>
        </w:rPr>
        <w:t>4.</w:t>
      </w:r>
      <w:r>
        <w:rPr>
          <w:rFonts w:hint="eastAsia" w:ascii="仿宋" w:hAnsi="仿宋" w:eastAsia="仿宋" w:cs="仿宋"/>
          <w:szCs w:val="32"/>
        </w:rPr>
        <w:t>切实落实地下水</w:t>
      </w:r>
      <w:r>
        <w:rPr>
          <w:rFonts w:hint="eastAsia" w:ascii="仿宋" w:hAnsi="仿宋" w:eastAsia="仿宋" w:cs="仿宋"/>
          <w:szCs w:val="32"/>
          <w:lang w:val="en-US" w:eastAsia="zh-CN"/>
        </w:rPr>
        <w:t>和土壤</w:t>
      </w:r>
      <w:r>
        <w:rPr>
          <w:rFonts w:hint="eastAsia" w:ascii="仿宋" w:hAnsi="仿宋" w:eastAsia="仿宋" w:cs="仿宋"/>
          <w:szCs w:val="32"/>
        </w:rPr>
        <w:t>污染防治措施。结合区域地下水分布现状、水文地质条件和防渗措施，进一步优化重点污染防治区平面布置，严格按照《报告书》</w:t>
      </w:r>
      <w:r>
        <w:rPr>
          <w:rFonts w:hint="eastAsia" w:ascii="仿宋" w:hAnsi="仿宋" w:eastAsia="仿宋" w:cs="仿宋"/>
          <w:szCs w:val="32"/>
          <w:lang w:val="en-US" w:eastAsia="zh-CN"/>
        </w:rPr>
        <w:t>中</w:t>
      </w:r>
      <w:r>
        <w:rPr>
          <w:rFonts w:hint="eastAsia" w:ascii="仿宋" w:hAnsi="仿宋" w:eastAsia="仿宋" w:cs="仿宋"/>
          <w:szCs w:val="32"/>
        </w:rPr>
        <w:t>的要求，对重点污染防治区、一般污染防治区等采取分区防渗措施。</w:t>
      </w:r>
      <w:r>
        <w:rPr>
          <w:rFonts w:hint="eastAsia" w:ascii="仿宋_GB2312" w:hAnsi="仿宋_GB2312" w:cs="仿宋_GB2312"/>
          <w:color w:val="000000"/>
          <w:szCs w:val="32"/>
          <w:highlight w:val="none"/>
        </w:rPr>
        <w:t>定期对地下水和土壤进行跟踪监测，以免造成地下水和土壤污染。</w:t>
      </w:r>
    </w:p>
    <w:p>
      <w:pPr>
        <w:keepNext w:val="0"/>
        <w:keepLines w:val="0"/>
        <w:pageBreakBefore w:val="0"/>
        <w:widowControl w:val="0"/>
        <w:numPr>
          <w:ilvl w:val="0"/>
          <w:numId w:val="0"/>
        </w:numPr>
        <w:kinsoku/>
        <w:wordWrap/>
        <w:overflowPunct/>
        <w:topLinePunct w:val="0"/>
        <w:autoSpaceDE/>
        <w:autoSpaceDN/>
        <w:bidi w:val="0"/>
        <w:spacing w:line="600" w:lineRule="exact"/>
        <w:ind w:firstLine="640" w:firstLineChars="200"/>
        <w:textAlignment w:val="auto"/>
        <w:rPr>
          <w:rFonts w:hint="eastAsia" w:ascii="仿宋" w:hAnsi="仿宋" w:eastAsia="仿宋" w:cs="仿宋"/>
          <w:szCs w:val="32"/>
        </w:rPr>
      </w:pPr>
      <w:r>
        <w:rPr>
          <w:rFonts w:hint="eastAsia" w:ascii="仿宋" w:hAnsi="仿宋" w:eastAsia="仿宋" w:cs="仿宋"/>
          <w:szCs w:val="32"/>
          <w:lang w:val="en-US" w:eastAsia="zh-CN"/>
        </w:rPr>
        <w:t>5.</w:t>
      </w:r>
      <w:r>
        <w:rPr>
          <w:rFonts w:hint="eastAsia" w:ascii="仿宋" w:hAnsi="仿宋" w:eastAsia="仿宋" w:cs="仿宋"/>
          <w:szCs w:val="32"/>
        </w:rPr>
        <w:t>强化声环境保护措施，优先选用低噪声设备，采取减震、隔声、消声等降噪措施，确保厂界噪声满足《工业企业厂界环境噪声排放标准》（GB12348-2008）</w:t>
      </w:r>
      <w:r>
        <w:rPr>
          <w:rFonts w:hint="eastAsia" w:ascii="仿宋" w:hAnsi="仿宋" w:eastAsia="仿宋" w:cs="仿宋"/>
          <w:szCs w:val="32"/>
          <w:lang w:val="en-US" w:eastAsia="zh-CN"/>
        </w:rPr>
        <w:t>2</w:t>
      </w:r>
      <w:r>
        <w:rPr>
          <w:rFonts w:hint="eastAsia" w:ascii="仿宋" w:hAnsi="仿宋" w:eastAsia="仿宋" w:cs="仿宋"/>
          <w:szCs w:val="32"/>
        </w:rPr>
        <w:t>类标准限值要求。</w:t>
      </w:r>
    </w:p>
    <w:p>
      <w:pPr>
        <w:keepNext w:val="0"/>
        <w:keepLines w:val="0"/>
        <w:pageBreakBefore w:val="0"/>
        <w:widowControl w:val="0"/>
        <w:kinsoku/>
        <w:wordWrap/>
        <w:overflowPunct/>
        <w:topLinePunct w:val="0"/>
        <w:autoSpaceDE/>
        <w:autoSpaceDN/>
        <w:bidi w:val="0"/>
        <w:adjustRightInd w:val="0"/>
        <w:snapToGrid w:val="0"/>
        <w:spacing w:line="600" w:lineRule="exact"/>
        <w:ind w:firstLine="640"/>
        <w:textAlignment w:val="auto"/>
        <w:rPr>
          <w:rFonts w:hint="eastAsia" w:ascii="仿宋_GB2312" w:hAnsi="仿宋_GB2312" w:cs="仿宋_GB2312"/>
          <w:color w:val="000000"/>
          <w:szCs w:val="32"/>
          <w:highlight w:val="none"/>
          <w:lang w:val="en-US" w:eastAsia="zh-CN"/>
        </w:rPr>
      </w:pPr>
      <w:r>
        <w:rPr>
          <w:rFonts w:hint="eastAsia" w:ascii="仿宋_GB2312" w:hAnsi="仿宋_GB2312" w:cs="仿宋_GB2312"/>
          <w:color w:val="000000"/>
          <w:szCs w:val="32"/>
          <w:highlight w:val="none"/>
          <w:lang w:val="en-US" w:eastAsia="zh-CN"/>
        </w:rPr>
        <w:t>6.根据《报告书》提出的固废污染防治措施，做好固体废物处置工作。建设单位须严格按照《一般工业固体废物贮存和填埋污染控制标准》（GB 18599-2020）及《危险废物贮存污染控制标准》（GB18597-2001）（及其修改单）要求对一般固废和危险废物进行处置。生活垃圾定期收集后与进场的生活垃圾一并进行处理；渗滤液收集池污泥、砂石等不可燃物进入锡尼镇垃圾填埋场填埋处理；塑料、玻璃、金属外售综合利用；粗油脂回收之后外售用作化工原料综合利用；本项目炉渣进入锡尼镇垃圾填埋场填埋处理；飞灰经水泥固化后满足生活垃圾填埋场入场要求后就近进入锡尼镇垃圾填埋场填埋处理；废机油、废电池、废活性炭集中收集后暂存于危废暂存间，交由有资质单位处理。以上各类固废均不得乱弃。</w:t>
      </w:r>
    </w:p>
    <w:p>
      <w:pPr>
        <w:keepNext w:val="0"/>
        <w:keepLines w:val="0"/>
        <w:pageBreakBefore w:val="0"/>
        <w:widowControl w:val="0"/>
        <w:kinsoku/>
        <w:wordWrap/>
        <w:overflowPunct/>
        <w:topLinePunct w:val="0"/>
        <w:autoSpaceDE/>
        <w:autoSpaceDN/>
        <w:bidi w:val="0"/>
        <w:adjustRightInd w:val="0"/>
        <w:snapToGrid w:val="0"/>
        <w:spacing w:line="600" w:lineRule="exact"/>
        <w:ind w:firstLine="640"/>
        <w:textAlignment w:val="auto"/>
        <w:rPr>
          <w:rFonts w:hint="eastAsia" w:ascii="仿宋_GB2312" w:hAnsi="仿宋_GB2312" w:cs="仿宋_GB2312"/>
          <w:color w:val="000000"/>
          <w:szCs w:val="32"/>
          <w:highlight w:val="none"/>
        </w:rPr>
      </w:pPr>
      <w:r>
        <w:rPr>
          <w:rFonts w:hint="eastAsia" w:ascii="仿宋_GB2312" w:hAnsi="仿宋_GB2312" w:cs="仿宋_GB2312"/>
          <w:color w:val="000000"/>
          <w:szCs w:val="32"/>
          <w:highlight w:val="none"/>
          <w:lang w:val="en-US" w:eastAsia="zh-CN"/>
        </w:rPr>
        <w:t>7</w:t>
      </w:r>
      <w:r>
        <w:rPr>
          <w:rFonts w:hint="eastAsia" w:ascii="仿宋_GB2312" w:hAnsi="仿宋_GB2312" w:cs="仿宋_GB2312"/>
          <w:color w:val="000000"/>
          <w:szCs w:val="32"/>
          <w:highlight w:val="none"/>
        </w:rPr>
        <w:t>.建设单位须强化环境风险防范。制定环境风险应急预案,落实环境风险事故防范措施，提高事故风险防范和污染控制能力。</w:t>
      </w:r>
    </w:p>
    <w:p>
      <w:pPr>
        <w:keepNext w:val="0"/>
        <w:keepLines w:val="0"/>
        <w:pageBreakBefore w:val="0"/>
        <w:widowControl w:val="0"/>
        <w:kinsoku/>
        <w:wordWrap/>
        <w:overflowPunct/>
        <w:topLinePunct w:val="0"/>
        <w:autoSpaceDE/>
        <w:autoSpaceDN/>
        <w:bidi w:val="0"/>
        <w:adjustRightInd w:val="0"/>
        <w:snapToGrid w:val="0"/>
        <w:spacing w:line="600" w:lineRule="exact"/>
        <w:ind w:firstLine="640"/>
        <w:textAlignment w:val="auto"/>
        <w:rPr>
          <w:rFonts w:hint="eastAsia" w:ascii="仿宋_GB2312" w:hAnsi="仿宋_GB2312" w:cs="仿宋_GB2312"/>
          <w:color w:val="000000"/>
          <w:szCs w:val="32"/>
          <w:highlight w:val="none"/>
        </w:rPr>
      </w:pPr>
      <w:r>
        <w:rPr>
          <w:rFonts w:hint="eastAsia" w:ascii="仿宋_GB2312" w:hAnsi="仿宋_GB2312" w:cs="仿宋_GB2312"/>
          <w:color w:val="000000"/>
          <w:szCs w:val="32"/>
          <w:highlight w:val="none"/>
        </w:rPr>
        <w:t>三、项目建设必须严格执行环境保护“三同时”制度。项目竣工后，按照规定程序实施竣工环境保护验收，经验收合格后，方可正式投入运行。</w:t>
      </w:r>
    </w:p>
    <w:p>
      <w:pPr>
        <w:keepNext w:val="0"/>
        <w:keepLines w:val="0"/>
        <w:pageBreakBefore w:val="0"/>
        <w:widowControl w:val="0"/>
        <w:kinsoku/>
        <w:wordWrap/>
        <w:overflowPunct/>
        <w:topLinePunct w:val="0"/>
        <w:autoSpaceDE/>
        <w:autoSpaceDN/>
        <w:bidi w:val="0"/>
        <w:adjustRightInd w:val="0"/>
        <w:snapToGrid w:val="0"/>
        <w:spacing w:line="600" w:lineRule="exact"/>
        <w:ind w:firstLine="640"/>
        <w:textAlignment w:val="auto"/>
        <w:rPr>
          <w:rFonts w:ascii="仿宋_GB2312" w:hAnsi="仿宋_GB2312" w:cs="仿宋_GB2312"/>
          <w:color w:val="000000"/>
          <w:szCs w:val="32"/>
          <w:highlight w:val="none"/>
        </w:rPr>
      </w:pPr>
      <w:r>
        <w:rPr>
          <w:rFonts w:hint="eastAsia" w:ascii="仿宋_GB2312" w:hAnsi="仿宋_GB2312" w:cs="仿宋_GB2312"/>
          <w:color w:val="000000"/>
          <w:szCs w:val="32"/>
          <w:highlight w:val="none"/>
        </w:rPr>
        <w:t>四、你公司应在收到本批复20日内，将《报告书》(报批版)及批复文件送至鄂尔多斯市生态环境局</w:t>
      </w:r>
      <w:r>
        <w:rPr>
          <w:rFonts w:hint="eastAsia" w:ascii="仿宋_GB2312" w:hAnsi="仿宋_GB2312" w:cs="仿宋_GB2312"/>
          <w:color w:val="000000"/>
          <w:szCs w:val="32"/>
          <w:highlight w:val="none"/>
          <w:lang w:val="en-US" w:eastAsia="zh-CN"/>
        </w:rPr>
        <w:t>杭锦旗</w:t>
      </w:r>
      <w:r>
        <w:rPr>
          <w:rFonts w:hint="eastAsia" w:ascii="仿宋_GB2312" w:hAnsi="仿宋_GB2312" w:cs="仿宋_GB2312"/>
          <w:color w:val="000000"/>
          <w:szCs w:val="32"/>
          <w:highlight w:val="none"/>
        </w:rPr>
        <w:t>分局，我局委托鄂尔多斯市生态环境局</w:t>
      </w:r>
      <w:r>
        <w:rPr>
          <w:rFonts w:hint="eastAsia" w:ascii="仿宋_GB2312" w:hAnsi="仿宋_GB2312" w:cs="仿宋_GB2312"/>
          <w:color w:val="000000"/>
          <w:szCs w:val="32"/>
          <w:highlight w:val="none"/>
          <w:lang w:val="en-US" w:eastAsia="zh-CN"/>
        </w:rPr>
        <w:t>杭锦旗</w:t>
      </w:r>
      <w:r>
        <w:rPr>
          <w:rFonts w:hint="eastAsia" w:ascii="仿宋_GB2312" w:hAnsi="仿宋_GB2312" w:cs="仿宋_GB2312"/>
          <w:color w:val="000000"/>
          <w:szCs w:val="32"/>
          <w:highlight w:val="none"/>
        </w:rPr>
        <w:t>分局负责该项目的日常监管工作。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0"/>
        <w:textAlignment w:val="auto"/>
        <w:rPr>
          <w:rFonts w:hint="eastAsia" w:ascii="仿宋_GB2312" w:hAnsi="仿宋_GB2312" w:cs="仿宋_GB2312"/>
          <w:color w:val="000000"/>
          <w:szCs w:val="32"/>
          <w:highlight w:val="none"/>
        </w:rPr>
      </w:pPr>
      <w:r>
        <w:rPr>
          <w:rFonts w:hint="eastAsia" w:ascii="仿宋_GB2312" w:hAnsi="仿宋_GB2312" w:cs="仿宋_GB2312"/>
          <w:color w:val="000000"/>
          <w:szCs w:val="32"/>
          <w:highlight w:val="none"/>
        </w:rPr>
        <w:t>五、该项目从批准之日起超过5年方决定开工建设，其环评文件应重新审核。如果建设地点、规模、防治污染和防止生态破坏的措施等发生重大变化时，需重新报批环评文件。</w:t>
      </w:r>
    </w:p>
    <w:p>
      <w:pPr>
        <w:keepNext w:val="0"/>
        <w:keepLines w:val="0"/>
        <w:pageBreakBefore w:val="0"/>
        <w:widowControl w:val="0"/>
        <w:kinsoku/>
        <w:wordWrap/>
        <w:overflowPunct/>
        <w:topLinePunct w:val="0"/>
        <w:autoSpaceDE/>
        <w:autoSpaceDN/>
        <w:bidi w:val="0"/>
        <w:adjustRightInd w:val="0"/>
        <w:snapToGrid w:val="0"/>
        <w:spacing w:line="600" w:lineRule="exact"/>
        <w:ind w:firstLine="640"/>
        <w:jc w:val="right"/>
        <w:textAlignment w:val="auto"/>
        <w:rPr>
          <w:rFonts w:ascii="仿宋_GB2312" w:hAnsi="仿宋_GB2312" w:cs="仿宋_GB2312"/>
          <w:color w:val="000000"/>
          <w:szCs w:val="32"/>
          <w:highlight w:val="none"/>
        </w:rPr>
      </w:pPr>
    </w:p>
    <w:p>
      <w:pPr>
        <w:pStyle w:val="6"/>
        <w:keepNext w:val="0"/>
        <w:keepLines w:val="0"/>
        <w:pageBreakBefore w:val="0"/>
        <w:widowControl w:val="0"/>
        <w:kinsoku/>
        <w:wordWrap/>
        <w:overflowPunct/>
        <w:topLinePunct w:val="0"/>
        <w:autoSpaceDE/>
        <w:autoSpaceDN/>
        <w:bidi w:val="0"/>
        <w:spacing w:line="600" w:lineRule="exact"/>
        <w:ind w:left="0" w:leftChars="0" w:firstLine="0" w:firstLineChars="0"/>
        <w:textAlignment w:val="auto"/>
        <w:rPr>
          <w:rFonts w:hint="eastAsia"/>
          <w:highlight w:val="none"/>
        </w:rPr>
      </w:pPr>
    </w:p>
    <w:p>
      <w:pPr>
        <w:keepNext w:val="0"/>
        <w:keepLines w:val="0"/>
        <w:pageBreakBefore w:val="0"/>
        <w:widowControl w:val="0"/>
        <w:kinsoku/>
        <w:wordWrap/>
        <w:overflowPunct/>
        <w:topLinePunct w:val="0"/>
        <w:autoSpaceDE/>
        <w:autoSpaceDN/>
        <w:bidi w:val="0"/>
        <w:adjustRightInd w:val="0"/>
        <w:snapToGrid w:val="0"/>
        <w:spacing w:line="600" w:lineRule="exact"/>
        <w:ind w:firstLine="640"/>
        <w:jc w:val="center"/>
        <w:textAlignment w:val="auto"/>
        <w:rPr>
          <w:rFonts w:hint="eastAsia" w:ascii="仿宋_GB2312" w:hAnsi="仿宋_GB2312" w:cs="仿宋_GB2312"/>
          <w:color w:val="000000"/>
          <w:szCs w:val="32"/>
          <w:highlight w:val="none"/>
        </w:rPr>
      </w:pPr>
      <w:r>
        <w:rPr>
          <w:rFonts w:hint="eastAsia" w:ascii="仿宋_GB2312" w:hAnsi="仿宋_GB2312" w:cs="仿宋_GB2312"/>
          <w:color w:val="000000"/>
          <w:szCs w:val="32"/>
          <w:highlight w:val="none"/>
          <w:lang w:val="en-US" w:eastAsia="zh-CN"/>
        </w:rPr>
        <w:t xml:space="preserve">                    </w:t>
      </w:r>
      <w:r>
        <w:rPr>
          <w:rFonts w:hint="eastAsia" w:ascii="仿宋_GB2312" w:hAnsi="仿宋_GB2312" w:cs="仿宋_GB2312"/>
          <w:color w:val="000000"/>
          <w:szCs w:val="32"/>
          <w:highlight w:val="none"/>
        </w:rPr>
        <w:t>鄂尔多斯市生态环境局</w:t>
      </w:r>
    </w:p>
    <w:p>
      <w:pPr>
        <w:keepNext w:val="0"/>
        <w:keepLines w:val="0"/>
        <w:pageBreakBefore w:val="0"/>
        <w:widowControl w:val="0"/>
        <w:kinsoku/>
        <w:wordWrap/>
        <w:overflowPunct/>
        <w:topLinePunct w:val="0"/>
        <w:autoSpaceDE/>
        <w:autoSpaceDN/>
        <w:bidi w:val="0"/>
        <w:adjustRightInd w:val="0"/>
        <w:snapToGrid w:val="0"/>
        <w:spacing w:line="600" w:lineRule="exact"/>
        <w:ind w:right="320" w:firstLine="640"/>
        <w:jc w:val="center"/>
        <w:textAlignment w:val="auto"/>
        <w:rPr>
          <w:rFonts w:ascii="仿宋_GB2312" w:hAnsi="仿宋_GB2312" w:cs="仿宋_GB2312"/>
          <w:color w:val="000000"/>
          <w:szCs w:val="32"/>
          <w:highlight w:val="none"/>
        </w:rPr>
      </w:pPr>
      <w:r>
        <w:rPr>
          <w:rFonts w:hint="eastAsia" w:ascii="仿宋_GB2312" w:hAnsi="仿宋_GB2312" w:cs="仿宋_GB2312"/>
          <w:color w:val="000000"/>
          <w:szCs w:val="32"/>
          <w:highlight w:val="none"/>
          <w:lang w:val="en-US" w:eastAsia="zh-CN"/>
        </w:rPr>
        <w:t xml:space="preserve">                       </w:t>
      </w:r>
      <w:r>
        <w:rPr>
          <w:rFonts w:hint="eastAsia" w:ascii="仿宋_GB2312" w:hAnsi="仿宋_GB2312" w:cs="仿宋_GB2312"/>
          <w:color w:val="000000"/>
          <w:szCs w:val="32"/>
          <w:highlight w:val="none"/>
        </w:rPr>
        <w:t>202</w:t>
      </w:r>
      <w:r>
        <w:rPr>
          <w:rFonts w:hint="eastAsia" w:ascii="仿宋_GB2312" w:hAnsi="仿宋_GB2312" w:cs="仿宋_GB2312"/>
          <w:color w:val="000000"/>
          <w:szCs w:val="32"/>
          <w:highlight w:val="none"/>
          <w:lang w:val="en-US" w:eastAsia="zh-CN"/>
        </w:rPr>
        <w:t>3</w:t>
      </w:r>
      <w:r>
        <w:rPr>
          <w:rFonts w:hint="eastAsia" w:ascii="仿宋_GB2312" w:hAnsi="仿宋_GB2312" w:cs="仿宋_GB2312"/>
          <w:color w:val="000000"/>
          <w:szCs w:val="32"/>
          <w:highlight w:val="none"/>
        </w:rPr>
        <w:t>年</w:t>
      </w:r>
      <w:r>
        <w:rPr>
          <w:rFonts w:hint="eastAsia" w:ascii="仿宋_GB2312" w:hAnsi="仿宋_GB2312" w:cs="仿宋_GB2312"/>
          <w:color w:val="000000"/>
          <w:szCs w:val="32"/>
          <w:highlight w:val="none"/>
          <w:lang w:val="en-US" w:eastAsia="zh-CN"/>
        </w:rPr>
        <w:t>6</w:t>
      </w:r>
      <w:r>
        <w:rPr>
          <w:rFonts w:hint="eastAsia" w:ascii="仿宋_GB2312" w:hAnsi="仿宋_GB2312" w:cs="仿宋_GB2312"/>
          <w:color w:val="000000"/>
          <w:szCs w:val="32"/>
          <w:highlight w:val="none"/>
        </w:rPr>
        <w:t>月</w:t>
      </w:r>
      <w:r>
        <w:rPr>
          <w:rFonts w:hint="eastAsia" w:ascii="仿宋_GB2312" w:hAnsi="仿宋_GB2312" w:cs="仿宋_GB2312"/>
          <w:color w:val="000000"/>
          <w:szCs w:val="32"/>
          <w:highlight w:val="none"/>
          <w:lang w:val="en-US" w:eastAsia="zh-CN"/>
        </w:rPr>
        <w:t>30</w:t>
      </w:r>
      <w:r>
        <w:rPr>
          <w:rFonts w:hint="eastAsia" w:ascii="仿宋_GB2312" w:hAnsi="仿宋_GB2312" w:cs="仿宋_GB2312"/>
          <w:color w:val="000000"/>
          <w:szCs w:val="32"/>
          <w:highlight w:val="none"/>
        </w:rPr>
        <w:t>日</w:t>
      </w:r>
    </w:p>
    <w:p>
      <w:pPr>
        <w:pStyle w:val="6"/>
        <w:keepNext w:val="0"/>
        <w:keepLines w:val="0"/>
        <w:pageBreakBefore w:val="0"/>
        <w:widowControl w:val="0"/>
        <w:kinsoku/>
        <w:wordWrap/>
        <w:overflowPunct/>
        <w:topLinePunct w:val="0"/>
        <w:autoSpaceDE/>
        <w:autoSpaceDN/>
        <w:bidi w:val="0"/>
        <w:spacing w:line="600" w:lineRule="exact"/>
        <w:ind w:left="640" w:firstLine="640"/>
        <w:textAlignment w:val="auto"/>
        <w:rPr>
          <w:highlight w:val="none"/>
        </w:rPr>
      </w:pPr>
    </w:p>
    <w:p>
      <w:pPr>
        <w:keepNext w:val="0"/>
        <w:keepLines w:val="0"/>
        <w:pageBreakBefore w:val="0"/>
        <w:widowControl w:val="0"/>
        <w:kinsoku/>
        <w:wordWrap/>
        <w:overflowPunct/>
        <w:topLinePunct w:val="0"/>
        <w:autoSpaceDE/>
        <w:autoSpaceDN/>
        <w:bidi w:val="0"/>
        <w:spacing w:line="600" w:lineRule="exact"/>
        <w:textAlignment w:val="auto"/>
        <w:rPr>
          <w:highlight w:val="none"/>
        </w:rPr>
      </w:pPr>
    </w:p>
    <w:p>
      <w:pPr>
        <w:keepNext w:val="0"/>
        <w:keepLines w:val="0"/>
        <w:pageBreakBefore w:val="0"/>
        <w:widowControl w:val="0"/>
        <w:kinsoku/>
        <w:wordWrap/>
        <w:overflowPunct/>
        <w:topLinePunct w:val="0"/>
        <w:autoSpaceDE/>
        <w:autoSpaceDN/>
        <w:bidi w:val="0"/>
        <w:spacing w:line="600" w:lineRule="exact"/>
        <w:ind w:left="0" w:leftChars="0" w:firstLine="0" w:firstLineChars="0"/>
        <w:textAlignment w:val="auto"/>
      </w:pPr>
    </w:p>
    <w:p>
      <w:pPr>
        <w:pStyle w:val="5"/>
        <w:keepNext w:val="0"/>
        <w:keepLines w:val="0"/>
        <w:pageBreakBefore w:val="0"/>
        <w:widowControl w:val="0"/>
        <w:kinsoku/>
        <w:wordWrap/>
        <w:overflowPunct/>
        <w:topLinePunct w:val="0"/>
        <w:autoSpaceDE/>
        <w:autoSpaceDN/>
        <w:bidi w:val="0"/>
        <w:spacing w:line="600" w:lineRule="exact"/>
        <w:textAlignment w:val="auto"/>
      </w:pPr>
    </w:p>
    <w:p>
      <w:pPr>
        <w:pStyle w:val="5"/>
        <w:ind w:left="0" w:leftChars="0" w:firstLine="0" w:firstLineChars="0"/>
      </w:pPr>
    </w:p>
    <w:p>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pPr>
    </w:p>
    <w:p>
      <w:pPr>
        <w:pStyle w:val="6"/>
        <w:keepNext w:val="0"/>
        <w:keepLines w:val="0"/>
        <w:pageBreakBefore w:val="0"/>
        <w:widowControl w:val="0"/>
        <w:kinsoku/>
        <w:wordWrap/>
        <w:overflowPunct/>
        <w:topLinePunct w:val="0"/>
        <w:autoSpaceDE/>
        <w:autoSpaceDN/>
        <w:bidi w:val="0"/>
        <w:adjustRightInd/>
        <w:snapToGrid/>
        <w:spacing w:line="520" w:lineRule="exact"/>
        <w:textAlignment w:val="auto"/>
      </w:pPr>
    </w:p>
    <w:p>
      <w:pPr>
        <w:keepNext w:val="0"/>
        <w:keepLines w:val="0"/>
        <w:pageBreakBefore w:val="0"/>
        <w:widowControl w:val="0"/>
        <w:kinsoku/>
        <w:wordWrap/>
        <w:overflowPunct/>
        <w:topLinePunct w:val="0"/>
        <w:autoSpaceDE/>
        <w:autoSpaceDN/>
        <w:bidi w:val="0"/>
        <w:adjustRightInd/>
        <w:snapToGrid/>
        <w:spacing w:line="520" w:lineRule="exact"/>
        <w:textAlignment w:val="auto"/>
      </w:pPr>
    </w:p>
    <w:p>
      <w:r>
        <w:br w:type="page"/>
      </w: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ind w:left="0" w:leftChars="0" w:firstLine="0" w:firstLineChars="0"/>
      </w:pPr>
    </w:p>
    <w:p>
      <w:pPr>
        <w:ind w:left="0" w:leftChars="0" w:firstLine="0" w:firstLineChars="0"/>
      </w:pPr>
    </w:p>
    <w:p>
      <w:pPr>
        <w:ind w:left="0" w:leftChars="0" w:firstLine="0" w:firstLineChars="0"/>
      </w:pPr>
    </w:p>
    <w:tbl>
      <w:tblPr>
        <w:tblStyle w:val="20"/>
        <w:tblW w:w="9040" w:type="dxa"/>
        <w:tblInd w:w="0" w:type="dxa"/>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Layout w:type="fixed"/>
        <w:tblCellMar>
          <w:top w:w="0" w:type="dxa"/>
          <w:left w:w="0" w:type="dxa"/>
          <w:bottom w:w="0" w:type="dxa"/>
          <w:right w:w="0" w:type="dxa"/>
        </w:tblCellMar>
      </w:tblPr>
      <w:tblGrid>
        <w:gridCol w:w="9040"/>
      </w:tblGrid>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1104" w:hRule="atLeast"/>
        </w:trPr>
        <w:tc>
          <w:tcPr>
            <w:tcW w:w="9040" w:type="dxa"/>
            <w:tcBorders>
              <w:top w:val="single" w:color="000000" w:sz="2" w:space="0"/>
              <w:bottom w:val="single" w:color="000000" w:sz="2" w:space="0"/>
            </w:tcBorders>
            <w:vAlign w:val="top"/>
          </w:tcPr>
          <w:p>
            <w:pPr>
              <w:keepNext w:val="0"/>
              <w:keepLines w:val="0"/>
              <w:pageBreakBefore w:val="0"/>
              <w:widowControl w:val="0"/>
              <w:kinsoku/>
              <w:wordWrap/>
              <w:overflowPunct/>
              <w:topLinePunct w:val="0"/>
              <w:autoSpaceDE/>
              <w:autoSpaceDN/>
              <w:bidi w:val="0"/>
              <w:adjustRightInd/>
              <w:snapToGrid/>
              <w:spacing w:line="520" w:lineRule="exact"/>
              <w:ind w:left="560" w:hanging="560" w:hangingChars="200"/>
              <w:textAlignment w:val="auto"/>
              <w:rPr>
                <w:rFonts w:hint="eastAsia" w:ascii="仿宋" w:hAnsi="仿宋" w:eastAsia="仿宋" w:cs="仿宋"/>
                <w:snapToGrid w:val="0"/>
                <w:color w:val="000000"/>
                <w:kern w:val="2"/>
                <w:sz w:val="28"/>
                <w:szCs w:val="28"/>
                <w:lang w:val="en-US" w:eastAsia="zh-CN" w:bidi="ar-SA"/>
              </w:rPr>
            </w:pPr>
            <w:r>
              <w:rPr>
                <w:rFonts w:hint="eastAsia" w:ascii="仿宋" w:hAnsi="仿宋" w:eastAsia="仿宋" w:cs="仿宋"/>
                <w:snapToGrid w:val="0"/>
                <w:color w:val="000000"/>
                <w:sz w:val="28"/>
                <w:szCs w:val="28"/>
              </w:rPr>
              <w:t>抄送：鄂尔多斯市生态环境局</w:t>
            </w:r>
            <w:r>
              <w:rPr>
                <w:rFonts w:hint="eastAsia" w:ascii="仿宋" w:hAnsi="仿宋" w:eastAsia="仿宋" w:cs="仿宋"/>
                <w:snapToGrid w:val="0"/>
                <w:color w:val="000000"/>
                <w:sz w:val="28"/>
                <w:szCs w:val="28"/>
                <w:lang w:val="en-US" w:eastAsia="zh-CN"/>
              </w:rPr>
              <w:t>杭锦旗</w:t>
            </w:r>
            <w:r>
              <w:rPr>
                <w:rFonts w:hint="eastAsia" w:ascii="仿宋" w:hAnsi="仿宋" w:eastAsia="仿宋" w:cs="仿宋"/>
                <w:snapToGrid w:val="0"/>
                <w:color w:val="000000"/>
                <w:sz w:val="28"/>
                <w:szCs w:val="28"/>
              </w:rPr>
              <w:t>分局，市生态环境综合行政执法支队，内蒙古信德工程技术咨询服务有限公司，市生态环境局综合保障中心。</w:t>
            </w:r>
          </w:p>
        </w:tc>
      </w:tr>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PrEx>
        <w:trPr>
          <w:trHeight w:val="583" w:hRule="atLeast"/>
        </w:trPr>
        <w:tc>
          <w:tcPr>
            <w:tcW w:w="9040" w:type="dxa"/>
            <w:tcBorders>
              <w:top w:val="single" w:color="000000" w:sz="2" w:space="0"/>
              <w:bottom w:val="single" w:color="000000" w:sz="2" w:space="0"/>
            </w:tcBorders>
            <w:vAlign w:val="top"/>
          </w:tcPr>
          <w:p>
            <w:pPr>
              <w:keepNext w:val="0"/>
              <w:keepLines w:val="0"/>
              <w:pageBreakBefore w:val="0"/>
              <w:widowControl w:val="0"/>
              <w:kinsoku/>
              <w:wordWrap/>
              <w:overflowPunct/>
              <w:topLinePunct w:val="0"/>
              <w:autoSpaceDE/>
              <w:autoSpaceDN/>
              <w:bidi w:val="0"/>
              <w:adjustRightInd/>
              <w:snapToGrid/>
              <w:spacing w:line="520" w:lineRule="exact"/>
              <w:ind w:left="0" w:leftChars="0" w:firstLine="280" w:firstLineChars="100"/>
              <w:textAlignment w:val="auto"/>
              <w:rPr>
                <w:rFonts w:hint="eastAsia" w:ascii="仿宋" w:hAnsi="仿宋" w:eastAsia="仿宋" w:cs="仿宋"/>
                <w:snapToGrid/>
                <w:color w:val="000000"/>
                <w:kern w:val="2"/>
                <w:sz w:val="28"/>
                <w:szCs w:val="28"/>
                <w:highlight w:val="none"/>
              </w:rPr>
            </w:pPr>
            <w:r>
              <w:rPr>
                <w:rFonts w:hint="eastAsia" w:ascii="仿宋" w:hAnsi="仿宋" w:eastAsia="仿宋" w:cs="仿宋"/>
                <w:snapToGrid/>
                <w:color w:val="000000"/>
                <w:kern w:val="2"/>
                <w:sz w:val="28"/>
                <w:szCs w:val="28"/>
                <w:highlight w:val="none"/>
              </w:rPr>
              <w:t xml:space="preserve">鄂尔多斯市生态环境局             </w:t>
            </w:r>
            <w:r>
              <w:rPr>
                <w:rFonts w:hint="eastAsia" w:ascii="仿宋" w:hAnsi="仿宋" w:eastAsia="仿宋" w:cs="仿宋"/>
                <w:snapToGrid/>
                <w:color w:val="000000"/>
                <w:kern w:val="2"/>
                <w:sz w:val="28"/>
                <w:szCs w:val="28"/>
                <w:highlight w:val="none"/>
                <w:lang w:val="en-US" w:eastAsia="zh-CN"/>
              </w:rPr>
              <w:t xml:space="preserve">     </w:t>
            </w:r>
            <w:r>
              <w:rPr>
                <w:rFonts w:hint="eastAsia" w:ascii="仿宋" w:hAnsi="仿宋" w:eastAsia="仿宋" w:cs="仿宋"/>
                <w:snapToGrid/>
                <w:color w:val="000000"/>
                <w:kern w:val="2"/>
                <w:sz w:val="28"/>
                <w:szCs w:val="28"/>
                <w:highlight w:val="none"/>
              </w:rPr>
              <w:t xml:space="preserve">    202</w:t>
            </w:r>
            <w:r>
              <w:rPr>
                <w:rFonts w:hint="eastAsia" w:ascii="仿宋" w:hAnsi="仿宋" w:eastAsia="仿宋" w:cs="仿宋"/>
                <w:snapToGrid/>
                <w:color w:val="000000"/>
                <w:kern w:val="2"/>
                <w:sz w:val="28"/>
                <w:szCs w:val="28"/>
                <w:highlight w:val="none"/>
                <w:lang w:val="en-US" w:eastAsia="zh-CN"/>
              </w:rPr>
              <w:t>3</w:t>
            </w:r>
            <w:r>
              <w:rPr>
                <w:rFonts w:hint="eastAsia" w:ascii="仿宋" w:hAnsi="仿宋" w:eastAsia="仿宋" w:cs="仿宋"/>
                <w:snapToGrid/>
                <w:color w:val="000000"/>
                <w:kern w:val="2"/>
                <w:sz w:val="28"/>
                <w:szCs w:val="28"/>
                <w:highlight w:val="none"/>
              </w:rPr>
              <w:t>年</w:t>
            </w:r>
            <w:r>
              <w:rPr>
                <w:rFonts w:hint="eastAsia" w:ascii="仿宋" w:hAnsi="仿宋" w:eastAsia="仿宋" w:cs="仿宋"/>
                <w:snapToGrid/>
                <w:color w:val="000000"/>
                <w:kern w:val="2"/>
                <w:sz w:val="28"/>
                <w:szCs w:val="28"/>
                <w:highlight w:val="none"/>
                <w:lang w:val="en-US" w:eastAsia="zh-CN"/>
              </w:rPr>
              <w:t>6</w:t>
            </w:r>
            <w:r>
              <w:rPr>
                <w:rFonts w:hint="eastAsia" w:ascii="仿宋" w:hAnsi="仿宋" w:eastAsia="仿宋" w:cs="仿宋"/>
                <w:snapToGrid/>
                <w:color w:val="000000"/>
                <w:kern w:val="2"/>
                <w:sz w:val="28"/>
                <w:szCs w:val="28"/>
                <w:highlight w:val="none"/>
              </w:rPr>
              <w:t>月</w:t>
            </w:r>
            <w:r>
              <w:rPr>
                <w:rFonts w:hint="eastAsia" w:ascii="仿宋" w:hAnsi="仿宋" w:eastAsia="仿宋" w:cs="仿宋"/>
                <w:snapToGrid/>
                <w:color w:val="000000"/>
                <w:kern w:val="2"/>
                <w:sz w:val="28"/>
                <w:szCs w:val="28"/>
                <w:highlight w:val="none"/>
                <w:lang w:val="en-US" w:eastAsia="zh-CN"/>
              </w:rPr>
              <w:t>30</w:t>
            </w:r>
            <w:r>
              <w:rPr>
                <w:rFonts w:hint="eastAsia" w:ascii="仿宋" w:hAnsi="仿宋" w:eastAsia="仿宋" w:cs="仿宋"/>
                <w:snapToGrid/>
                <w:color w:val="000000"/>
                <w:kern w:val="2"/>
                <w:sz w:val="28"/>
                <w:szCs w:val="28"/>
                <w:highlight w:val="none"/>
              </w:rPr>
              <w:t>日印发</w:t>
            </w:r>
          </w:p>
        </w:tc>
      </w:tr>
    </w:tbl>
    <w:p>
      <w:pPr>
        <w:pStyle w:val="5"/>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eastAsia" w:eastAsia="仿宋_GB2312"/>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8447F6"/>
    <w:multiLevelType w:val="singleLevel"/>
    <w:tmpl w:val="D48447F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U5ZjkyNWM5NDA5YzI0MWZjNTA3MDA1ZjJiYmIxN2UifQ=="/>
  </w:docVars>
  <w:rsids>
    <w:rsidRoot w:val="00805F8E"/>
    <w:rsid w:val="002A5198"/>
    <w:rsid w:val="003160F5"/>
    <w:rsid w:val="00805F8E"/>
    <w:rsid w:val="00967D21"/>
    <w:rsid w:val="032213EB"/>
    <w:rsid w:val="29C13F5D"/>
    <w:rsid w:val="2D9874B7"/>
    <w:rsid w:val="3003255F"/>
    <w:rsid w:val="3AFB643D"/>
    <w:rsid w:val="3C7C2C4D"/>
    <w:rsid w:val="41166990"/>
    <w:rsid w:val="473420AD"/>
    <w:rsid w:val="47350E2C"/>
    <w:rsid w:val="48147269"/>
    <w:rsid w:val="4D5F2D35"/>
    <w:rsid w:val="4F445C26"/>
    <w:rsid w:val="51DD5CA7"/>
    <w:rsid w:val="59842CF7"/>
    <w:rsid w:val="720A068C"/>
    <w:rsid w:val="78793730"/>
    <w:rsid w:val="7AE617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paragraph" w:styleId="4">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4">
    <w:name w:val="Default Paragraph Font"/>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customStyle="1" w:styleId="2">
    <w:name w:val="表头"/>
    <w:basedOn w:val="3"/>
    <w:next w:val="1"/>
    <w:semiHidden/>
    <w:qFormat/>
    <w:uiPriority w:val="0"/>
    <w:pPr>
      <w:tabs>
        <w:tab w:val="left" w:pos="644"/>
      </w:tabs>
      <w:spacing w:before="60" w:line="500" w:lineRule="exact"/>
      <w:ind w:firstLine="1962" w:firstLineChars="788"/>
    </w:pPr>
    <w:rPr>
      <w:rFonts w:ascii="宋体" w:hAnsi="宋体"/>
      <w:b/>
      <w:bCs/>
      <w:color w:val="000000"/>
      <w:spacing w:val="4"/>
      <w:kern w:val="24"/>
      <w:sz w:val="24"/>
    </w:rPr>
  </w:style>
  <w:style w:type="paragraph" w:styleId="3">
    <w:name w:val="List"/>
    <w:basedOn w:val="1"/>
    <w:qFormat/>
    <w:uiPriority w:val="99"/>
    <w:pPr>
      <w:spacing w:line="360" w:lineRule="auto"/>
      <w:ind w:left="200" w:hanging="200" w:hangingChars="200"/>
    </w:pPr>
    <w:rPr>
      <w:sz w:val="28"/>
      <w:szCs w:val="24"/>
    </w:rPr>
  </w:style>
  <w:style w:type="paragraph" w:styleId="5">
    <w:name w:val="Normal Indent"/>
    <w:basedOn w:val="1"/>
    <w:next w:val="6"/>
    <w:link w:val="16"/>
    <w:qFormat/>
    <w:uiPriority w:val="0"/>
    <w:rPr>
      <w:rFonts w:asciiTheme="minorHAnsi" w:hAnsiTheme="minorHAnsi" w:cstheme="minorBidi"/>
    </w:rPr>
  </w:style>
  <w:style w:type="paragraph" w:styleId="6">
    <w:name w:val="Body Text First Indent 2"/>
    <w:basedOn w:val="7"/>
    <w:next w:val="9"/>
    <w:link w:val="18"/>
    <w:semiHidden/>
    <w:unhideWhenUsed/>
    <w:qFormat/>
    <w:uiPriority w:val="99"/>
    <w:pPr>
      <w:ind w:firstLine="420"/>
    </w:pPr>
  </w:style>
  <w:style w:type="paragraph" w:styleId="7">
    <w:name w:val="Body Text Indent"/>
    <w:basedOn w:val="1"/>
    <w:next w:val="8"/>
    <w:link w:val="17"/>
    <w:semiHidden/>
    <w:unhideWhenUsed/>
    <w:qFormat/>
    <w:uiPriority w:val="99"/>
    <w:pPr>
      <w:spacing w:after="120"/>
      <w:ind w:left="420" w:leftChars="200"/>
    </w:pPr>
  </w:style>
  <w:style w:type="paragraph" w:customStyle="1" w:styleId="8">
    <w:name w:val="样式 正文文本缩进 + 行距: 1.5 倍行距"/>
    <w:basedOn w:val="1"/>
    <w:qFormat/>
    <w:uiPriority w:val="0"/>
    <w:pPr>
      <w:spacing w:after="120" w:line="360" w:lineRule="auto"/>
      <w:ind w:left="90" w:leftChars="32" w:firstLine="560" w:firstLineChars="200"/>
    </w:pPr>
    <w:rPr>
      <w:rFonts w:cs="宋体"/>
    </w:rPr>
  </w:style>
  <w:style w:type="paragraph" w:styleId="9">
    <w:name w:val="Body Text First Indent"/>
    <w:basedOn w:val="10"/>
    <w:next w:val="1"/>
    <w:qFormat/>
    <w:uiPriority w:val="0"/>
    <w:pPr>
      <w:ind w:firstLine="420" w:firstLineChars="100"/>
    </w:pPr>
  </w:style>
  <w:style w:type="paragraph" w:styleId="10">
    <w:name w:val="Body Text"/>
    <w:basedOn w:val="1"/>
    <w:next w:val="7"/>
    <w:qFormat/>
    <w:uiPriority w:val="99"/>
    <w:pPr>
      <w:spacing w:after="120" w:afterLines="0" w:afterAutospacing="0"/>
    </w:pPr>
  </w:style>
  <w:style w:type="paragraph" w:styleId="11">
    <w:name w:val="Date"/>
    <w:basedOn w:val="1"/>
    <w:next w:val="1"/>
    <w:link w:val="19"/>
    <w:semiHidden/>
    <w:unhideWhenUsed/>
    <w:qFormat/>
    <w:uiPriority w:val="99"/>
    <w:pPr>
      <w:ind w:left="100" w:leftChars="2500"/>
    </w:pPr>
  </w:style>
  <w:style w:type="paragraph" w:styleId="12">
    <w:name w:val="toc 2"/>
    <w:basedOn w:val="1"/>
    <w:next w:val="1"/>
    <w:unhideWhenUsed/>
    <w:qFormat/>
    <w:uiPriority w:val="39"/>
    <w:pPr>
      <w:ind w:left="420" w:leftChars="200"/>
    </w:pPr>
    <w:rPr>
      <w:rFonts w:ascii="Calibri" w:hAnsi="Calibri"/>
      <w:szCs w:val="22"/>
    </w:rPr>
  </w:style>
  <w:style w:type="character" w:styleId="15">
    <w:name w:val="Emphasis"/>
    <w:basedOn w:val="14"/>
    <w:qFormat/>
    <w:uiPriority w:val="20"/>
    <w:rPr>
      <w:i/>
    </w:rPr>
  </w:style>
  <w:style w:type="character" w:customStyle="1" w:styleId="16">
    <w:name w:val="正文缩进 字符"/>
    <w:link w:val="5"/>
    <w:qFormat/>
    <w:uiPriority w:val="0"/>
    <w:rPr>
      <w:rFonts w:eastAsia="仿宋_GB2312"/>
      <w:sz w:val="32"/>
      <w:szCs w:val="24"/>
    </w:rPr>
  </w:style>
  <w:style w:type="character" w:customStyle="1" w:styleId="17">
    <w:name w:val="正文文本缩进 字符"/>
    <w:basedOn w:val="14"/>
    <w:link w:val="7"/>
    <w:semiHidden/>
    <w:qFormat/>
    <w:uiPriority w:val="99"/>
    <w:rPr>
      <w:rFonts w:ascii="Times New Roman" w:hAnsi="Times New Roman" w:eastAsia="仿宋_GB2312" w:cs="Times New Roman"/>
      <w:sz w:val="32"/>
      <w:szCs w:val="24"/>
    </w:rPr>
  </w:style>
  <w:style w:type="character" w:customStyle="1" w:styleId="18">
    <w:name w:val="正文文本首行缩进 2 字符"/>
    <w:basedOn w:val="17"/>
    <w:link w:val="6"/>
    <w:semiHidden/>
    <w:qFormat/>
    <w:uiPriority w:val="99"/>
    <w:rPr>
      <w:rFonts w:ascii="Times New Roman" w:hAnsi="Times New Roman" w:eastAsia="仿宋_GB2312" w:cs="Times New Roman"/>
      <w:sz w:val="32"/>
      <w:szCs w:val="24"/>
    </w:rPr>
  </w:style>
  <w:style w:type="character" w:customStyle="1" w:styleId="19">
    <w:name w:val="日期 字符"/>
    <w:basedOn w:val="14"/>
    <w:link w:val="11"/>
    <w:semiHidden/>
    <w:qFormat/>
    <w:uiPriority w:val="99"/>
    <w:rPr>
      <w:rFonts w:ascii="Times New Roman" w:hAnsi="Times New Roman" w:eastAsia="仿宋_GB2312" w:cs="Times New Roman"/>
      <w:sz w:val="32"/>
      <w:szCs w:val="24"/>
    </w:rPr>
  </w:style>
  <w:style w:type="table" w:customStyle="1" w:styleId="20">
    <w:name w:val="Table Normal"/>
    <w:semiHidden/>
    <w:unhideWhenUsed/>
    <w:qFormat/>
    <w:uiPriority w:val="0"/>
    <w:rPr>
      <w:rFonts w:ascii="Arial" w:hAnsi="Arial" w:cs="Arial"/>
      <w:snapToGrid w:val="0"/>
      <w:color w:val="000000"/>
      <w:kern w:val="0"/>
      <w:szCs w:val="21"/>
    </w:rPr>
    <w:tblPr>
      <w:tblCellMar>
        <w:top w:w="0" w:type="dxa"/>
        <w:left w:w="0" w:type="dxa"/>
        <w:bottom w:w="0" w:type="dxa"/>
        <w:right w:w="0" w:type="dxa"/>
      </w:tblCellMar>
    </w:tblPr>
  </w:style>
  <w:style w:type="paragraph" w:customStyle="1" w:styleId="21">
    <w:name w:val="lh-正文-报告书"/>
    <w:qFormat/>
    <w:uiPriority w:val="0"/>
    <w:pPr>
      <w:widowControl w:val="0"/>
      <w:spacing w:line="360" w:lineRule="auto"/>
      <w:ind w:firstLine="200" w:firstLineChars="200"/>
      <w:jc w:val="both"/>
    </w:pPr>
    <w:rPr>
      <w:rFonts w:ascii="Times New Roman" w:hAnsi="Times New Roman" w:eastAsia="宋体" w:cs="Times New Roman"/>
      <w:snapToGrid w:val="0"/>
      <w:sz w:val="24"/>
      <w:szCs w:val="21"/>
      <w:lang w:val="en-GB"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1951</Words>
  <Characters>2064</Characters>
  <Lines>14</Lines>
  <Paragraphs>4</Paragraphs>
  <TotalTime>1</TotalTime>
  <ScaleCrop>false</ScaleCrop>
  <LinksUpToDate>false</LinksUpToDate>
  <CharactersWithSpaces>2130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2022-09-08T09:22:00Z</dcterms:created>
  <dc:creator>微软用户</dc:creator>
  <cp:lastModifiedBy>Administrator</cp:lastModifiedBy>
  <cp:lastPrinted>2022-12-12T10:39:00Z</cp:lastPrinted>
  <dcterms:modified xsi:type="dcterms:W3CDTF">2023-11-09T09:28:36Z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F0B30DDD5ED04E50BB5CBEAA4B2E7F32_13</vt:lpwstr>
  </property>
</Properties>
</file>