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280"/>
        </w:tabs>
        <w:spacing w:line="560" w:lineRule="exact"/>
        <w:ind w:right="26" w:firstLine="0" w:firstLineChars="0"/>
        <w:jc w:val="right"/>
        <w:rPr>
          <w:rFonts w:eastAsia="仿宋"/>
        </w:rPr>
      </w:pPr>
    </w:p>
    <w:p>
      <w:pPr>
        <w:pStyle w:val="4"/>
        <w:spacing w:line="560" w:lineRule="exact"/>
        <w:ind w:firstLine="480"/>
        <w:rPr>
          <w:sz w:val="24"/>
        </w:rPr>
      </w:pPr>
    </w:p>
    <w:p>
      <w:pPr>
        <w:tabs>
          <w:tab w:val="left" w:pos="8280"/>
        </w:tabs>
        <w:spacing w:line="560" w:lineRule="exact"/>
        <w:ind w:right="26" w:firstLine="0" w:firstLineChars="0"/>
        <w:jc w:val="right"/>
      </w:pPr>
    </w:p>
    <w:p>
      <w:pPr>
        <w:pStyle w:val="4"/>
        <w:spacing w:line="560" w:lineRule="exact"/>
        <w:ind w:firstLine="640"/>
      </w:pPr>
    </w:p>
    <w:p>
      <w:pPr>
        <w:pStyle w:val="4"/>
        <w:spacing w:line="560" w:lineRule="exact"/>
        <w:ind w:firstLine="640"/>
      </w:pPr>
    </w:p>
    <w:p>
      <w:pPr>
        <w:pStyle w:val="4"/>
        <w:spacing w:line="560" w:lineRule="exact"/>
        <w:ind w:firstLine="640"/>
      </w:pPr>
    </w:p>
    <w:p>
      <w:pPr>
        <w:pStyle w:val="4"/>
        <w:spacing w:line="560" w:lineRule="exact"/>
        <w:ind w:firstLine="640"/>
      </w:pPr>
    </w:p>
    <w:p>
      <w:pPr>
        <w:pStyle w:val="4"/>
        <w:spacing w:line="560" w:lineRule="exact"/>
        <w:ind w:firstLine="640"/>
      </w:pPr>
    </w:p>
    <w:p>
      <w:pPr>
        <w:pStyle w:val="2"/>
        <w:ind w:firstLine="0" w:firstLineChars="0"/>
      </w:pPr>
    </w:p>
    <w:p>
      <w:pPr>
        <w:pStyle w:val="4"/>
        <w:spacing w:line="560" w:lineRule="exact"/>
        <w:ind w:firstLine="640"/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color w:val="auto"/>
          <w:sz w:val="32"/>
          <w:szCs w:val="24"/>
        </w:rPr>
      </w:pPr>
      <w:r>
        <w:rPr>
          <w:rFonts w:ascii="Times New Roman" w:hAnsi="Times New Roman" w:eastAsia="仿宋_GB2312" w:cs="Times New Roman"/>
          <w:color w:val="auto"/>
          <w:sz w:val="32"/>
          <w:szCs w:val="24"/>
        </w:rPr>
        <w:t>鄂环审字〔2023〕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138</w:t>
      </w:r>
      <w:r>
        <w:rPr>
          <w:rFonts w:ascii="Times New Roman" w:hAnsi="Times New Roman" w:eastAsia="仿宋_GB2312" w:cs="Times New Roman"/>
          <w:color w:val="auto"/>
          <w:sz w:val="32"/>
          <w:szCs w:val="24"/>
        </w:rPr>
        <w:t>号</w:t>
      </w:r>
    </w:p>
    <w:p>
      <w:pPr>
        <w:pStyle w:val="4"/>
        <w:spacing w:line="560" w:lineRule="exact"/>
        <w:ind w:firstLine="0" w:firstLineChars="0"/>
        <w:jc w:val="center"/>
        <w:rPr>
          <w:color w:val="auto"/>
        </w:rPr>
      </w:pPr>
    </w:p>
    <w:p>
      <w:pPr>
        <w:spacing w:line="640" w:lineRule="exact"/>
        <w:jc w:val="center"/>
        <w:rPr>
          <w:rFonts w:ascii="Times New Roman" w:eastAsia="方正小标宋简体"/>
          <w:bCs/>
          <w:kern w:val="2"/>
          <w:sz w:val="44"/>
          <w:szCs w:val="44"/>
          <w:lang w:val="zh-TW" w:eastAsia="zh-TW"/>
        </w:rPr>
      </w:pPr>
      <w:r>
        <w:rPr>
          <w:rFonts w:ascii="Times New Roman" w:eastAsia="方正小标宋简体"/>
          <w:bCs/>
          <w:kern w:val="2"/>
          <w:sz w:val="44"/>
          <w:szCs w:val="44"/>
          <w:lang w:val="zh-TW" w:eastAsia="zh-TW"/>
        </w:rPr>
        <w:t>鄂尔多斯市生态环境局关于</w:t>
      </w:r>
    </w:p>
    <w:p>
      <w:pPr>
        <w:spacing w:line="640" w:lineRule="exact"/>
        <w:jc w:val="center"/>
        <w:rPr>
          <w:rFonts w:ascii="Times New Roman" w:eastAsia="方正小标宋简体"/>
          <w:bCs/>
          <w:kern w:val="2"/>
          <w:sz w:val="44"/>
          <w:szCs w:val="44"/>
          <w:lang w:val="zh-TW" w:eastAsia="zh-TW"/>
        </w:rPr>
      </w:pPr>
      <w:r>
        <w:rPr>
          <w:rFonts w:ascii="Times New Roman" w:eastAsia="方正小标宋简体"/>
          <w:bCs/>
          <w:kern w:val="2"/>
          <w:sz w:val="44"/>
          <w:szCs w:val="44"/>
        </w:rPr>
        <w:t>东胜气田锦30井区滚动开发项目（二期）</w:t>
      </w:r>
      <w:r>
        <w:rPr>
          <w:rFonts w:ascii="Times New Roman" w:eastAsia="方正小标宋简体"/>
          <w:bCs/>
          <w:kern w:val="2"/>
          <w:sz w:val="44"/>
          <w:szCs w:val="44"/>
          <w:lang w:val="zh-TW" w:eastAsia="zh-TW"/>
        </w:rPr>
        <w:t>环境影响报告书的批复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sz w:val="28"/>
          <w:szCs w:val="24"/>
          <w:lang w:val="zh-TW" w:eastAsia="zh-TW" w:bidi="zh-TW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zh-TW" w:eastAsia="zh-TW" w:bidi="zh-TW"/>
        </w:rPr>
      </w:pP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中国石油化工股份有限公司华北油气分公司采气二厂：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zh-TW" w:eastAsia="zh-TW" w:bidi="zh-TW"/>
        </w:rPr>
      </w:pP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你公司报送的由</w:t>
      </w:r>
      <w:r>
        <w:rPr>
          <w:rFonts w:ascii="Times New Roman" w:eastAsia="仿宋"/>
          <w:sz w:val="32"/>
          <w:szCs w:val="32"/>
        </w:rPr>
        <w:t>陕西徳让环境科技有限公司编制的《东胜气田锦30井区滚动开发项目（二期）环境影响报告书》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（以下简称《报告书》）收悉</w:t>
      </w:r>
      <w:r>
        <w:rPr>
          <w:rFonts w:hint="eastAsia" w:ascii="仿宋" w:hAnsi="仿宋" w:eastAsia="仿宋" w:cs="仿宋"/>
          <w:sz w:val="32"/>
          <w:szCs w:val="32"/>
          <w:lang w:val="zh-TW" w:bidi="zh-TW"/>
        </w:rPr>
        <w:t>，</w:t>
      </w:r>
      <w:r>
        <w:rPr>
          <w:rFonts w:hint="eastAsia" w:ascii="仿宋" w:hAnsi="仿宋" w:eastAsia="仿宋" w:cs="仿宋"/>
          <w:sz w:val="32"/>
          <w:szCs w:val="32"/>
          <w:lang w:bidi="zh-TW"/>
        </w:rPr>
        <w:t>鄂尔多斯市生态环境局</w:t>
      </w:r>
      <w:r>
        <w:rPr>
          <w:rFonts w:hint="eastAsia" w:ascii="仿宋" w:hAnsi="仿宋" w:eastAsia="仿宋" w:cs="仿宋"/>
          <w:sz w:val="32"/>
          <w:szCs w:val="32"/>
          <w:lang w:val="zh-TW" w:bidi="zh-TW"/>
        </w:rPr>
        <w:t>综合保障中心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组织专家对该项目进行了技术评估，并形成了技术评估报告，根据《报告书》和《技术评估报告》，经</w:t>
      </w:r>
      <w:r>
        <w:rPr>
          <w:rFonts w:hint="eastAsia" w:ascii="仿宋" w:hAnsi="仿宋" w:eastAsia="仿宋" w:cs="仿宋"/>
          <w:sz w:val="32"/>
          <w:szCs w:val="32"/>
          <w:lang w:bidi="zh-TW"/>
        </w:rPr>
        <w:t>研究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，现批复如下：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_GB2312" w:cs="仿宋"/>
          <w:sz w:val="32"/>
          <w:szCs w:val="32"/>
          <w:lang w:val="en-US" w:eastAsia="zh-CN" w:bidi="zh-TW"/>
        </w:rPr>
      </w:pP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一、该项目</w:t>
      </w:r>
      <w:r>
        <w:rPr>
          <w:rFonts w:hint="eastAsia" w:ascii="仿宋" w:hAnsi="仿宋" w:eastAsia="仿宋" w:cs="仿宋"/>
          <w:sz w:val="32"/>
          <w:szCs w:val="32"/>
          <w:lang w:bidi="zh-TW"/>
        </w:rPr>
        <w:t>鄂尔多斯市鄂托克旗境内。本次以锦30井区盒1为主要目的层，部署水平井6口，建设井场5座，单井平均配产5.2×10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bidi="zh-TW"/>
        </w:rPr>
        <w:t>4</w:t>
      </w:r>
      <w:r>
        <w:rPr>
          <w:rFonts w:hint="eastAsia" w:ascii="仿宋" w:hAnsi="仿宋" w:eastAsia="仿宋" w:cs="仿宋"/>
          <w:sz w:val="32"/>
          <w:szCs w:val="32"/>
          <w:lang w:bidi="zh-TW"/>
        </w:rPr>
        <w:t>m3/d，新建产能1.03×108m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bidi="zh-TW"/>
        </w:rPr>
        <w:t>3</w:t>
      </w:r>
      <w:r>
        <w:rPr>
          <w:rFonts w:hint="eastAsia" w:ascii="仿宋" w:hAnsi="仿宋" w:eastAsia="仿宋" w:cs="仿宋"/>
          <w:sz w:val="32"/>
          <w:szCs w:val="32"/>
          <w:lang w:bidi="zh-TW"/>
        </w:rPr>
        <w:t>/a；新建1座卸水站；新建采气管线15.4km；配套自控、通信、水保、消防等系统建设。</w:t>
      </w:r>
      <w:r>
        <w:rPr>
          <w:rFonts w:hint="eastAsia" w:ascii="Times New Roman" w:eastAsia="仿宋_GB2312"/>
          <w:sz w:val="32"/>
          <w:szCs w:val="32"/>
          <w:lang w:val="en-US" w:eastAsia="zh-CN"/>
        </w:rPr>
        <w:t>本</w:t>
      </w:r>
      <w:r>
        <w:rPr>
          <w:rFonts w:ascii="Times New Roman" w:eastAsia="仿宋_GB2312"/>
          <w:sz w:val="32"/>
          <w:szCs w:val="32"/>
        </w:rPr>
        <w:t>项目总投资</w:t>
      </w:r>
      <w:r>
        <w:rPr>
          <w:rFonts w:ascii="Times New Roman" w:eastAsia="仿宋_GB2312"/>
          <w:bCs/>
          <w:sz w:val="32"/>
          <w:szCs w:val="32"/>
        </w:rPr>
        <w:t>24606万元</w:t>
      </w:r>
      <w:r>
        <w:rPr>
          <w:rFonts w:ascii="Times New Roman" w:eastAsia="仿宋_GB2312"/>
          <w:sz w:val="32"/>
          <w:szCs w:val="32"/>
        </w:rPr>
        <w:t>，其中环保投资</w:t>
      </w:r>
      <w:bookmarkStart w:id="2" w:name="_GoBack"/>
      <w:r>
        <w:rPr>
          <w:rFonts w:ascii="Times New Roman" w:eastAsia="仿宋_GB2312"/>
          <w:sz w:val="32"/>
          <w:szCs w:val="32"/>
        </w:rPr>
        <w:t>640</w:t>
      </w:r>
      <w:bookmarkEnd w:id="2"/>
      <w:r>
        <w:rPr>
          <w:rFonts w:ascii="Times New Roman" w:eastAsia="仿宋_GB2312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bidi="zh-TW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bidi="zh-TW"/>
        </w:rPr>
      </w:pPr>
      <w:r>
        <w:rPr>
          <w:rFonts w:hint="default" w:ascii="仿宋" w:hAnsi="仿宋" w:eastAsia="仿宋" w:cs="仿宋"/>
          <w:sz w:val="32"/>
          <w:szCs w:val="32"/>
          <w:lang w:bidi="zh-TW"/>
        </w:rPr>
        <w:t>《报告</w:t>
      </w:r>
      <w:r>
        <w:rPr>
          <w:rFonts w:hint="eastAsia" w:ascii="仿宋" w:hAnsi="仿宋" w:eastAsia="仿宋" w:cs="仿宋"/>
          <w:sz w:val="32"/>
          <w:szCs w:val="32"/>
          <w:lang w:val="en-US" w:eastAsia="zh-CN" w:bidi="zh-TW"/>
        </w:rPr>
        <w:t>书</w:t>
      </w:r>
      <w:r>
        <w:rPr>
          <w:rFonts w:hint="default" w:ascii="仿宋" w:hAnsi="仿宋" w:eastAsia="仿宋" w:cs="仿宋"/>
          <w:sz w:val="32"/>
          <w:szCs w:val="32"/>
          <w:lang w:bidi="zh-TW"/>
        </w:rPr>
        <w:t>》</w:t>
      </w:r>
      <w:r>
        <w:rPr>
          <w:rFonts w:hint="eastAsia" w:ascii="仿宋" w:hAnsi="仿宋" w:eastAsia="仿宋" w:cs="仿宋"/>
          <w:sz w:val="32"/>
          <w:szCs w:val="32"/>
          <w:lang w:bidi="zh-TW"/>
        </w:rPr>
        <w:t>和《技术评估报告》</w:t>
      </w:r>
      <w:r>
        <w:rPr>
          <w:rFonts w:hint="default" w:ascii="仿宋" w:hAnsi="仿宋" w:eastAsia="仿宋" w:cs="仿宋"/>
          <w:sz w:val="32"/>
          <w:szCs w:val="32"/>
          <w:lang w:bidi="zh-TW"/>
        </w:rPr>
        <w:t>认为，在全面落实各项生态环境保护措施的前提下，项目建设对环境的不利影</w:t>
      </w:r>
      <w:r>
        <w:rPr>
          <w:rFonts w:hint="eastAsia" w:ascii="仿宋" w:hAnsi="仿宋" w:eastAsia="仿宋" w:cs="仿宋"/>
          <w:sz w:val="32"/>
          <w:szCs w:val="32"/>
          <w:lang w:bidi="zh-TW"/>
        </w:rPr>
        <w:t>响能够得到一定的缓解和控制。因此，我局原则同意你公司按照《报告</w:t>
      </w:r>
      <w:r>
        <w:rPr>
          <w:rFonts w:hint="eastAsia" w:ascii="仿宋" w:hAnsi="仿宋" w:eastAsia="仿宋" w:cs="仿宋"/>
          <w:sz w:val="32"/>
          <w:szCs w:val="32"/>
          <w:lang w:val="en-US" w:eastAsia="zh-CN" w:bidi="zh-TW"/>
        </w:rPr>
        <w:t>书</w:t>
      </w:r>
      <w:r>
        <w:rPr>
          <w:rFonts w:hint="eastAsia" w:ascii="仿宋" w:hAnsi="仿宋" w:eastAsia="仿宋" w:cs="仿宋"/>
          <w:sz w:val="32"/>
          <w:szCs w:val="32"/>
          <w:lang w:bidi="zh-TW"/>
        </w:rPr>
        <w:t>》和《技术评估报告》中所列的建设项目性质、规模、地点、</w:t>
      </w:r>
      <w:r>
        <w:rPr>
          <w:rFonts w:hint="eastAsia" w:ascii="仿宋" w:hAnsi="仿宋" w:eastAsia="仿宋" w:cs="仿宋"/>
          <w:sz w:val="32"/>
          <w:szCs w:val="32"/>
          <w:lang w:eastAsia="zh-CN" w:bidi="zh-TW"/>
        </w:rPr>
        <w:t>工艺、生态</w:t>
      </w:r>
      <w:r>
        <w:rPr>
          <w:rFonts w:hint="eastAsia" w:ascii="仿宋" w:hAnsi="仿宋" w:eastAsia="仿宋" w:cs="仿宋"/>
          <w:sz w:val="32"/>
          <w:szCs w:val="32"/>
          <w:lang w:bidi="zh-TW"/>
        </w:rPr>
        <w:t>环境保护措施进行建设。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zh-TW" w:eastAsia="zh-TW" w:bidi="zh-TW"/>
        </w:rPr>
      </w:pPr>
      <w:r>
        <w:rPr>
          <w:rFonts w:hint="eastAsia" w:ascii="仿宋" w:hAnsi="仿宋" w:eastAsia="仿宋" w:cs="仿宋"/>
          <w:sz w:val="32"/>
          <w:szCs w:val="32"/>
          <w:lang w:val="zh-TW" w:bidi="zh-TW"/>
        </w:rPr>
        <w:t>二、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项目建设与运行管理中应重点做好的工作：</w:t>
      </w:r>
    </w:p>
    <w:p>
      <w:pPr>
        <w:keepNext w:val="0"/>
        <w:keepLines w:val="0"/>
        <w:pageBreakBefore w:val="0"/>
        <w:tabs>
          <w:tab w:val="left" w:pos="976"/>
        </w:tabs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zh-TW" w:eastAsia="zh-TW" w:bidi="zh-TW"/>
        </w:rPr>
      </w:pPr>
      <w:bookmarkStart w:id="0" w:name="bookmark2"/>
      <w:bookmarkEnd w:id="0"/>
      <w:bookmarkStart w:id="1" w:name="bookmark3"/>
      <w:bookmarkEnd w:id="1"/>
      <w:r>
        <w:rPr>
          <w:rFonts w:hint="eastAsia" w:ascii="仿宋" w:hAnsi="仿宋" w:eastAsia="仿宋" w:cs="仿宋"/>
          <w:kern w:val="2"/>
          <w:sz w:val="32"/>
          <w:szCs w:val="24"/>
          <w:lang w:val="zh-TW" w:eastAsia="zh-TW" w:bidi="ar-SA"/>
        </w:rPr>
        <w:t>1.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认真落实《鄂尔多斯市天然气开发</w:t>
      </w:r>
      <w:r>
        <w:rPr>
          <w:rFonts w:hint="eastAsia" w:ascii="仿宋" w:hAnsi="仿宋" w:eastAsia="仿宋" w:cs="仿宋"/>
          <w:sz w:val="32"/>
          <w:szCs w:val="32"/>
          <w:lang w:val="en-US" w:eastAsia="zh-CN" w:bidi="zh-TW"/>
        </w:rPr>
        <w:t>生态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环境保护</w:t>
      </w:r>
      <w:r>
        <w:rPr>
          <w:rFonts w:hint="eastAsia" w:ascii="仿宋" w:hAnsi="仿宋" w:eastAsia="仿宋" w:cs="仿宋"/>
          <w:sz w:val="32"/>
          <w:szCs w:val="32"/>
          <w:lang w:val="en-US" w:eastAsia="zh-CN" w:bidi="zh-TW"/>
        </w:rPr>
        <w:t>条例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》中提出的各项要求。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认真落实《报告书》和《技术评估报告》提出的生态保护和恢复措施。控制井场作业范围，尽量减少临时占地和永久占地。表土与底层土分开堆放</w:t>
      </w:r>
      <w:r>
        <w:rPr>
          <w:rFonts w:hint="eastAsia" w:ascii="仿宋" w:hAnsi="仿宋" w:eastAsia="仿宋" w:cs="仿宋"/>
          <w:snapToGrid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在施工结束恢复地貌时，分层回填，回填后及时补种草类植物。施工结束后，临时占</w:t>
      </w:r>
      <w:r>
        <w:rPr>
          <w:rFonts w:hint="eastAsia" w:ascii="仿宋" w:hAnsi="仿宋" w:eastAsia="仿宋" w:cs="仿宋"/>
          <w:snapToGrid w:val="0"/>
          <w:sz w:val="32"/>
          <w:szCs w:val="32"/>
          <w:lang w:val="en-US" w:eastAsia="zh-CN"/>
        </w:rPr>
        <w:t>地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要及时平整地面。井场投运后，对开挖井场造成植被破坏或地表裸露的</w:t>
      </w:r>
      <w:r>
        <w:rPr>
          <w:rFonts w:hint="eastAsia" w:ascii="仿宋" w:hAnsi="仿宋" w:eastAsia="仿宋" w:cs="仿宋"/>
          <w:snapToGrid w:val="0"/>
          <w:sz w:val="32"/>
          <w:szCs w:val="32"/>
          <w:lang w:val="en-US" w:eastAsia="zh-CN"/>
        </w:rPr>
        <w:t>区域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采取有效的修复措施，井场生态</w:t>
      </w:r>
      <w:r>
        <w:rPr>
          <w:rFonts w:hint="eastAsia" w:ascii="仿宋" w:hAnsi="仿宋" w:eastAsia="仿宋" w:cs="仿宋"/>
          <w:snapToGrid w:val="0"/>
          <w:sz w:val="32"/>
          <w:szCs w:val="32"/>
          <w:lang w:val="en-US" w:eastAsia="zh-CN"/>
        </w:rPr>
        <w:t>修复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措施应在施工期结束后的第一个播种季节进行，并尽快完成</w:t>
      </w:r>
      <w:r>
        <w:rPr>
          <w:rFonts w:hint="eastAsia" w:ascii="仿宋" w:hAnsi="仿宋" w:eastAsia="仿宋" w:cs="仿宋"/>
          <w:snapToGrid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植被覆盖率不低于现状。运营期应加强对井场、卸水站、管线</w:t>
      </w:r>
      <w:r>
        <w:rPr>
          <w:rFonts w:hint="eastAsia" w:ascii="仿宋" w:hAnsi="仿宋" w:eastAsia="仿宋" w:cs="仿宋"/>
          <w:snapToGrid w:val="0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道路绿化植被的抚育工作，并定期采取补种等措施，使植被覆盖度不低于现状水平。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napToGrid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认真落实《报告书》和《技术评估报告》中提出的大气污染防治措施。施工期采用节能环保型燃油设备，定期对柴油机、柴油发电机等设备进行维护</w:t>
      </w:r>
      <w:r>
        <w:rPr>
          <w:rFonts w:hint="eastAsia" w:ascii="仿宋" w:hAnsi="仿宋" w:eastAsia="仿宋" w:cs="仿宋"/>
          <w:snapToGrid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合理规划施工初期运输道路</w:t>
      </w:r>
      <w:r>
        <w:rPr>
          <w:rFonts w:hint="eastAsia" w:ascii="仿宋" w:hAnsi="仿宋" w:eastAsia="仿宋" w:cs="仿宋"/>
          <w:snapToGrid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运料车辆加盖篷布</w:t>
      </w:r>
      <w:r>
        <w:rPr>
          <w:rFonts w:hint="eastAsia" w:ascii="仿宋" w:hAnsi="仿宋" w:eastAsia="仿宋" w:cs="仿宋"/>
          <w:snapToGrid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对运输道路进行洒水抑尘</w:t>
      </w:r>
      <w:r>
        <w:rPr>
          <w:rFonts w:hint="eastAsia" w:ascii="仿宋" w:hAnsi="仿宋" w:eastAsia="仿宋" w:cs="仿宋"/>
          <w:snapToGrid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napToGrid w:val="0"/>
          <w:sz w:val="32"/>
          <w:szCs w:val="32"/>
          <w:lang w:val="en-US" w:eastAsia="zh-CN"/>
        </w:rPr>
        <w:t>土方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堆放过程中加盖篷布</w:t>
      </w:r>
      <w:r>
        <w:rPr>
          <w:rFonts w:hint="eastAsia" w:ascii="仿宋" w:hAnsi="仿宋" w:eastAsia="仿宋" w:cs="仿宋"/>
          <w:snapToGrid w:val="0"/>
          <w:sz w:val="32"/>
          <w:szCs w:val="32"/>
          <w:lang w:val="en-US" w:eastAsia="zh-CN"/>
        </w:rPr>
        <w:t>并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定期进行洒水抑尘</w:t>
      </w:r>
      <w:r>
        <w:rPr>
          <w:rFonts w:hint="eastAsia" w:ascii="仿宋" w:hAnsi="仿宋" w:eastAsia="仿宋" w:cs="仿宋"/>
          <w:snapToGrid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遇大风天气应停止施工作业。</w:t>
      </w:r>
      <w:r>
        <w:rPr>
          <w:rFonts w:hint="eastAsia" w:ascii="仿宋" w:hAnsi="仿宋" w:eastAsia="仿宋" w:cs="仿宋"/>
          <w:snapToGrid w:val="0"/>
          <w:sz w:val="32"/>
          <w:szCs w:val="32"/>
          <w:lang w:val="en-US" w:eastAsia="zh-CN"/>
        </w:rPr>
        <w:t>运营期</w:t>
      </w:r>
      <w:r>
        <w:rPr>
          <w:rFonts w:ascii="Times New Roman" w:eastAsia="仿宋_GB2312"/>
          <w:sz w:val="32"/>
          <w:szCs w:val="32"/>
        </w:rPr>
        <w:t>气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田开发集输采用密闭流程，加强采气井密封系统</w:t>
      </w:r>
      <w:r>
        <w:rPr>
          <w:rFonts w:hint="eastAsia" w:ascii="仿宋" w:hAnsi="仿宋" w:eastAsia="仿宋" w:cs="仿宋"/>
          <w:snapToGrid w:val="0"/>
          <w:sz w:val="32"/>
          <w:szCs w:val="32"/>
          <w:lang w:val="en-US" w:eastAsia="zh-CN"/>
        </w:rPr>
        <w:t>管理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，管线进站处设置自动截断阀，一旦发生事故，紧急切断气源，最大限度地减少集输过程中的排放量</w:t>
      </w:r>
      <w:r>
        <w:rPr>
          <w:rFonts w:hint="eastAsia" w:ascii="仿宋" w:hAnsi="仿宋" w:eastAsia="仿宋" w:cs="仿宋"/>
          <w:snapToGrid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napToGrid w:val="0"/>
          <w:sz w:val="32"/>
          <w:szCs w:val="32"/>
          <w:lang w:val="en-US" w:eastAsia="zh-CN"/>
        </w:rPr>
        <w:t>选用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技术质量可靠的仪表、阀门、控制设备等减少气体泄漏。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napToGrid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24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认</w:t>
      </w:r>
      <w:r>
        <w:rPr>
          <w:rFonts w:hint="eastAsia" w:ascii="仿宋" w:hAnsi="仿宋" w:eastAsia="仿宋" w:cs="仿宋"/>
          <w:snapToGrid w:val="0"/>
          <w:kern w:val="2"/>
          <w:sz w:val="32"/>
          <w:szCs w:val="32"/>
          <w:lang w:val="en-US" w:eastAsia="zh-CN" w:bidi="ar-SA"/>
        </w:rPr>
        <w:t>真落实《报告书》和《技术评估报告》中提出的水污染防治措施。钻井废水循环使用，钻井完毕后，委托有资质单位进行处置，不外排；管道试压废水经沉砂罐沉淀后，澄清水返回储水箱重复使用，最终试压完毕后经沉砂罐沉淀处理后用于周边植被浇灌；生活污水经污水罐收集后，定期运至锦58井区集中处理站一体化生活污水处理站处理；气田采出水由管线输送至锦58井区集中处理站气田水处理系统进行处理，采出水处理后各项指标满足《气田水回注技术规范》（Q/SY01004-2016）和《气田水注入技术要求》（SY/T6596-2016）中限值标准要求后回注地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pacing w:val="8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24"/>
          <w:lang w:val="en-US" w:eastAsia="zh-CN" w:bidi="ar-SA"/>
        </w:rPr>
        <w:t>5.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认</w:t>
      </w:r>
      <w:r>
        <w:rPr>
          <w:rFonts w:hint="eastAsia" w:ascii="仿宋" w:hAnsi="仿宋" w:eastAsia="仿宋" w:cs="仿宋"/>
          <w:snapToGrid w:val="0"/>
          <w:kern w:val="2"/>
          <w:sz w:val="32"/>
          <w:szCs w:val="32"/>
          <w:lang w:val="en-US" w:eastAsia="zh-CN" w:bidi="ar-SA"/>
        </w:rPr>
        <w:t>真落实《报告书》和《技术评估报告》中提出的</w:t>
      </w:r>
      <w:r>
        <w:rPr>
          <w:rFonts w:hint="eastAsia" w:ascii="仿宋" w:hAnsi="仿宋" w:eastAsia="仿宋" w:cs="仿宋"/>
          <w:sz w:val="32"/>
          <w:szCs w:val="24"/>
        </w:rPr>
        <w:t>地下水和土壤污染防治措施。</w:t>
      </w:r>
      <w:r>
        <w:rPr>
          <w:rFonts w:hint="eastAsia" w:ascii="仿宋" w:hAnsi="仿宋" w:eastAsia="仿宋" w:cs="仿宋"/>
          <w:sz w:val="32"/>
          <w:szCs w:val="32"/>
        </w:rPr>
        <w:t>建设单位应按照《鄂尔多斯市天然气开采新建钻井井场土壤环境监测工作指导意见（试行）》（鄂环发</w:t>
      </w:r>
      <w:r>
        <w:rPr>
          <w:rFonts w:hint="eastAsia" w:ascii="仿宋" w:hAnsi="仿宋" w:eastAsia="仿宋" w:cs="仿宋"/>
          <w:sz w:val="32"/>
          <w:szCs w:val="24"/>
        </w:rPr>
        <w:t>〔2020〕</w:t>
      </w:r>
      <w:r>
        <w:rPr>
          <w:rFonts w:hint="eastAsia" w:ascii="仿宋" w:hAnsi="仿宋" w:eastAsia="仿宋" w:cs="仿宋"/>
          <w:sz w:val="32"/>
          <w:szCs w:val="32"/>
        </w:rPr>
        <w:t>40号）的要求开展土壤监测。</w:t>
      </w:r>
      <w:r>
        <w:rPr>
          <w:rFonts w:hint="eastAsia" w:ascii="仿宋" w:hAnsi="仿宋" w:eastAsia="仿宋" w:cs="仿宋"/>
          <w:sz w:val="32"/>
          <w:szCs w:val="24"/>
        </w:rPr>
        <w:t>结合区域地下水分布现状和水文地质条件采取分区防渗措施，并建立完善的地下水监测制度，确保不会对区域地下水和土壤造</w:t>
      </w:r>
      <w:r>
        <w:rPr>
          <w:rFonts w:hint="eastAsia" w:ascii="仿宋" w:hAnsi="仿宋" w:eastAsia="仿宋" w:cs="仿宋"/>
          <w:spacing w:val="8"/>
          <w:sz w:val="32"/>
          <w:szCs w:val="32"/>
        </w:rPr>
        <w:t>成污染。</w:t>
      </w:r>
    </w:p>
    <w:p>
      <w:pPr>
        <w:keepNext w:val="0"/>
        <w:keepLines w:val="0"/>
        <w:pageBreakBefore w:val="0"/>
        <w:tabs>
          <w:tab w:val="left" w:pos="2415"/>
        </w:tabs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24"/>
          <w:lang w:val="en-US" w:eastAsia="zh-CN" w:bidi="ar-SA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>合理安排施工时间，选用低噪声设备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采取隔声、减振、消声等降噪措施减少噪声影响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加强各类施工设备的维护和保养，保持其良好的运转，降低噪声源强；施工采用人工和机械相结合的方式，减少机械噪声。厂界噪声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需满足</w:t>
      </w:r>
      <w:r>
        <w:rPr>
          <w:rFonts w:hint="eastAsia" w:ascii="仿宋" w:hAnsi="仿宋" w:eastAsia="仿宋" w:cs="仿宋"/>
          <w:sz w:val="32"/>
          <w:szCs w:val="32"/>
        </w:rPr>
        <w:t>《工业企业厂界环境噪声排放标准》(GB12348-2008)2类标准要求。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24"/>
          <w:lang w:val="en-US" w:eastAsia="zh-CN" w:bidi="ar-SA"/>
        </w:rPr>
        <w:t>7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严格落实</w:t>
      </w:r>
      <w:r>
        <w:rPr>
          <w:rFonts w:hint="eastAsia" w:ascii="仿宋" w:hAnsi="仿宋" w:eastAsia="仿宋" w:cs="仿宋"/>
          <w:spacing w:val="20"/>
          <w:sz w:val="32"/>
          <w:szCs w:val="32"/>
        </w:rPr>
        <w:t>《报告书》</w:t>
      </w:r>
      <w:r>
        <w:rPr>
          <w:rFonts w:hint="eastAsia" w:ascii="仿宋" w:hAnsi="仿宋" w:eastAsia="仿宋" w:cs="仿宋"/>
          <w:sz w:val="32"/>
          <w:szCs w:val="32"/>
        </w:rPr>
        <w:t>和《技术评估报告》</w:t>
      </w:r>
      <w:r>
        <w:rPr>
          <w:rFonts w:hint="eastAsia" w:ascii="仿宋" w:hAnsi="仿宋" w:eastAsia="仿宋" w:cs="仿宋"/>
          <w:spacing w:val="20"/>
          <w:sz w:val="32"/>
          <w:szCs w:val="32"/>
        </w:rPr>
        <w:t>提出的固废污染防治</w:t>
      </w:r>
      <w:r>
        <w:rPr>
          <w:rFonts w:hint="eastAsia" w:ascii="仿宋" w:hAnsi="仿宋" w:eastAsia="仿宋" w:cs="仿宋"/>
          <w:sz w:val="32"/>
          <w:szCs w:val="32"/>
        </w:rPr>
        <w:t>措施。根据国家和地方的有关规定，按照“减量化、资源化、无害化”原则，对固体废物进行分类收集、处理和处置，确保不造成二次污染。各类固废严格按照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《危险废物贮存污染控制标准》</w:t>
      </w:r>
      <w:r>
        <w:rPr>
          <w:rFonts w:hint="eastAsia" w:ascii="仿宋" w:hAnsi="仿宋" w:eastAsia="仿宋" w:cs="仿宋"/>
          <w:sz w:val="32"/>
          <w:szCs w:val="32"/>
        </w:rPr>
        <w:t>及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《一般工业固体废物贮存和填埋污染控制标准》的要求，分类做好</w:t>
      </w:r>
      <w:r>
        <w:rPr>
          <w:rFonts w:hint="eastAsia" w:ascii="仿宋" w:hAnsi="仿宋" w:eastAsia="仿宋" w:cs="仿宋"/>
          <w:sz w:val="32"/>
          <w:szCs w:val="32"/>
        </w:rPr>
        <w:t>存贮和安全处置工作。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废弃泥浆、钻井岩屑及废压裂液送有资质单位进行处理，未沾染废矿物油的废防渗材料完井收集后外售综合利用；沾染有矿物油废防渗材料、废机油、废油桶由专用桶收集后由有资质单位处理；生活垃圾由环卫部门统一处置。废蓄电池采用专用容器收集，暂存于各集气站的危废暂存库内，定期送有资质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8.建立健全环境风险应急处理机制，严格落实各项环境风险处理措施、生态平衡保护机制，防止环境风险带来的生态环境破坏。</w:t>
      </w:r>
    </w:p>
    <w:p>
      <w:pPr>
        <w:keepNext w:val="0"/>
        <w:keepLines w:val="0"/>
        <w:pageBreakBefore w:val="0"/>
        <w:tabs>
          <w:tab w:val="left" w:pos="985"/>
        </w:tabs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zh-TW" w:eastAsia="zh-TW" w:bidi="zh-TW"/>
        </w:rPr>
      </w:pPr>
      <w:r>
        <w:rPr>
          <w:rFonts w:hint="eastAsia" w:ascii="仿宋" w:hAnsi="仿宋" w:eastAsia="仿宋" w:cs="仿宋"/>
          <w:sz w:val="32"/>
          <w:szCs w:val="32"/>
          <w:lang w:val="zh-TW" w:bidi="zh-TW"/>
        </w:rPr>
        <w:t>三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、项目建设必须严格执行环境保护“三同时</w:t>
      </w:r>
      <w:r>
        <w:rPr>
          <w:rFonts w:hint="eastAsia" w:ascii="仿宋" w:hAnsi="仿宋" w:eastAsia="仿宋" w:cs="仿宋"/>
          <w:sz w:val="32"/>
          <w:szCs w:val="32"/>
          <w:lang w:val="zh-TW" w:eastAsia="zh-CN" w:bidi="zh-TW"/>
        </w:rPr>
        <w:t>”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制度。工程竣工后，须按照规定程序实施竣工环境保护验收。</w:t>
      </w:r>
    </w:p>
    <w:p>
      <w:pPr>
        <w:keepNext w:val="0"/>
        <w:keepLines w:val="0"/>
        <w:pageBreakBefore w:val="0"/>
        <w:tabs>
          <w:tab w:val="left" w:pos="985"/>
        </w:tabs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zh-TW" w:eastAsia="zh-TW" w:bidi="zh-TW"/>
        </w:rPr>
      </w:pPr>
      <w:r>
        <w:rPr>
          <w:rFonts w:hint="eastAsia" w:ascii="仿宋" w:hAnsi="仿宋" w:eastAsia="仿宋" w:cs="仿宋"/>
          <w:sz w:val="32"/>
          <w:szCs w:val="32"/>
          <w:lang w:val="zh-TW" w:bidi="zh-TW"/>
        </w:rPr>
        <w:t>四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、你公司应在收到本批复20日内，将《报告书》（报批版）及批复文件送至鄂尔多斯市生态环境局</w:t>
      </w:r>
      <w:r>
        <w:rPr>
          <w:rFonts w:hint="eastAsia" w:ascii="仿宋" w:hAnsi="仿宋" w:eastAsia="仿宋" w:cs="仿宋"/>
          <w:sz w:val="32"/>
          <w:szCs w:val="32"/>
          <w:lang w:val="zh-TW" w:bidi="zh-TW"/>
        </w:rPr>
        <w:t>鄂托克旗分局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，我局委托鄂尔多斯市生态环境局</w:t>
      </w:r>
      <w:r>
        <w:rPr>
          <w:rFonts w:hint="eastAsia" w:ascii="仿宋" w:hAnsi="仿宋" w:eastAsia="仿宋" w:cs="仿宋"/>
          <w:sz w:val="32"/>
          <w:szCs w:val="32"/>
          <w:lang w:val="zh-TW" w:bidi="zh-TW"/>
        </w:rPr>
        <w:t>鄂托克旗分局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负责该项目的日常监管工作。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lang w:val="zh-TW" w:bidi="zh-TW"/>
        </w:rPr>
      </w:pPr>
      <w:r>
        <w:rPr>
          <w:rFonts w:hint="eastAsia" w:ascii="仿宋" w:hAnsi="仿宋" w:eastAsia="仿宋" w:cs="仿宋"/>
          <w:sz w:val="32"/>
          <w:szCs w:val="32"/>
          <w:lang w:val="zh-TW" w:bidi="zh-TW"/>
        </w:rPr>
        <w:t>五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、该项目从批准之日起超过5年方决定开工建设，其环评文件应重新审核。如果项目建设地点、规模、工艺、防治污染和防止生态破坏的措施等发生重大变化时</w:t>
      </w:r>
      <w:r>
        <w:rPr>
          <w:rFonts w:hint="eastAsia" w:ascii="仿宋" w:hAnsi="仿宋" w:eastAsia="仿宋" w:cs="仿宋"/>
          <w:sz w:val="32"/>
          <w:szCs w:val="32"/>
          <w:lang w:val="zh-TW" w:eastAsia="zh-CN" w:bidi="zh-TW"/>
        </w:rPr>
        <w:t>，</w:t>
      </w:r>
      <w:r>
        <w:rPr>
          <w:rFonts w:hint="eastAsia" w:ascii="仿宋" w:hAnsi="仿宋" w:eastAsia="仿宋" w:cs="仿宋"/>
          <w:sz w:val="32"/>
          <w:szCs w:val="32"/>
          <w:lang w:val="zh-TW" w:eastAsia="zh-TW" w:bidi="zh-TW"/>
        </w:rPr>
        <w:t>需重新报批环评文件。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  <w:lang w:val="zh-TW" w:bidi="zh-TW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lang w:val="zh-TW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800" w:firstLineChars="1500"/>
        <w:jc w:val="both"/>
        <w:textAlignment w:val="auto"/>
        <w:rPr>
          <w:rFonts w:ascii="仿宋_GB2312" w:hAnsi="仿宋_GB2312" w:eastAsia="仿宋_GB2312" w:cs="仿宋_GB2312"/>
          <w:sz w:val="32"/>
          <w:szCs w:val="32"/>
          <w:lang w:val="zh-TW" w:bidi="zh-T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TW" w:bidi="zh-TW"/>
        </w:rPr>
        <w:t>鄂尔多斯市生态环境局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5120" w:firstLineChars="1600"/>
        <w:jc w:val="both"/>
        <w:textAlignment w:val="auto"/>
        <w:rPr>
          <w:rFonts w:ascii="仿宋_GB2312" w:hAnsi="仿宋_GB2312" w:eastAsia="仿宋_GB2312" w:cs="仿宋_GB2312"/>
          <w:sz w:val="32"/>
          <w:szCs w:val="32"/>
          <w:lang w:bidi="zh-T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zh-TW"/>
        </w:rPr>
        <w:t>202</w:t>
      </w:r>
      <w:r>
        <w:rPr>
          <w:rFonts w:ascii="仿宋_GB2312" w:hAnsi="仿宋_GB2312" w:eastAsia="仿宋_GB2312" w:cs="仿宋_GB2312"/>
          <w:sz w:val="32"/>
          <w:szCs w:val="32"/>
          <w:lang w:bidi="zh-TW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bidi="zh-TW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zh-TW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bidi="zh-TW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zh-TW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  <w:lang w:bidi="zh-TW"/>
        </w:rPr>
        <w:t>日</w:t>
      </w: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Style w:val="2"/>
        <w:ind w:left="0" w:leftChars="0" w:firstLine="0" w:firstLineChars="0"/>
        <w:rPr>
          <w:rFonts w:ascii="Times New Roman" w:hAnsi="Times New Roman" w:eastAsia="仿宋_GB2312" w:cs="Times New Roman"/>
          <w:sz w:val="32"/>
          <w:szCs w:val="24"/>
        </w:rPr>
      </w:pPr>
    </w:p>
    <w:p/>
    <w:p>
      <w:pPr>
        <w:pStyle w:val="2"/>
      </w:pPr>
    </w:p>
    <w:p/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pBdr>
          <w:top w:val="single" w:color="auto" w:sz="4" w:space="0"/>
          <w:bottom w:val="single" w:color="auto" w:sz="4" w:space="0"/>
        </w:pBdr>
        <w:spacing w:line="440" w:lineRule="exact"/>
        <w:rPr>
          <w:rFonts w:hint="eastAsia" w:ascii="仿宋" w:hAnsi="仿宋" w:eastAsia="仿宋" w:cs="仿宋"/>
          <w:sz w:val="28"/>
          <w:szCs w:val="28"/>
          <w:lang w:val="zh-TW" w:eastAsia="zh-TW" w:bidi="zh-TW"/>
        </w:rPr>
      </w:pPr>
      <w:r>
        <w:rPr>
          <w:rFonts w:hint="eastAsia" w:ascii="仿宋" w:hAnsi="仿宋" w:eastAsia="仿宋" w:cs="仿宋"/>
          <w:sz w:val="28"/>
          <w:szCs w:val="28"/>
          <w:lang w:val="zh-TW" w:eastAsia="zh-TW" w:bidi="zh-TW"/>
        </w:rPr>
        <w:t>抄送：鄂尔多斯市生态环境</w:t>
      </w:r>
      <w:r>
        <w:rPr>
          <w:rFonts w:hint="eastAsia" w:ascii="仿宋" w:hAnsi="仿宋" w:eastAsia="仿宋" w:cs="仿宋"/>
          <w:sz w:val="28"/>
          <w:szCs w:val="28"/>
          <w:lang w:val="zh-TW" w:bidi="zh-TW"/>
        </w:rPr>
        <w:t>局鄂托克旗</w:t>
      </w:r>
      <w:r>
        <w:rPr>
          <w:rFonts w:hint="eastAsia" w:ascii="仿宋" w:hAnsi="仿宋" w:eastAsia="仿宋" w:cs="仿宋"/>
          <w:sz w:val="28"/>
          <w:szCs w:val="28"/>
          <w:lang w:val="zh-TW" w:eastAsia="zh-TW" w:bidi="zh-TW"/>
        </w:rPr>
        <w:t>分局</w:t>
      </w:r>
      <w:r>
        <w:rPr>
          <w:rFonts w:hint="eastAsia" w:ascii="仿宋" w:hAnsi="仿宋" w:eastAsia="仿宋" w:cs="仿宋"/>
          <w:sz w:val="28"/>
          <w:szCs w:val="28"/>
          <w:lang w:val="zh-TW" w:bidi="zh-TW"/>
        </w:rPr>
        <w:t>，市生态环境局综合保障中心</w:t>
      </w:r>
      <w:r>
        <w:rPr>
          <w:rFonts w:hint="eastAsia" w:ascii="仿宋" w:hAnsi="仿宋" w:eastAsia="仿宋" w:cs="仿宋"/>
          <w:sz w:val="28"/>
          <w:szCs w:val="28"/>
          <w:lang w:val="zh-TW" w:eastAsia="zh-CN" w:bidi="zh-TW"/>
        </w:rPr>
        <w:t>、</w:t>
      </w:r>
      <w:r>
        <w:rPr>
          <w:rFonts w:hint="eastAsia" w:ascii="仿宋" w:hAnsi="仿宋" w:eastAsia="仿宋" w:cs="仿宋"/>
          <w:sz w:val="28"/>
          <w:szCs w:val="28"/>
          <w:lang w:val="zh-TW" w:eastAsia="zh-TW" w:bidi="zh-TW"/>
        </w:rPr>
        <w:t>市</w:t>
      </w:r>
      <w:r>
        <w:rPr>
          <w:rFonts w:hint="eastAsia" w:ascii="仿宋" w:hAnsi="仿宋" w:eastAsia="仿宋" w:cs="仿宋"/>
          <w:sz w:val="28"/>
          <w:szCs w:val="28"/>
          <w:lang w:val="zh-TW" w:bidi="zh-TW"/>
        </w:rPr>
        <w:t>生态</w:t>
      </w:r>
      <w:r>
        <w:rPr>
          <w:rFonts w:hint="eastAsia" w:ascii="仿宋" w:hAnsi="仿宋" w:eastAsia="仿宋" w:cs="仿宋"/>
          <w:sz w:val="28"/>
          <w:szCs w:val="28"/>
          <w:lang w:val="zh-TW" w:eastAsia="zh-TW" w:bidi="zh-TW"/>
        </w:rPr>
        <w:t>环境</w:t>
      </w:r>
      <w:r>
        <w:rPr>
          <w:rFonts w:hint="eastAsia" w:ascii="仿宋" w:hAnsi="仿宋" w:eastAsia="仿宋" w:cs="仿宋"/>
          <w:sz w:val="28"/>
          <w:szCs w:val="28"/>
          <w:lang w:val="zh-TW" w:bidi="zh-TW"/>
        </w:rPr>
        <w:t>综合行政执法</w:t>
      </w:r>
      <w:r>
        <w:rPr>
          <w:rFonts w:hint="eastAsia" w:ascii="仿宋" w:hAnsi="仿宋" w:eastAsia="仿宋" w:cs="仿宋"/>
          <w:sz w:val="28"/>
          <w:szCs w:val="28"/>
          <w:lang w:val="zh-TW" w:eastAsia="zh-TW" w:bidi="zh-TW"/>
        </w:rPr>
        <w:t>支队，陕西徳让环境科技有限公司。</w:t>
      </w:r>
    </w:p>
    <w:p>
      <w:pPr>
        <w:pBdr>
          <w:bottom w:val="single" w:color="auto" w:sz="4" w:space="0"/>
        </w:pBdr>
        <w:tabs>
          <w:tab w:val="left" w:pos="5746"/>
        </w:tabs>
        <w:spacing w:line="440" w:lineRule="exact"/>
        <w:rPr>
          <w:rFonts w:hint="eastAsia" w:ascii="仿宋" w:hAnsi="仿宋" w:eastAsia="仿宋" w:cs="仿宋"/>
          <w:sz w:val="28"/>
          <w:szCs w:val="32"/>
          <w:lang w:val="zh-TW" w:eastAsia="zh-TW" w:bidi="zh-TW"/>
        </w:rPr>
      </w:pPr>
      <w:r>
        <w:rPr>
          <w:rFonts w:hint="eastAsia" w:ascii="仿宋" w:hAnsi="仿宋" w:eastAsia="仿宋" w:cs="仿宋"/>
          <w:sz w:val="28"/>
          <w:szCs w:val="28"/>
          <w:lang w:val="zh-TW" w:eastAsia="zh-TW" w:bidi="zh-TW"/>
        </w:rPr>
        <w:t>鄂尔多斯市生态环境局</w:t>
      </w:r>
      <w:r>
        <w:rPr>
          <w:rFonts w:hint="eastAsia" w:ascii="仿宋" w:hAnsi="仿宋" w:eastAsia="仿宋" w:cs="仿宋"/>
          <w:color w:val="000000"/>
          <w:sz w:val="28"/>
          <w:szCs w:val="28"/>
          <w:lang w:val="zh-TW" w:eastAsia="zh-TW" w:bidi="zh-TW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  <w:lang w:bidi="zh-TW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  <w:lang w:val="zh-TW" w:eastAsia="zh-TW" w:bidi="zh-TW"/>
        </w:rPr>
        <w:t>20</w:t>
      </w:r>
      <w:r>
        <w:rPr>
          <w:rFonts w:hint="eastAsia" w:ascii="仿宋" w:hAnsi="仿宋" w:eastAsia="仿宋" w:cs="仿宋"/>
          <w:color w:val="000000"/>
          <w:sz w:val="28"/>
          <w:szCs w:val="28"/>
          <w:lang w:val="zh-TW" w:bidi="zh-TW"/>
        </w:rPr>
        <w:t>2</w:t>
      </w:r>
      <w:r>
        <w:rPr>
          <w:rFonts w:hint="eastAsia" w:ascii="仿宋" w:hAnsi="仿宋" w:eastAsia="仿宋" w:cs="仿宋"/>
          <w:color w:val="000000"/>
          <w:sz w:val="28"/>
          <w:szCs w:val="28"/>
          <w:lang w:val="zh-TW" w:eastAsia="zh-TW" w:bidi="zh-TW"/>
        </w:rPr>
        <w:t>3年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 w:bidi="zh-TW"/>
        </w:rPr>
        <w:t>6</w:t>
      </w:r>
      <w:r>
        <w:rPr>
          <w:rFonts w:hint="eastAsia" w:ascii="仿宋" w:hAnsi="仿宋" w:eastAsia="仿宋" w:cs="仿宋"/>
          <w:color w:val="000000"/>
          <w:sz w:val="28"/>
          <w:szCs w:val="28"/>
          <w:lang w:val="zh-TW" w:eastAsia="zh-TW" w:bidi="zh-TW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 w:bidi="zh-TW"/>
        </w:rPr>
        <w:t>29</w:t>
      </w:r>
      <w:r>
        <w:rPr>
          <w:rFonts w:hint="eastAsia" w:ascii="仿宋" w:hAnsi="仿宋" w:eastAsia="仿宋" w:cs="仿宋"/>
          <w:color w:val="000000"/>
          <w:sz w:val="28"/>
          <w:szCs w:val="28"/>
          <w:lang w:val="zh-TW" w:eastAsia="zh-TW" w:bidi="zh-TW"/>
        </w:rPr>
        <w:t>日印发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134" w:left="1588" w:header="851" w:footer="737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tabs>
        <w:tab w:val="clear" w:pos="4153"/>
        <w:tab w:val="clear" w:pos="8306"/>
      </w:tabs>
      <w:ind w:right="218" w:rightChars="104" w:firstLine="560"/>
      <w:jc w:val="right"/>
      <w:rPr>
        <w:rFonts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5 -</w:t>
    </w:r>
    <w:r>
      <w:rPr>
        <w:rFonts w:hint="eastAsia" w:ascii="宋体" w:eastAsia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tabs>
        <w:tab w:val="clear" w:pos="4153"/>
        <w:tab w:val="clear" w:pos="8306"/>
      </w:tabs>
      <w:ind w:firstLine="560"/>
      <w:rPr>
        <w:rFonts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4 -</w:t>
    </w:r>
    <w:r>
      <w:rPr>
        <w:rFonts w:hint="eastAsia" w:ascii="宋体" w:eastAsia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tabs>
        <w:tab w:val="clear" w:pos="4153"/>
        <w:tab w:val="clear" w:pos="8306"/>
      </w:tabs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tabs>
        <w:tab w:val="left" w:pos="4200"/>
        <w:tab w:val="left" w:pos="4620"/>
        <w:tab w:val="left" w:pos="5040"/>
        <w:tab w:val="left" w:pos="5520"/>
        <w:tab w:val="clear" w:pos="4153"/>
        <w:tab w:val="clear" w:pos="8306"/>
      </w:tabs>
      <w:ind w:firstLine="360"/>
      <w:jc w:val="left"/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iMDc0M2M3NGUwMjY5NGMyMGQzMDAzMDBhMGMxYjkifQ=="/>
  </w:docVars>
  <w:rsids>
    <w:rsidRoot w:val="00E3272C"/>
    <w:rsid w:val="002D1DCF"/>
    <w:rsid w:val="00405B3D"/>
    <w:rsid w:val="00586B81"/>
    <w:rsid w:val="005E42B3"/>
    <w:rsid w:val="00920FA6"/>
    <w:rsid w:val="009C4B0C"/>
    <w:rsid w:val="00AC05AA"/>
    <w:rsid w:val="00AD5F4F"/>
    <w:rsid w:val="00E3272C"/>
    <w:rsid w:val="00E43E01"/>
    <w:rsid w:val="00F23CC7"/>
    <w:rsid w:val="00F40198"/>
    <w:rsid w:val="063C11A1"/>
    <w:rsid w:val="07896C01"/>
    <w:rsid w:val="13783B0B"/>
    <w:rsid w:val="28DF60E7"/>
    <w:rsid w:val="32FA51B9"/>
    <w:rsid w:val="34E23F87"/>
    <w:rsid w:val="5289589A"/>
    <w:rsid w:val="5CA838BF"/>
    <w:rsid w:val="5E854E37"/>
    <w:rsid w:val="713B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1"/>
    <w:qFormat/>
    <w:uiPriority w:val="0"/>
    <w:pPr>
      <w:keepNext/>
      <w:widowControl w:val="0"/>
      <w:spacing w:line="360" w:lineRule="auto"/>
    </w:pPr>
    <w:rPr>
      <w:rFonts w:eastAsia="宋体"/>
      <w:sz w:val="24"/>
    </w:rPr>
  </w:style>
  <w:style w:type="paragraph" w:styleId="4">
    <w:name w:val="Normal Indent"/>
    <w:basedOn w:val="1"/>
    <w:next w:val="2"/>
    <w:qFormat/>
    <w:uiPriority w:val="0"/>
    <w:pPr>
      <w:ind w:firstLine="200" w:firstLineChars="200"/>
    </w:pPr>
  </w:style>
  <w:style w:type="paragraph" w:styleId="5">
    <w:name w:val="Salutation"/>
    <w:basedOn w:val="1"/>
    <w:next w:val="1"/>
    <w:link w:val="16"/>
    <w:unhideWhenUsed/>
    <w:qFormat/>
    <w:uiPriority w:val="99"/>
    <w:rPr>
      <w:rFonts w:ascii="仿宋_GB2312" w:hAnsi="仿宋_GB2312" w:eastAsia="仿宋_GB2312" w:cs="仿宋_GB2312"/>
      <w:sz w:val="32"/>
      <w:szCs w:val="32"/>
      <w:lang w:val="zh-TW" w:eastAsia="zh-TW" w:bidi="zh-TW"/>
    </w:rPr>
  </w:style>
  <w:style w:type="paragraph" w:styleId="6">
    <w:name w:val="Closing"/>
    <w:basedOn w:val="1"/>
    <w:link w:val="17"/>
    <w:unhideWhenUsed/>
    <w:qFormat/>
    <w:uiPriority w:val="99"/>
    <w:pPr>
      <w:ind w:left="100" w:leftChars="2100"/>
    </w:pPr>
    <w:rPr>
      <w:rFonts w:ascii="仿宋_GB2312" w:hAnsi="仿宋_GB2312" w:eastAsia="仿宋_GB2312" w:cs="仿宋_GB2312"/>
      <w:sz w:val="32"/>
      <w:szCs w:val="32"/>
      <w:lang w:val="zh-TW" w:eastAsia="zh-TW" w:bidi="zh-TW"/>
    </w:r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Plain Text"/>
    <w:basedOn w:val="1"/>
    <w:next w:val="5"/>
    <w:qFormat/>
    <w:uiPriority w:val="0"/>
    <w:rPr>
      <w:rFonts w:ascii="宋体" w:hAnsi="Courier New"/>
    </w:rPr>
  </w:style>
  <w:style w:type="paragraph" w:styleId="9">
    <w:name w:val="footer"/>
    <w:basedOn w:val="1"/>
    <w:next w:val="1"/>
    <w:link w:val="14"/>
    <w:qFormat/>
    <w:uiPriority w:val="0"/>
    <w:pPr>
      <w:tabs>
        <w:tab w:val="center" w:pos="4153"/>
        <w:tab w:val="right" w:pos="8306"/>
      </w:tabs>
      <w:snapToGrid w:val="0"/>
      <w:ind w:firstLine="200" w:firstLineChars="200"/>
      <w:jc w:val="left"/>
    </w:pPr>
    <w:rPr>
      <w:rFonts w:ascii="Times New Roman" w:hAnsi="Times New Roman" w:eastAsia="仿宋_GB2312" w:cs="Times New Roman"/>
      <w:sz w:val="18"/>
      <w:szCs w:val="18"/>
    </w:rPr>
  </w:style>
  <w:style w:type="paragraph" w:styleId="10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200" w:firstLineChars="200"/>
      <w:jc w:val="center"/>
    </w:pPr>
    <w:rPr>
      <w:rFonts w:ascii="Times New Roman" w:hAnsi="Times New Roman" w:eastAsia="仿宋_GB2312" w:cs="Times New Roman"/>
      <w:sz w:val="18"/>
      <w:szCs w:val="18"/>
    </w:rPr>
  </w:style>
  <w:style w:type="paragraph" w:customStyle="1" w:styleId="13">
    <w:name w:val="Default1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微软雅黑" w:cs="宋体"/>
      <w:color w:val="000000"/>
      <w:sz w:val="24"/>
      <w:szCs w:val="24"/>
      <w:lang w:val="en-US" w:eastAsia="zh-CN" w:bidi="ar-SA"/>
    </w:rPr>
  </w:style>
  <w:style w:type="character" w:customStyle="1" w:styleId="14">
    <w:name w:val="页脚 字符"/>
    <w:basedOn w:val="12"/>
    <w:link w:val="9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5">
    <w:name w:val="页眉 字符"/>
    <w:basedOn w:val="12"/>
    <w:link w:val="10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6">
    <w:name w:val="称呼 字符"/>
    <w:basedOn w:val="12"/>
    <w:link w:val="5"/>
    <w:qFormat/>
    <w:uiPriority w:val="99"/>
    <w:rPr>
      <w:rFonts w:ascii="仿宋_GB2312" w:hAnsi="仿宋_GB2312" w:eastAsia="仿宋_GB2312" w:cs="仿宋_GB2312"/>
      <w:sz w:val="32"/>
      <w:szCs w:val="32"/>
      <w:lang w:val="zh-TW" w:eastAsia="zh-TW" w:bidi="zh-TW"/>
    </w:rPr>
  </w:style>
  <w:style w:type="character" w:customStyle="1" w:styleId="17">
    <w:name w:val="结束语 字符"/>
    <w:basedOn w:val="12"/>
    <w:link w:val="6"/>
    <w:qFormat/>
    <w:uiPriority w:val="99"/>
    <w:rPr>
      <w:rFonts w:ascii="仿宋_GB2312" w:hAnsi="仿宋_GB2312" w:eastAsia="仿宋_GB2312" w:cs="仿宋_GB2312"/>
      <w:sz w:val="32"/>
      <w:szCs w:val="32"/>
      <w:lang w:val="zh-TW" w:eastAsia="zh-TW" w:bidi="zh-TW"/>
    </w:rPr>
  </w:style>
  <w:style w:type="paragraph" w:customStyle="1" w:styleId="18">
    <w:name w:val="Body text|2"/>
    <w:basedOn w:val="1"/>
    <w:qFormat/>
    <w:uiPriority w:val="0"/>
    <w:pPr>
      <w:spacing w:after="520" w:line="600" w:lineRule="exact"/>
      <w:jc w:val="center"/>
    </w:pPr>
    <w:rPr>
      <w:rFonts w:ascii="宋体" w:hAnsi="宋体" w:eastAsia="宋体" w:cs="宋体"/>
      <w:sz w:val="44"/>
      <w:szCs w:val="44"/>
      <w:lang w:val="zh-TW" w:eastAsia="zh-TW" w:bidi="zh-TW"/>
    </w:rPr>
  </w:style>
  <w:style w:type="paragraph" w:customStyle="1" w:styleId="19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2156</Words>
  <Characters>2254</Characters>
  <Lines>18</Lines>
  <Paragraphs>5</Paragraphs>
  <TotalTime>36</TotalTime>
  <ScaleCrop>false</ScaleCrop>
  <LinksUpToDate>false</LinksUpToDate>
  <CharactersWithSpaces>2257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2023-03-31T02:57:00Z</dcterms:created>
  <dc:creator>West Phoenix</dc:creator>
  <cp:lastModifiedBy>Administrator</cp:lastModifiedBy>
  <cp:lastPrinted>2023-06-29T08:46:00Z</cp:lastPrinted>
  <dcterms:modified xsi:type="dcterms:W3CDTF">2023-06-29T09:56:05Z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7E0F2700068246B58DAA70744F9EE10C_13</vt:lpwstr>
  </property>
</Properties>
</file>