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hint="eastAsia"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4"/>
        <w:keepNext w:val="0"/>
        <w:keepLines w:val="0"/>
        <w:pageBreakBefore w:val="0"/>
        <w:widowControl w:val="0"/>
        <w:kinsoku/>
        <w:wordWrap/>
        <w:overflowPunct/>
        <w:topLinePunct w:val="0"/>
        <w:autoSpaceDE/>
        <w:autoSpaceDN/>
        <w:bidi w:val="0"/>
        <w:spacing w:line="600" w:lineRule="exact"/>
        <w:ind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4"/>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r>
        <w:rPr>
          <w:highlight w:val="none"/>
        </w:rPr>
        <w:t>鄂环</w:t>
      </w:r>
      <w:r>
        <w:rPr>
          <w:rFonts w:hint="eastAsia"/>
          <w:highlight w:val="none"/>
        </w:rPr>
        <w:t>审</w:t>
      </w:r>
      <w:r>
        <w:rPr>
          <w:highlight w:val="none"/>
        </w:rPr>
        <w:t>字〔</w:t>
      </w:r>
      <w:r>
        <w:rPr>
          <w:rFonts w:hint="eastAsia"/>
          <w:highlight w:val="none"/>
        </w:rPr>
        <w:t>202</w:t>
      </w:r>
      <w:r>
        <w:rPr>
          <w:rFonts w:hint="eastAsia"/>
          <w:highlight w:val="none"/>
          <w:lang w:val="en-US" w:eastAsia="zh-CN"/>
        </w:rPr>
        <w:t>3</w:t>
      </w:r>
      <w:r>
        <w:rPr>
          <w:highlight w:val="none"/>
        </w:rPr>
        <w:t>〕</w:t>
      </w:r>
      <w:r>
        <w:rPr>
          <w:rFonts w:hint="eastAsia"/>
          <w:highlight w:val="none"/>
          <w:lang w:val="en-US" w:eastAsia="zh-CN"/>
        </w:rPr>
        <w:t>81</w:t>
      </w:r>
      <w:r>
        <w:rPr>
          <w:highlight w:val="none"/>
        </w:rPr>
        <w:t>号</w:t>
      </w:r>
    </w:p>
    <w:p>
      <w:pPr>
        <w:keepNext w:val="0"/>
        <w:keepLines w:val="0"/>
        <w:pageBreakBefore w:val="0"/>
        <w:widowControl w:val="0"/>
        <w:tabs>
          <w:tab w:val="left" w:pos="6780"/>
        </w:tabs>
        <w:kinsoku/>
        <w:wordWrap/>
        <w:overflowPunct/>
        <w:topLinePunct w:val="0"/>
        <w:autoSpaceDE/>
        <w:autoSpaceDN/>
        <w:bidi w:val="0"/>
        <w:spacing w:line="600" w:lineRule="exact"/>
        <w:ind w:firstLine="0" w:firstLineChars="0"/>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eastAsia="宋体"/>
          <w:b/>
          <w:w w:val="95"/>
          <w:sz w:val="44"/>
          <w:szCs w:val="44"/>
          <w:highlight w:val="none"/>
        </w:rPr>
      </w:pPr>
      <w:r>
        <w:rPr>
          <w:rFonts w:eastAsia="宋体"/>
          <w:b/>
          <w:w w:val="95"/>
          <w:sz w:val="44"/>
          <w:szCs w:val="44"/>
          <w:highlight w:val="none"/>
        </w:rPr>
        <w:t>鄂尔多斯市生态环境局</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default" w:eastAsia="宋体"/>
          <w:b/>
          <w:w w:val="95"/>
          <w:sz w:val="44"/>
          <w:szCs w:val="44"/>
          <w:highlight w:val="none"/>
        </w:rPr>
      </w:pPr>
      <w:r>
        <w:rPr>
          <w:rFonts w:eastAsia="宋体"/>
          <w:b/>
          <w:w w:val="95"/>
          <w:sz w:val="44"/>
          <w:szCs w:val="44"/>
          <w:highlight w:val="none"/>
        </w:rPr>
        <w:t>关于</w:t>
      </w:r>
      <w:r>
        <w:rPr>
          <w:rFonts w:hint="default" w:eastAsia="宋体"/>
          <w:b/>
          <w:w w:val="95"/>
          <w:sz w:val="44"/>
          <w:szCs w:val="44"/>
          <w:highlight w:val="none"/>
        </w:rPr>
        <w:t>内蒙古鄂尔多斯电力冶金集团股份有限公司聚氯乙烯多品种树脂技术改造项目</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eastAsia="宋体"/>
          <w:b/>
          <w:w w:val="95"/>
          <w:sz w:val="44"/>
          <w:szCs w:val="44"/>
          <w:highlight w:val="none"/>
        </w:rPr>
      </w:pPr>
      <w:r>
        <w:rPr>
          <w:rFonts w:hint="eastAsia" w:eastAsia="宋体"/>
          <w:b/>
          <w:w w:val="95"/>
          <w:sz w:val="44"/>
          <w:szCs w:val="44"/>
          <w:highlight w:val="none"/>
        </w:rPr>
        <w:t>环境影响报告书的批复</w:t>
      </w:r>
    </w:p>
    <w:p>
      <w:pPr>
        <w:keepNext w:val="0"/>
        <w:keepLines w:val="0"/>
        <w:pageBreakBefore w:val="0"/>
        <w:widowControl w:val="0"/>
        <w:kinsoku/>
        <w:wordWrap/>
        <w:overflowPunct/>
        <w:topLinePunct w:val="0"/>
        <w:autoSpaceDE/>
        <w:autoSpaceDN/>
        <w:bidi w:val="0"/>
        <w:spacing w:line="600" w:lineRule="exact"/>
        <w:ind w:firstLine="723"/>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内蒙古鄂尔多斯电力冶金集团股份有限公司：</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你公司报送的由内蒙古腾烽环境检测有限公司编制的《内蒙古鄂尔多斯电力冶金集团股份有限公司聚氯乙烯多品种树脂技术改造项目环境影响报告书》（以下简称《报告书》）收悉，我局综合保障中心组织专家对该项目进行了技术评估，并形成了技术评估报告，根据《报告书》和《技术评估报告》，经研究，现批复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yellow"/>
          <w:lang w:val="en-US" w:eastAsia="zh-CN"/>
        </w:rPr>
      </w:pPr>
      <w:r>
        <w:rPr>
          <w:rFonts w:hint="eastAsia" w:ascii="仿宋_GB2312" w:hAnsi="仿宋_GB2312" w:cs="仿宋_GB2312"/>
          <w:color w:val="000000"/>
          <w:szCs w:val="32"/>
          <w:highlight w:val="none"/>
          <w:lang w:val="en-US" w:eastAsia="zh-CN"/>
        </w:rPr>
        <w:t>一、</w:t>
      </w:r>
      <w:r>
        <w:rPr>
          <w:rFonts w:hint="eastAsia" w:ascii="仿宋_GB2312" w:hAnsi="仿宋_GB2312" w:cs="仿宋_GB2312"/>
          <w:color w:val="000000"/>
          <w:szCs w:val="32"/>
          <w:highlight w:val="none"/>
        </w:rPr>
        <w:t>项目位于</w:t>
      </w:r>
      <w:r>
        <w:rPr>
          <w:rFonts w:hint="eastAsia" w:ascii="仿宋_GB2312" w:hAnsi="仿宋_GB2312" w:cs="仿宋_GB2312"/>
          <w:color w:val="000000"/>
          <w:szCs w:val="32"/>
          <w:highlight w:val="none"/>
          <w:lang w:eastAsia="zh-CN"/>
        </w:rPr>
        <w:t>内蒙古鄂托克经济开发区（棋盘井工业园区）</w:t>
      </w:r>
      <w:r>
        <w:rPr>
          <w:rFonts w:hint="eastAsia" w:ascii="仿宋_GB2312" w:hAnsi="仿宋_GB2312" w:cs="仿宋_GB2312"/>
          <w:color w:val="000000"/>
          <w:szCs w:val="32"/>
          <w:highlight w:val="none"/>
        </w:rPr>
        <w:t>内蒙古鄂尔多斯电力冶金集团股份有限公司</w:t>
      </w:r>
      <w:r>
        <w:rPr>
          <w:rFonts w:hint="eastAsia" w:ascii="仿宋_GB2312" w:hAnsi="仿宋_GB2312" w:cs="仿宋_GB2312"/>
          <w:color w:val="000000"/>
          <w:szCs w:val="32"/>
          <w:highlight w:val="none"/>
          <w:lang w:eastAsia="zh-CN"/>
        </w:rPr>
        <w:t>厂内</w:t>
      </w:r>
      <w:r>
        <w:rPr>
          <w:rFonts w:hint="eastAsia" w:ascii="仿宋_GB2312" w:hAnsi="仿宋_GB2312" w:cs="仿宋_GB2312"/>
          <w:color w:val="000000"/>
          <w:szCs w:val="32"/>
          <w:highlight w:val="none"/>
        </w:rPr>
        <w:t>。</w:t>
      </w:r>
      <w:r>
        <w:rPr>
          <w:rFonts w:hint="eastAsia" w:ascii="仿宋" w:hAnsi="仿宋" w:eastAsia="仿宋" w:cs="仿宋"/>
          <w:sz w:val="32"/>
          <w:szCs w:val="32"/>
          <w:highlight w:val="none"/>
        </w:rPr>
        <w:t>20</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8年</w:t>
      </w: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,原鄂尔多斯市环境保护局以鄂环评字〔2018〕151号文对《内蒙古鄂尔多斯电力冶金集团股份有限责任公司40万吨/年聚氯乙烯及烧碱项目环境影响报告书》进行了批复。</w:t>
      </w:r>
    </w:p>
    <w:p>
      <w:pPr>
        <w:pStyle w:val="7"/>
        <w:snapToGrid w:val="0"/>
        <w:spacing w:after="0" w:line="560" w:lineRule="exact"/>
        <w:ind w:left="0" w:leftChars="0" w:firstLine="0" w:firstLineChars="0"/>
        <w:rPr>
          <w:rFonts w:hint="default" w:ascii="仿宋_GB2312" w:hAnsi="仿宋_GB2312" w:cs="仿宋_GB2312"/>
          <w:color w:val="000000"/>
          <w:szCs w:val="32"/>
          <w:highlight w:val="none"/>
          <w:lang w:val="en-US" w:eastAsia="zh-CN"/>
        </w:rPr>
      </w:pPr>
      <w:r>
        <w:rPr>
          <w:rFonts w:hint="eastAsia" w:ascii="仿宋_GB2312" w:hAnsi="仿宋_GB2312" w:cs="仿宋_GB2312"/>
          <w:color w:val="000000"/>
          <w:szCs w:val="32"/>
          <w:highlight w:val="none"/>
        </w:rPr>
        <w:t>本次</w:t>
      </w:r>
      <w:r>
        <w:rPr>
          <w:rFonts w:hint="eastAsia" w:ascii="仿宋_GB2312" w:hAnsi="仿宋_GB2312" w:cs="仿宋_GB2312"/>
          <w:color w:val="000000"/>
          <w:szCs w:val="32"/>
          <w:highlight w:val="none"/>
          <w:lang w:val="en-US" w:eastAsia="zh-CN"/>
        </w:rPr>
        <w:t>技改主要将</w:t>
      </w:r>
      <w:r>
        <w:rPr>
          <w:rFonts w:hint="eastAsia" w:ascii="仿宋" w:hAnsi="仿宋" w:eastAsia="仿宋" w:cs="仿宋"/>
          <w:bCs/>
          <w:kern w:val="2"/>
          <w:sz w:val="32"/>
          <w:szCs w:val="32"/>
          <w:lang w:val="en-US" w:eastAsia="zh-CN" w:bidi="ar-SA"/>
        </w:rPr>
        <w:t>原有</w:t>
      </w:r>
      <w:r>
        <w:rPr>
          <w:rFonts w:hint="default" w:ascii="仿宋" w:hAnsi="仿宋" w:eastAsia="仿宋" w:cs="仿宋"/>
          <w:bCs/>
          <w:kern w:val="2"/>
          <w:sz w:val="32"/>
          <w:szCs w:val="32"/>
          <w:lang w:val="en-US" w:eastAsia="zh-CN" w:bidi="ar-SA"/>
        </w:rPr>
        <w:t>SG-5通用型树脂</w:t>
      </w:r>
      <w:r>
        <w:rPr>
          <w:rFonts w:hint="eastAsia" w:ascii="仿宋" w:hAnsi="仿宋" w:eastAsia="仿宋" w:cs="仿宋"/>
          <w:bCs/>
          <w:kern w:val="2"/>
          <w:sz w:val="32"/>
          <w:szCs w:val="32"/>
          <w:lang w:val="en-US" w:eastAsia="zh-CN" w:bidi="ar-SA"/>
        </w:rPr>
        <w:t>产能升级改造为高性能专用树脂</w:t>
      </w:r>
      <w:r>
        <w:rPr>
          <w:rFonts w:hint="default" w:ascii="仿宋" w:hAnsi="仿宋" w:eastAsia="仿宋" w:cs="仿宋"/>
          <w:bCs/>
          <w:kern w:val="2"/>
          <w:sz w:val="32"/>
          <w:szCs w:val="32"/>
          <w:lang w:val="en-US" w:eastAsia="zh-CN" w:bidi="ar-SA"/>
        </w:rPr>
        <w:t>，</w:t>
      </w:r>
      <w:r>
        <w:rPr>
          <w:rFonts w:hint="eastAsia" w:ascii="仿宋" w:hAnsi="仿宋" w:eastAsia="仿宋" w:cs="仿宋"/>
          <w:bCs/>
          <w:kern w:val="2"/>
          <w:sz w:val="32"/>
          <w:szCs w:val="32"/>
          <w:lang w:val="en-US" w:eastAsia="zh-CN" w:bidi="ar-SA"/>
        </w:rPr>
        <w:t>建设</w:t>
      </w:r>
      <w:r>
        <w:rPr>
          <w:rFonts w:hint="default" w:ascii="仿宋" w:hAnsi="仿宋" w:eastAsia="仿宋" w:cs="仿宋"/>
          <w:bCs/>
          <w:kern w:val="2"/>
          <w:sz w:val="32"/>
          <w:szCs w:val="32"/>
          <w:lang w:val="en-US" w:eastAsia="zh-CN" w:bidi="ar-SA"/>
        </w:rPr>
        <w:t>1条7万吨</w:t>
      </w:r>
      <w:r>
        <w:rPr>
          <w:rFonts w:hint="eastAsia" w:ascii="仿宋" w:hAnsi="仿宋" w:eastAsia="仿宋" w:cs="仿宋"/>
          <w:bCs/>
          <w:kern w:val="2"/>
          <w:sz w:val="32"/>
          <w:szCs w:val="32"/>
          <w:lang w:val="en-US" w:eastAsia="zh-CN" w:bidi="ar-SA"/>
        </w:rPr>
        <w:t>/</w:t>
      </w:r>
      <w:r>
        <w:rPr>
          <w:rFonts w:hint="default" w:ascii="仿宋" w:hAnsi="仿宋" w:eastAsia="仿宋" w:cs="仿宋"/>
          <w:bCs/>
          <w:kern w:val="2"/>
          <w:sz w:val="32"/>
          <w:szCs w:val="32"/>
          <w:lang w:val="en-US" w:eastAsia="zh-CN" w:bidi="ar-SA"/>
        </w:rPr>
        <w:t>年的多品种树脂生产线，</w:t>
      </w:r>
      <w:r>
        <w:rPr>
          <w:rFonts w:hint="eastAsia" w:ascii="仿宋" w:hAnsi="仿宋" w:eastAsia="仿宋" w:cs="仿宋"/>
          <w:bCs/>
          <w:sz w:val="32"/>
          <w:szCs w:val="32"/>
          <w:lang w:val="en-US" w:eastAsia="zh-CN"/>
        </w:rPr>
        <w:t>置换</w:t>
      </w:r>
      <w:r>
        <w:rPr>
          <w:rFonts w:hint="default" w:ascii="仿宋" w:hAnsi="仿宋" w:eastAsia="仿宋" w:cs="仿宋"/>
          <w:bCs/>
          <w:sz w:val="32"/>
          <w:szCs w:val="32"/>
          <w:lang w:val="en-US" w:eastAsia="zh-CN"/>
        </w:rPr>
        <w:t>原有项目40万t/a通用型树脂产能</w:t>
      </w:r>
      <w:r>
        <w:rPr>
          <w:rFonts w:hint="eastAsia" w:ascii="仿宋" w:hAnsi="仿宋" w:eastAsia="仿宋" w:cs="仿宋"/>
          <w:bCs/>
          <w:sz w:val="32"/>
          <w:szCs w:val="32"/>
          <w:lang w:val="en-US" w:eastAsia="zh-CN"/>
        </w:rPr>
        <w:t>中的</w:t>
      </w:r>
      <w:r>
        <w:rPr>
          <w:rFonts w:hint="default" w:ascii="仿宋" w:hAnsi="仿宋" w:eastAsia="仿宋" w:cs="仿宋"/>
          <w:bCs/>
          <w:sz w:val="32"/>
          <w:szCs w:val="32"/>
          <w:lang w:val="en-US" w:eastAsia="zh-CN"/>
        </w:rPr>
        <w:t>7万t</w:t>
      </w:r>
      <w:r>
        <w:rPr>
          <w:rFonts w:hint="eastAsia" w:ascii="仿宋" w:hAnsi="仿宋" w:eastAsia="仿宋" w:cs="仿宋"/>
          <w:bCs/>
          <w:sz w:val="32"/>
          <w:szCs w:val="32"/>
          <w:lang w:val="en-US" w:eastAsia="zh-CN"/>
        </w:rPr>
        <w:t>/a</w:t>
      </w:r>
      <w:r>
        <w:rPr>
          <w:rFonts w:hint="default" w:ascii="仿宋" w:hAnsi="仿宋" w:eastAsia="仿宋" w:cs="仿宋"/>
          <w:bCs/>
          <w:sz w:val="32"/>
          <w:szCs w:val="32"/>
          <w:lang w:val="en-US" w:eastAsia="zh-CN"/>
        </w:rPr>
        <w:t>，总产能40万t</w:t>
      </w:r>
      <w:r>
        <w:rPr>
          <w:rFonts w:hint="eastAsia" w:ascii="仿宋" w:hAnsi="仿宋" w:eastAsia="仿宋" w:cs="仿宋"/>
          <w:bCs/>
          <w:sz w:val="32"/>
          <w:szCs w:val="32"/>
          <w:lang w:val="en-US" w:eastAsia="zh-CN"/>
        </w:rPr>
        <w:t>/a</w:t>
      </w:r>
      <w:r>
        <w:rPr>
          <w:rFonts w:hint="default" w:ascii="仿宋" w:hAnsi="仿宋" w:eastAsia="仿宋" w:cs="仿宋"/>
          <w:bCs/>
          <w:sz w:val="32"/>
          <w:szCs w:val="32"/>
          <w:lang w:val="en-US" w:eastAsia="zh-CN"/>
        </w:rPr>
        <w:t>不变。建设PVC聚合、干燥包装装置1套以及配套的</w:t>
      </w:r>
      <w:r>
        <w:rPr>
          <w:rFonts w:hint="eastAsia" w:ascii="仿宋" w:hAnsi="仿宋" w:eastAsia="仿宋" w:cs="仿宋"/>
          <w:bCs/>
          <w:sz w:val="32"/>
          <w:szCs w:val="32"/>
          <w:lang w:val="en-US" w:eastAsia="zh-CN"/>
        </w:rPr>
        <w:t>环保、公辅工程等</w:t>
      </w:r>
      <w:r>
        <w:rPr>
          <w:rFonts w:hint="eastAsia" w:ascii="仿宋" w:hAnsi="仿宋" w:eastAsia="仿宋" w:cs="仿宋"/>
          <w:bCs/>
          <w:sz w:val="32"/>
          <w:szCs w:val="32"/>
          <w:lang w:eastAsia="zh-CN"/>
        </w:rPr>
        <w:t>，</w:t>
      </w:r>
      <w:r>
        <w:rPr>
          <w:rFonts w:hint="eastAsia" w:ascii="仿宋" w:hAnsi="仿宋" w:eastAsia="仿宋" w:cs="仿宋"/>
          <w:bCs/>
          <w:sz w:val="32"/>
          <w:szCs w:val="32"/>
        </w:rPr>
        <w:t>项目总投资</w:t>
      </w:r>
      <w:r>
        <w:rPr>
          <w:rFonts w:hint="default" w:ascii="仿宋" w:hAnsi="仿宋" w:eastAsia="仿宋" w:cs="仿宋"/>
          <w:bCs/>
          <w:sz w:val="32"/>
          <w:szCs w:val="32"/>
          <w:lang w:val="en-US" w:eastAsia="zh-CN"/>
        </w:rPr>
        <w:t>13430</w:t>
      </w:r>
      <w:r>
        <w:rPr>
          <w:rFonts w:hint="eastAsia" w:ascii="仿宋" w:hAnsi="仿宋" w:eastAsia="仿宋" w:cs="仿宋"/>
          <w:bCs/>
          <w:sz w:val="32"/>
          <w:szCs w:val="32"/>
        </w:rPr>
        <w:t>万元，环保投资为</w:t>
      </w:r>
      <w:bookmarkStart w:id="0" w:name="_GoBack"/>
      <w:r>
        <w:rPr>
          <w:rFonts w:hint="eastAsia" w:ascii="仿宋" w:hAnsi="仿宋" w:eastAsia="仿宋" w:cs="仿宋"/>
          <w:bCs/>
          <w:sz w:val="32"/>
          <w:szCs w:val="32"/>
          <w:lang w:val="en-US" w:eastAsia="zh-CN"/>
        </w:rPr>
        <w:t>191</w:t>
      </w:r>
      <w:bookmarkEnd w:id="0"/>
      <w:r>
        <w:rPr>
          <w:rFonts w:hint="eastAsia" w:ascii="仿宋" w:hAnsi="仿宋" w:eastAsia="仿宋" w:cs="仿宋"/>
          <w:bCs/>
          <w:sz w:val="32"/>
          <w:szCs w:val="32"/>
        </w:rPr>
        <w:t>万元</w:t>
      </w:r>
      <w:r>
        <w:rPr>
          <w:rFonts w:hint="eastAsia" w:ascii="仿宋" w:hAnsi="仿宋" w:eastAsia="仿宋" w:cs="仿宋"/>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报告书》和《技术评估报告》认为，在全面落实各项生态环境保护和环境污染防治措施的前提下，项目建设对环境的不利影响能够得到一定的缓解和控制。因此，我局原则同意你公司按照《报告书》和《技术评估报告》中所列的建设项目性质、规模、地点、工艺、环境保护措施进行建设。</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ascii="仿宋_GB2312" w:hAnsi="仿宋_GB2312" w:cs="仿宋_GB2312"/>
          <w:color w:val="000000"/>
          <w:szCs w:val="32"/>
          <w:highlight w:val="none"/>
        </w:rPr>
      </w:pPr>
      <w:r>
        <w:rPr>
          <w:rFonts w:hint="eastAsia" w:ascii="仿宋_GB2312" w:hAnsi="仿宋_GB2312" w:cs="仿宋_GB2312"/>
          <w:color w:val="000000"/>
          <w:szCs w:val="32"/>
          <w:highlight w:val="none"/>
        </w:rPr>
        <w:t>二、项目建设与运行管理中应重点做好的工作：</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仿宋_GB2312" w:cs="仿宋_GB2312"/>
          <w:color w:val="000000"/>
          <w:szCs w:val="32"/>
          <w:highlight w:val="yellow"/>
        </w:rPr>
      </w:pPr>
      <w:r>
        <w:rPr>
          <w:rFonts w:ascii="仿宋_GB2312" w:hAnsi="仿宋_GB2312" w:cs="仿宋_GB2312"/>
          <w:color w:val="000000"/>
          <w:szCs w:val="32"/>
          <w:highlight w:val="none"/>
        </w:rPr>
        <w:t>1.</w:t>
      </w:r>
      <w:r>
        <w:rPr>
          <w:rFonts w:hint="eastAsia" w:ascii="仿宋" w:hAnsi="仿宋" w:eastAsia="仿宋" w:cs="仿宋"/>
          <w:highlight w:val="none"/>
        </w:rPr>
        <w:t>加</w:t>
      </w:r>
      <w:r>
        <w:rPr>
          <w:rFonts w:hint="eastAsia" w:ascii="仿宋" w:hAnsi="仿宋" w:eastAsia="仿宋" w:cs="仿宋"/>
        </w:rPr>
        <w:t>强施工期环境管理，土石方开挖及设备安装过程中应严格按照设计要求施工，尽可能缩小施工活动范围，并及时采取场地洒水等措施，减少裸露土地面积和扬尘。施工场界设围墙或遮挡物；定时对施工现场扬尘区及道路洒水；严禁在施工场地焚烧废弃物。加强车辆运输的密闭管理。施工期产生的废水和固体废弃物须集中收集后统一处置。</w:t>
      </w:r>
    </w:p>
    <w:p>
      <w:pPr>
        <w:adjustRightInd w:val="0"/>
        <w:snapToGrid w:val="0"/>
        <w:spacing w:line="560" w:lineRule="exact"/>
        <w:ind w:firstLine="640" w:firstLineChars="200"/>
        <w:rPr>
          <w:rFonts w:hint="eastAsia" w:ascii="仿宋" w:hAnsi="仿宋" w:eastAsia="仿宋" w:cs="仿宋"/>
          <w:snapToGrid w:val="0"/>
          <w:kern w:val="24"/>
          <w:sz w:val="32"/>
          <w:szCs w:val="32"/>
          <w:lang w:bidi="he-IL"/>
        </w:rPr>
      </w:pPr>
      <w:r>
        <w:rPr>
          <w:rFonts w:hint="eastAsia" w:ascii="仿宋_GB2312" w:hAnsi="仿宋_GB2312" w:cs="仿宋_GB2312"/>
          <w:color w:val="000000"/>
          <w:szCs w:val="32"/>
          <w:highlight w:val="none"/>
        </w:rPr>
        <w:t>2</w:t>
      </w:r>
      <w:r>
        <w:rPr>
          <w:rFonts w:ascii="仿宋_GB2312" w:hAnsi="仿宋_GB2312" w:cs="仿宋_GB2312"/>
          <w:color w:val="000000"/>
          <w:szCs w:val="32"/>
          <w:highlight w:val="none"/>
        </w:rPr>
        <w:t>.</w:t>
      </w:r>
      <w:r>
        <w:rPr>
          <w:rFonts w:hint="eastAsia" w:ascii="仿宋_GB2312" w:hAnsi="仿宋_GB2312" w:cs="仿宋_GB2312"/>
          <w:color w:val="000000"/>
          <w:szCs w:val="32"/>
          <w:highlight w:val="none"/>
        </w:rPr>
        <w:t>认真落实《报告书》中提出的大气污染防治措施。</w:t>
      </w:r>
      <w:r>
        <w:rPr>
          <w:rFonts w:hint="eastAsia" w:ascii="仿宋_GB2312" w:hAnsi="仿宋_GB2312" w:cs="仿宋_GB2312"/>
          <w:color w:val="000000"/>
          <w:szCs w:val="32"/>
          <w:highlight w:val="none"/>
          <w:lang w:val="en-US" w:eastAsia="zh-CN"/>
        </w:rPr>
        <w:t>PVC干燥过程产生的颗粒物、VCM及非甲烷总烃，采用1套布袋除尘器+1套两级活性炭吸附装置处理后经30m高的排气筒排放。</w:t>
      </w:r>
      <w:r>
        <w:rPr>
          <w:rFonts w:hint="default" w:ascii="仿宋" w:hAnsi="仿宋" w:eastAsia="仿宋" w:cs="仿宋"/>
          <w:color w:val="auto"/>
          <w:sz w:val="32"/>
          <w:szCs w:val="32"/>
          <w:highlight w:val="none"/>
          <w:vertAlign w:val="baseline"/>
          <w:lang w:val="en-US" w:eastAsia="zh-CN"/>
        </w:rPr>
        <w:t>聚氯乙烯筛分、包装过程</w:t>
      </w:r>
      <w:r>
        <w:rPr>
          <w:rFonts w:hint="eastAsia" w:ascii="仿宋" w:hAnsi="仿宋" w:eastAsia="仿宋" w:cs="仿宋"/>
          <w:color w:val="auto"/>
          <w:sz w:val="32"/>
          <w:szCs w:val="32"/>
          <w:highlight w:val="none"/>
          <w:vertAlign w:val="baseline"/>
          <w:lang w:val="en-US" w:eastAsia="zh-CN"/>
        </w:rPr>
        <w:t>及料仓产生的粉尘经1套布袋除尘器处理后经25m高的排气筒排放。</w:t>
      </w:r>
      <w:r>
        <w:rPr>
          <w:rFonts w:hint="eastAsia" w:ascii="仿宋" w:hAnsi="仿宋" w:eastAsia="仿宋" w:cs="仿宋"/>
          <w:b w:val="0"/>
          <w:bCs w:val="0"/>
          <w:color w:val="000000"/>
          <w:sz w:val="32"/>
          <w:szCs w:val="32"/>
          <w:lang w:val="en-US" w:eastAsia="zh-CN"/>
        </w:rPr>
        <w:t>以上废气污染物排放均须</w:t>
      </w:r>
      <w:r>
        <w:rPr>
          <w:rFonts w:hint="eastAsia" w:ascii="仿宋" w:hAnsi="仿宋" w:eastAsia="仿宋" w:cs="仿宋"/>
          <w:b w:val="0"/>
          <w:bCs w:val="0"/>
          <w:color w:val="000000"/>
          <w:sz w:val="32"/>
          <w:szCs w:val="32"/>
        </w:rPr>
        <w:t>满足</w:t>
      </w:r>
      <w:r>
        <w:rPr>
          <w:rFonts w:hint="eastAsia" w:ascii="仿宋" w:hAnsi="仿宋" w:eastAsia="仿宋" w:cs="仿宋"/>
          <w:b w:val="0"/>
          <w:bCs w:val="0"/>
          <w:color w:val="000000"/>
          <w:sz w:val="32"/>
          <w:szCs w:val="32"/>
          <w:lang w:val="en-US" w:eastAsia="zh-CN"/>
        </w:rPr>
        <w:t>满足《烧碱、聚氯乙烯工业污染物排放标准》（GB15581-2016）表4特别排放标准限值。</w:t>
      </w:r>
      <w:r>
        <w:rPr>
          <w:rFonts w:hint="eastAsia" w:ascii="仿宋" w:hAnsi="仿宋" w:eastAsia="仿宋" w:cs="仿宋"/>
          <w:color w:val="auto"/>
          <w:kern w:val="2"/>
          <w:sz w:val="32"/>
          <w:szCs w:val="32"/>
          <w:highlight w:val="none"/>
          <w:lang w:val="en-US" w:eastAsia="zh-CN" w:bidi="ar-SA"/>
        </w:rPr>
        <w:t>厂界颗粒物无组织排放浓度须满足《大气污染物综合排放标准》（GB16297-1996）企业边界大气污染物浓度限值，厂界氯乙烯无组织排放浓度须满足《烧碱、聚氯乙烯工业污染物排放标准》(GB15581-2016)表5企业边界大气污染物浓度限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auto"/>
          <w:sz w:val="32"/>
          <w:szCs w:val="32"/>
          <w:highlight w:val="none"/>
          <w:vertAlign w:val="baseline"/>
          <w:lang w:val="en-US" w:eastAsia="zh-CN"/>
        </w:rPr>
      </w:pPr>
      <w:r>
        <w:rPr>
          <w:rFonts w:ascii="仿宋_GB2312" w:hAnsi="仿宋_GB2312" w:cs="仿宋_GB2312"/>
          <w:color w:val="000000"/>
          <w:szCs w:val="32"/>
          <w:highlight w:val="none"/>
        </w:rPr>
        <w:t>3.</w:t>
      </w:r>
      <w:r>
        <w:rPr>
          <w:rFonts w:hint="eastAsia" w:ascii="仿宋_GB2312" w:hAnsi="仿宋_GB2312" w:cs="仿宋_GB2312"/>
          <w:color w:val="000000"/>
          <w:szCs w:val="32"/>
          <w:highlight w:val="none"/>
        </w:rPr>
        <w:t>认真落实《报告书》中提出的</w:t>
      </w:r>
      <w:r>
        <w:rPr>
          <w:rFonts w:hint="eastAsia" w:ascii="仿宋_GB2312" w:hAnsi="仿宋_GB2312" w:cs="仿宋_GB2312"/>
          <w:color w:val="000000"/>
          <w:szCs w:val="32"/>
          <w:highlight w:val="none"/>
          <w:lang w:val="en-US" w:eastAsia="zh-CN"/>
        </w:rPr>
        <w:t>废水</w:t>
      </w:r>
      <w:r>
        <w:rPr>
          <w:rFonts w:hint="eastAsia" w:ascii="仿宋_GB2312" w:hAnsi="仿宋_GB2312" w:cs="仿宋_GB2312"/>
          <w:color w:val="000000"/>
          <w:szCs w:val="32"/>
          <w:highlight w:val="none"/>
        </w:rPr>
        <w:t>污染防治措施。强化废水处理与回用，实行雨污分流、清污分流。</w:t>
      </w:r>
      <w:r>
        <w:rPr>
          <w:rFonts w:hint="eastAsia" w:ascii="仿宋_GB2312" w:hAnsi="仿宋_GB2312" w:cs="仿宋_GB2312"/>
          <w:color w:val="000000"/>
          <w:szCs w:val="32"/>
          <w:highlight w:val="none"/>
          <w:lang w:val="en-US" w:eastAsia="zh-CN"/>
        </w:rPr>
        <w:t>VCM贮槽分离水</w:t>
      </w:r>
      <w:r>
        <w:rPr>
          <w:rFonts w:hint="eastAsia" w:ascii="仿宋_GB2312" w:hAnsi="仿宋_GB2312" w:cs="仿宋_GB2312"/>
          <w:color w:val="000000"/>
          <w:szCs w:val="32"/>
          <w:highlight w:val="none"/>
          <w:lang w:eastAsia="zh-CN"/>
        </w:rPr>
        <w:t>、聚合釜冲洗废水、料浆汽提废水、</w:t>
      </w:r>
      <w:r>
        <w:rPr>
          <w:rFonts w:hint="eastAsia" w:ascii="仿宋" w:hAnsi="仿宋" w:eastAsia="仿宋" w:cs="仿宋"/>
          <w:color w:val="auto"/>
          <w:sz w:val="32"/>
          <w:szCs w:val="32"/>
          <w:highlight w:val="none"/>
          <w:lang w:eastAsia="zh-CN"/>
        </w:rPr>
        <w:t>离心母液</w:t>
      </w:r>
      <w:r>
        <w:rPr>
          <w:rFonts w:hint="eastAsia" w:ascii="仿宋_GB2312" w:hAnsi="仿宋_GB2312" w:cs="仿宋_GB2312"/>
          <w:color w:val="000000"/>
          <w:szCs w:val="32"/>
          <w:highlight w:val="none"/>
          <w:lang w:val="en-US" w:eastAsia="zh-CN"/>
        </w:rPr>
        <w:t>均送废水汽提塔处理后送现有工程母液处理站处理，</w:t>
      </w:r>
      <w:r>
        <w:rPr>
          <w:rFonts w:hint="eastAsia" w:ascii="仿宋" w:hAnsi="仿宋" w:eastAsia="仿宋" w:cs="仿宋"/>
          <w:color w:val="auto"/>
          <w:sz w:val="32"/>
          <w:szCs w:val="32"/>
          <w:highlight w:val="none"/>
          <w:vertAlign w:val="baseline"/>
          <w:lang w:val="en-US" w:eastAsia="zh-CN"/>
        </w:rPr>
        <w:t>处理后的出水满足《城市污水再生利用工业用水水质》(GB/T19923-2005)中工艺与产品用水标准后作为循环冷却水系统补水</w:t>
      </w:r>
      <w:r>
        <w:rPr>
          <w:rFonts w:hint="default" w:ascii="仿宋" w:hAnsi="仿宋" w:eastAsia="仿宋" w:cs="仿宋"/>
          <w:color w:val="auto"/>
          <w:sz w:val="32"/>
          <w:szCs w:val="32"/>
          <w:highlight w:val="none"/>
          <w:vertAlign w:val="baseline"/>
          <w:lang w:val="en-US" w:eastAsia="zh-CN"/>
        </w:rPr>
        <w:t>。</w:t>
      </w:r>
    </w:p>
    <w:p>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生活污水、循环水系统排水进入现有工程综合废水处理系统后采用“絮凝沉淀+气浮+生化+MBR”处理工艺处理后再经过RO浓水浓缩处理工艺处理；脱盐水站浓水进入现有工程综合废水处理系统后采用UF超滤处理工艺处理后再经过RO浓水浓缩处理工艺处理。现有工程综合废水处理系统处理后的出水一部分作为脱盐水站补水，一部分回用于湿法乙炔系统，少部分浓水满足《烧碱、聚氯乙烯工业污染物排放标准》（GB15581-2016）表2标准后排入西清公司进一步处理</w:t>
      </w:r>
      <w:r>
        <w:rPr>
          <w:rFonts w:hint="default"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szCs w:val="32"/>
          <w:lang w:val="en-US" w:eastAsia="zh-CN"/>
        </w:rPr>
      </w:pPr>
      <w:r>
        <w:rPr>
          <w:rFonts w:hint="eastAsia" w:ascii="仿宋" w:hAnsi="仿宋" w:eastAsia="仿宋" w:cs="仿宋"/>
          <w:szCs w:val="32"/>
          <w:lang w:val="en-US" w:eastAsia="zh-CN"/>
        </w:rPr>
        <w:t>4.</w:t>
      </w:r>
      <w:r>
        <w:rPr>
          <w:rFonts w:hint="eastAsia" w:ascii="仿宋" w:hAnsi="仿宋" w:eastAsia="仿宋" w:cs="仿宋"/>
          <w:szCs w:val="32"/>
        </w:rPr>
        <w:t>切实落实地下水</w:t>
      </w:r>
      <w:r>
        <w:rPr>
          <w:rFonts w:hint="eastAsia" w:ascii="仿宋" w:hAnsi="仿宋" w:eastAsia="仿宋" w:cs="仿宋"/>
          <w:szCs w:val="32"/>
          <w:lang w:val="en-US" w:eastAsia="zh-CN"/>
        </w:rPr>
        <w:t>和土壤</w:t>
      </w:r>
      <w:r>
        <w:rPr>
          <w:rFonts w:hint="eastAsia" w:ascii="仿宋" w:hAnsi="仿宋" w:eastAsia="仿宋" w:cs="仿宋"/>
          <w:szCs w:val="32"/>
        </w:rPr>
        <w:t>污染防治措施。结合区域地下水分布现状、水文地质条件和防渗措施，进一步优化重点污染防治区平面布置，严格按照《报告书》</w:t>
      </w:r>
      <w:r>
        <w:rPr>
          <w:rFonts w:hint="eastAsia" w:ascii="仿宋" w:hAnsi="仿宋" w:eastAsia="仿宋" w:cs="仿宋"/>
          <w:szCs w:val="32"/>
          <w:lang w:val="en-US" w:eastAsia="zh-CN"/>
        </w:rPr>
        <w:t>中</w:t>
      </w:r>
      <w:r>
        <w:rPr>
          <w:rFonts w:hint="eastAsia" w:ascii="仿宋" w:hAnsi="仿宋" w:eastAsia="仿宋" w:cs="仿宋"/>
          <w:szCs w:val="32"/>
        </w:rPr>
        <w:t>的要求，对重点污染防治区、一般污染防治区等采取分区防渗措施。</w:t>
      </w:r>
      <w:r>
        <w:rPr>
          <w:rFonts w:hint="eastAsia" w:ascii="仿宋" w:hAnsi="仿宋" w:eastAsia="仿宋" w:cs="仿宋"/>
          <w:szCs w:val="32"/>
          <w:lang w:val="en-US" w:eastAsia="zh-CN"/>
        </w:rPr>
        <w:t>利用既有</w:t>
      </w:r>
      <w:r>
        <w:rPr>
          <w:rFonts w:hint="eastAsia" w:ascii="仿宋" w:hAnsi="仿宋" w:eastAsia="仿宋" w:cs="仿宋"/>
          <w:szCs w:val="32"/>
        </w:rPr>
        <w:t>地下水监测井</w:t>
      </w:r>
      <w:r>
        <w:rPr>
          <w:rFonts w:hint="eastAsia" w:ascii="仿宋" w:hAnsi="仿宋" w:eastAsia="仿宋" w:cs="仿宋"/>
          <w:szCs w:val="32"/>
          <w:lang w:val="en-US" w:eastAsia="zh-CN"/>
        </w:rPr>
        <w:t>和新设置</w:t>
      </w:r>
      <w:r>
        <w:rPr>
          <w:rFonts w:hint="eastAsia" w:ascii="仿宋_GB2312" w:hAnsi="宋体" w:eastAsia="仿宋_GB2312" w:cs="Times New Roman"/>
          <w:color w:val="auto"/>
          <w:sz w:val="32"/>
          <w:szCs w:val="32"/>
          <w:highlight w:val="none"/>
        </w:rPr>
        <w:t>土壤跟踪监测点</w:t>
      </w:r>
      <w:r>
        <w:rPr>
          <w:rFonts w:hint="eastAsia" w:ascii="仿宋_GB2312" w:hAnsi="宋体" w:cs="Times New Roman"/>
          <w:color w:val="auto"/>
          <w:sz w:val="32"/>
          <w:szCs w:val="32"/>
          <w:highlight w:val="none"/>
          <w:lang w:eastAsia="zh-CN"/>
        </w:rPr>
        <w:t>，</w:t>
      </w:r>
      <w:r>
        <w:rPr>
          <w:rFonts w:hint="eastAsia" w:ascii="仿宋_GB2312" w:hAnsi="仿宋_GB2312" w:cs="仿宋_GB2312"/>
          <w:color w:val="000000"/>
          <w:szCs w:val="32"/>
          <w:highlight w:val="none"/>
        </w:rPr>
        <w:t>定期对地下水和土壤进行跟踪监测，以免造成地下水和土壤污染。</w:t>
      </w:r>
    </w:p>
    <w:p>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仿宋" w:hAnsi="仿宋" w:eastAsia="仿宋" w:cs="仿宋"/>
          <w:szCs w:val="32"/>
        </w:rPr>
      </w:pPr>
      <w:r>
        <w:rPr>
          <w:rFonts w:hint="eastAsia" w:ascii="仿宋" w:hAnsi="仿宋" w:eastAsia="仿宋" w:cs="仿宋"/>
          <w:szCs w:val="32"/>
          <w:lang w:val="en-US" w:eastAsia="zh-CN"/>
        </w:rPr>
        <w:t>5.</w:t>
      </w:r>
      <w:r>
        <w:rPr>
          <w:rFonts w:hint="eastAsia" w:ascii="仿宋" w:hAnsi="仿宋" w:eastAsia="仿宋" w:cs="仿宋"/>
          <w:szCs w:val="32"/>
        </w:rPr>
        <w:t>强化声环境保护措施，优先选用低噪声设备，采取减震、隔声、消声等降噪措施，确保厂界噪声满足《工业企业厂界环境噪声排放标准》（GB12348-2008）3类标准限值要求。</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lang w:val="en-US" w:eastAsia="zh-CN"/>
        </w:rPr>
      </w:pPr>
      <w:r>
        <w:rPr>
          <w:rFonts w:hint="eastAsia" w:ascii="仿宋_GB2312" w:hAnsi="仿宋_GB2312" w:cs="仿宋_GB2312"/>
          <w:color w:val="000000"/>
          <w:szCs w:val="32"/>
          <w:highlight w:val="none"/>
          <w:lang w:val="en-US" w:eastAsia="zh-CN"/>
        </w:rPr>
        <w:t>6.根据《报告书》提出的固废污染防治措施，做好固体废物处置工作。建设单位须严格按照《一般工业固体废物贮存和填埋污染控制标准》（GB 18599-2020）及《危险废物贮存污染控制标准》（GB18597-2001）（及其修改单）要求对一般固废和危险废物进行处置，以上各类固废均不得乱弃。</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lang w:val="en-US" w:eastAsia="zh-CN"/>
        </w:rPr>
        <w:t>7</w:t>
      </w:r>
      <w:r>
        <w:rPr>
          <w:rFonts w:hint="eastAsia" w:ascii="仿宋_GB2312" w:hAnsi="仿宋_GB2312" w:cs="仿宋_GB2312"/>
          <w:color w:val="000000"/>
          <w:szCs w:val="32"/>
          <w:highlight w:val="none"/>
        </w:rPr>
        <w:t>.建设单位须强化环境风险防范。制定环境风险应急预案,落实环境风险事故防范措施，提高事故风险防范和污染控制能力。</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三、项目建设必须严格执行环境保护“三同时”制度。项目竣工后，按照规定程序实施竣工环境保护验收，经验收合格后，方可正式投入运行。</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ascii="仿宋_GB2312" w:hAnsi="仿宋_GB2312" w:cs="仿宋_GB2312"/>
          <w:color w:val="000000"/>
          <w:szCs w:val="32"/>
          <w:highlight w:val="none"/>
        </w:rPr>
      </w:pPr>
      <w:r>
        <w:rPr>
          <w:rFonts w:hint="eastAsia" w:ascii="仿宋_GB2312" w:hAnsi="仿宋_GB2312" w:cs="仿宋_GB2312"/>
          <w:color w:val="000000"/>
          <w:szCs w:val="32"/>
          <w:highlight w:val="none"/>
        </w:rPr>
        <w:t>四、你公司应在收到本批复20日内，将《报告书》(报批版)及批复文件送至鄂尔多斯市生态环境局</w:t>
      </w:r>
      <w:r>
        <w:rPr>
          <w:rFonts w:hint="eastAsia" w:ascii="仿宋_GB2312" w:hAnsi="仿宋_GB2312" w:cs="仿宋_GB2312"/>
          <w:color w:val="000000"/>
          <w:szCs w:val="32"/>
          <w:highlight w:val="none"/>
          <w:lang w:val="en-US" w:eastAsia="zh-CN"/>
        </w:rPr>
        <w:t>鄂托克旗</w:t>
      </w:r>
      <w:r>
        <w:rPr>
          <w:rFonts w:hint="eastAsia" w:ascii="仿宋_GB2312" w:hAnsi="仿宋_GB2312" w:cs="仿宋_GB2312"/>
          <w:color w:val="000000"/>
          <w:szCs w:val="32"/>
          <w:highlight w:val="none"/>
        </w:rPr>
        <w:t>分局和内蒙古鄂托克经济开发区管理委员会建设管理局(生态环境管理办公室)，我局委托鄂尔多斯市生态环境局</w:t>
      </w:r>
      <w:r>
        <w:rPr>
          <w:rFonts w:hint="eastAsia" w:ascii="仿宋_GB2312" w:hAnsi="仿宋_GB2312" w:cs="仿宋_GB2312"/>
          <w:color w:val="000000"/>
          <w:szCs w:val="32"/>
          <w:highlight w:val="none"/>
          <w:lang w:val="en-US" w:eastAsia="zh-CN"/>
        </w:rPr>
        <w:t>鄂托克旗</w:t>
      </w:r>
      <w:r>
        <w:rPr>
          <w:rFonts w:hint="eastAsia" w:ascii="仿宋_GB2312" w:hAnsi="仿宋_GB2312" w:cs="仿宋_GB2312"/>
          <w:color w:val="000000"/>
          <w:szCs w:val="32"/>
          <w:highlight w:val="none"/>
        </w:rPr>
        <w:t>分局和内蒙古鄂托克经济开发区管理委员会建设管理局(生态环境管理办公室)负责该项目的日常监管工作。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五、该项目从批准之日起超过5年方决定开工建设，其环评文件应重新审核。如果建设地点、规模、防治污染和防止生态破坏的措施等发生重大变化时，需重新报批环评文件。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jc w:val="right"/>
        <w:textAlignment w:val="auto"/>
        <w:rPr>
          <w:rFonts w:ascii="仿宋_GB2312" w:hAnsi="仿宋_GB2312" w:cs="仿宋_GB2312"/>
          <w:color w:val="000000"/>
          <w:szCs w:val="32"/>
          <w:highlight w:val="none"/>
        </w:rPr>
      </w:pPr>
    </w:p>
    <w:p>
      <w:pPr>
        <w:pStyle w:val="5"/>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rFonts w:hint="eastAsia"/>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jc w:val="center"/>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lang w:val="en-US" w:eastAsia="zh-CN"/>
        </w:rPr>
        <w:t xml:space="preserve">                    </w:t>
      </w:r>
      <w:r>
        <w:rPr>
          <w:rFonts w:hint="eastAsia" w:ascii="仿宋_GB2312" w:hAnsi="仿宋_GB2312" w:cs="仿宋_GB2312"/>
          <w:color w:val="000000"/>
          <w:szCs w:val="32"/>
          <w:highlight w:val="none"/>
        </w:rPr>
        <w:t>鄂尔多斯市生态环境局</w:t>
      </w:r>
    </w:p>
    <w:p>
      <w:pPr>
        <w:keepNext w:val="0"/>
        <w:keepLines w:val="0"/>
        <w:pageBreakBefore w:val="0"/>
        <w:widowControl w:val="0"/>
        <w:kinsoku/>
        <w:wordWrap/>
        <w:overflowPunct/>
        <w:topLinePunct w:val="0"/>
        <w:autoSpaceDE/>
        <w:autoSpaceDN/>
        <w:bidi w:val="0"/>
        <w:adjustRightInd w:val="0"/>
        <w:snapToGrid w:val="0"/>
        <w:spacing w:line="600" w:lineRule="exact"/>
        <w:ind w:right="320" w:firstLine="640"/>
        <w:jc w:val="center"/>
        <w:textAlignment w:val="auto"/>
        <w:rPr>
          <w:rFonts w:ascii="仿宋_GB2312" w:hAnsi="仿宋_GB2312" w:cs="仿宋_GB2312"/>
          <w:color w:val="000000"/>
          <w:szCs w:val="32"/>
          <w:highlight w:val="none"/>
        </w:rPr>
      </w:pPr>
      <w:r>
        <w:rPr>
          <w:rFonts w:hint="eastAsia" w:ascii="仿宋_GB2312" w:hAnsi="仿宋_GB2312" w:cs="仿宋_GB2312"/>
          <w:color w:val="000000"/>
          <w:szCs w:val="32"/>
          <w:highlight w:val="none"/>
          <w:lang w:val="en-US" w:eastAsia="zh-CN"/>
        </w:rPr>
        <w:t xml:space="preserve">                       </w:t>
      </w:r>
      <w:r>
        <w:rPr>
          <w:rFonts w:hint="eastAsia" w:ascii="仿宋_GB2312" w:hAnsi="仿宋_GB2312" w:cs="仿宋_GB2312"/>
          <w:color w:val="000000"/>
          <w:szCs w:val="32"/>
          <w:highlight w:val="none"/>
        </w:rPr>
        <w:t>202</w:t>
      </w:r>
      <w:r>
        <w:rPr>
          <w:rFonts w:hint="eastAsia" w:ascii="仿宋_GB2312" w:hAnsi="仿宋_GB2312" w:cs="仿宋_GB2312"/>
          <w:color w:val="000000"/>
          <w:szCs w:val="32"/>
          <w:highlight w:val="none"/>
          <w:lang w:val="en-US" w:eastAsia="zh-CN"/>
        </w:rPr>
        <w:t>3</w:t>
      </w:r>
      <w:r>
        <w:rPr>
          <w:rFonts w:hint="eastAsia" w:ascii="仿宋_GB2312" w:hAnsi="仿宋_GB2312" w:cs="仿宋_GB2312"/>
          <w:color w:val="000000"/>
          <w:szCs w:val="32"/>
          <w:highlight w:val="none"/>
        </w:rPr>
        <w:t>年</w:t>
      </w:r>
      <w:r>
        <w:rPr>
          <w:rFonts w:hint="eastAsia" w:ascii="仿宋_GB2312" w:hAnsi="仿宋_GB2312" w:cs="仿宋_GB2312"/>
          <w:color w:val="000000"/>
          <w:szCs w:val="32"/>
          <w:highlight w:val="none"/>
          <w:lang w:val="en-US" w:eastAsia="zh-CN"/>
        </w:rPr>
        <w:t>3</w:t>
      </w:r>
      <w:r>
        <w:rPr>
          <w:rFonts w:hint="eastAsia" w:ascii="仿宋_GB2312" w:hAnsi="仿宋_GB2312" w:cs="仿宋_GB2312"/>
          <w:color w:val="000000"/>
          <w:szCs w:val="32"/>
          <w:highlight w:val="none"/>
        </w:rPr>
        <w:t>月</w:t>
      </w:r>
      <w:r>
        <w:rPr>
          <w:rFonts w:hint="eastAsia" w:ascii="仿宋_GB2312" w:hAnsi="仿宋_GB2312" w:cs="仿宋_GB2312"/>
          <w:color w:val="000000"/>
          <w:szCs w:val="32"/>
          <w:highlight w:val="none"/>
          <w:lang w:val="en-US" w:eastAsia="zh-CN"/>
        </w:rPr>
        <w:t>31</w:t>
      </w:r>
      <w:r>
        <w:rPr>
          <w:rFonts w:hint="eastAsia" w:ascii="仿宋_GB2312" w:hAnsi="仿宋_GB2312" w:cs="仿宋_GB2312"/>
          <w:color w:val="000000"/>
          <w:szCs w:val="32"/>
          <w:highlight w:val="none"/>
        </w:rPr>
        <w:t>日</w:t>
      </w:r>
    </w:p>
    <w:p>
      <w:pPr>
        <w:pStyle w:val="5"/>
        <w:keepNext w:val="0"/>
        <w:keepLines w:val="0"/>
        <w:pageBreakBefore w:val="0"/>
        <w:widowControl w:val="0"/>
        <w:kinsoku/>
        <w:wordWrap/>
        <w:overflowPunct/>
        <w:topLinePunct w:val="0"/>
        <w:autoSpaceDE/>
        <w:autoSpaceDN/>
        <w:bidi w:val="0"/>
        <w:spacing w:line="600" w:lineRule="exact"/>
        <w:ind w:left="640" w:firstLine="640"/>
        <w:textAlignment w:val="auto"/>
        <w:rPr>
          <w:highlight w:val="none"/>
        </w:rPr>
      </w:pPr>
    </w:p>
    <w:p>
      <w:pPr>
        <w:keepNext w:val="0"/>
        <w:keepLines w:val="0"/>
        <w:pageBreakBefore w:val="0"/>
        <w:widowControl w:val="0"/>
        <w:kinsoku/>
        <w:wordWrap/>
        <w:overflowPunct/>
        <w:topLinePunct w:val="0"/>
        <w:autoSpaceDE/>
        <w:autoSpaceDN/>
        <w:bidi w:val="0"/>
        <w:spacing w:line="600" w:lineRule="exact"/>
        <w:textAlignment w:val="auto"/>
        <w:rPr>
          <w:highlight w:val="none"/>
        </w:rPr>
      </w:pPr>
    </w:p>
    <w:p>
      <w:pPr>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pPr>
    </w:p>
    <w:p>
      <w:pPr>
        <w:pStyle w:val="4"/>
        <w:keepNext w:val="0"/>
        <w:keepLines w:val="0"/>
        <w:pageBreakBefore w:val="0"/>
        <w:widowControl w:val="0"/>
        <w:kinsoku/>
        <w:wordWrap/>
        <w:overflowPunct/>
        <w:topLinePunct w:val="0"/>
        <w:autoSpaceDE/>
        <w:autoSpaceDN/>
        <w:bidi w:val="0"/>
        <w:spacing w:line="600" w:lineRule="exact"/>
        <w:textAlignment w:val="auto"/>
      </w:pPr>
    </w:p>
    <w:p>
      <w:pPr>
        <w:pStyle w:val="5"/>
        <w:keepNext w:val="0"/>
        <w:keepLines w:val="0"/>
        <w:pageBreakBefore w:val="0"/>
        <w:widowControl w:val="0"/>
        <w:kinsoku/>
        <w:wordWrap/>
        <w:overflowPunct/>
        <w:topLinePunct w:val="0"/>
        <w:autoSpaceDE/>
        <w:autoSpaceDN/>
        <w:bidi w:val="0"/>
        <w:spacing w:line="600" w:lineRule="exact"/>
        <w:textAlignment w:val="auto"/>
      </w:pPr>
    </w:p>
    <w:p>
      <w:pPr>
        <w:keepNext w:val="0"/>
        <w:keepLines w:val="0"/>
        <w:pageBreakBefore w:val="0"/>
        <w:widowControl w:val="0"/>
        <w:kinsoku/>
        <w:wordWrap/>
        <w:overflowPunct/>
        <w:topLinePunct w:val="0"/>
        <w:autoSpaceDE/>
        <w:autoSpaceDN/>
        <w:bidi w:val="0"/>
        <w:spacing w:line="600" w:lineRule="exact"/>
        <w:textAlignment w:val="auto"/>
      </w:pPr>
    </w:p>
    <w:p>
      <w:pPr>
        <w:pStyle w:val="4"/>
        <w:keepNext w:val="0"/>
        <w:keepLines w:val="0"/>
        <w:pageBreakBefore w:val="0"/>
        <w:widowControl w:val="0"/>
        <w:kinsoku/>
        <w:wordWrap/>
        <w:overflowPunct/>
        <w:topLinePunct w:val="0"/>
        <w:autoSpaceDE/>
        <w:autoSpaceDN/>
        <w:bidi w:val="0"/>
        <w:spacing w:line="600" w:lineRule="exact"/>
        <w:textAlignment w:val="auto"/>
      </w:pPr>
    </w:p>
    <w:p>
      <w:pPr>
        <w:pStyle w:val="5"/>
        <w:keepNext w:val="0"/>
        <w:keepLines w:val="0"/>
        <w:pageBreakBefore w:val="0"/>
        <w:widowControl w:val="0"/>
        <w:kinsoku/>
        <w:wordWrap/>
        <w:overflowPunct/>
        <w:topLinePunct w:val="0"/>
        <w:autoSpaceDE/>
        <w:autoSpaceDN/>
        <w:bidi w:val="0"/>
        <w:spacing w:line="600" w:lineRule="exact"/>
        <w:textAlignment w:val="auto"/>
      </w:pPr>
    </w:p>
    <w:p>
      <w:pPr>
        <w:keepNext w:val="0"/>
        <w:keepLines w:val="0"/>
        <w:pageBreakBefore w:val="0"/>
        <w:widowControl w:val="0"/>
        <w:kinsoku/>
        <w:wordWrap/>
        <w:overflowPunct/>
        <w:topLinePunct w:val="0"/>
        <w:autoSpaceDE/>
        <w:autoSpaceDN/>
        <w:bidi w:val="0"/>
        <w:spacing w:line="600" w:lineRule="exact"/>
        <w:textAlignment w:val="auto"/>
      </w:pPr>
    </w:p>
    <w:p>
      <w:pPr>
        <w:pStyle w:val="4"/>
        <w:keepNext w:val="0"/>
        <w:keepLines w:val="0"/>
        <w:pageBreakBefore w:val="0"/>
        <w:widowControl w:val="0"/>
        <w:kinsoku/>
        <w:wordWrap/>
        <w:overflowPunct/>
        <w:topLinePunct w:val="0"/>
        <w:autoSpaceDE/>
        <w:autoSpaceDN/>
        <w:bidi w:val="0"/>
        <w:spacing w:line="600" w:lineRule="exact"/>
        <w:textAlignment w:val="auto"/>
      </w:pPr>
    </w:p>
    <w:p>
      <w:pPr>
        <w:pStyle w:val="5"/>
        <w:keepNext w:val="0"/>
        <w:keepLines w:val="0"/>
        <w:pageBreakBefore w:val="0"/>
        <w:widowControl w:val="0"/>
        <w:kinsoku/>
        <w:wordWrap/>
        <w:overflowPunct/>
        <w:topLinePunct w:val="0"/>
        <w:autoSpaceDE/>
        <w:autoSpaceDN/>
        <w:bidi w:val="0"/>
        <w:spacing w:line="600" w:lineRule="exact"/>
        <w:textAlignment w:val="auto"/>
      </w:pPr>
    </w:p>
    <w:p>
      <w:pPr>
        <w:keepNext w:val="0"/>
        <w:keepLines w:val="0"/>
        <w:pageBreakBefore w:val="0"/>
        <w:widowControl w:val="0"/>
        <w:kinsoku/>
        <w:wordWrap/>
        <w:overflowPunct/>
        <w:topLinePunct w:val="0"/>
        <w:autoSpaceDE/>
        <w:autoSpaceDN/>
        <w:bidi w:val="0"/>
        <w:spacing w:line="600" w:lineRule="exact"/>
        <w:textAlignment w:val="auto"/>
      </w:pPr>
    </w:p>
    <w:p>
      <w:pPr>
        <w:pStyle w:val="4"/>
        <w:keepNext w:val="0"/>
        <w:keepLines w:val="0"/>
        <w:pageBreakBefore w:val="0"/>
        <w:widowControl w:val="0"/>
        <w:kinsoku/>
        <w:wordWrap/>
        <w:overflowPunct/>
        <w:topLinePunct w:val="0"/>
        <w:autoSpaceDE/>
        <w:autoSpaceDN/>
        <w:bidi w:val="0"/>
        <w:spacing w:line="600" w:lineRule="exact"/>
        <w:textAlignment w:val="auto"/>
      </w:pPr>
    </w:p>
    <w:p>
      <w:pPr>
        <w:pStyle w:val="5"/>
        <w:keepNext w:val="0"/>
        <w:keepLines w:val="0"/>
        <w:pageBreakBefore w:val="0"/>
        <w:widowControl w:val="0"/>
        <w:kinsoku/>
        <w:wordWrap/>
        <w:overflowPunct/>
        <w:topLinePunct w:val="0"/>
        <w:autoSpaceDE/>
        <w:autoSpaceDN/>
        <w:bidi w:val="0"/>
        <w:spacing w:line="600" w:lineRule="exact"/>
        <w:textAlignment w:val="auto"/>
      </w:pPr>
    </w:p>
    <w:p>
      <w:pPr>
        <w:keepNext w:val="0"/>
        <w:keepLines w:val="0"/>
        <w:pageBreakBefore w:val="0"/>
        <w:widowControl w:val="0"/>
        <w:kinsoku/>
        <w:wordWrap/>
        <w:overflowPunct/>
        <w:topLinePunct w:val="0"/>
        <w:autoSpaceDE/>
        <w:autoSpaceDN/>
        <w:bidi w:val="0"/>
        <w:spacing w:line="600" w:lineRule="exact"/>
        <w:textAlignment w:val="auto"/>
      </w:pPr>
    </w:p>
    <w:p>
      <w:pPr>
        <w:pStyle w:val="4"/>
        <w:keepNext w:val="0"/>
        <w:keepLines w:val="0"/>
        <w:pageBreakBefore w:val="0"/>
        <w:widowControl w:val="0"/>
        <w:kinsoku/>
        <w:wordWrap/>
        <w:overflowPunct/>
        <w:topLinePunct w:val="0"/>
        <w:autoSpaceDE/>
        <w:autoSpaceDN/>
        <w:bidi w:val="0"/>
        <w:spacing w:line="600" w:lineRule="exact"/>
        <w:textAlignment w:val="auto"/>
      </w:pPr>
    </w:p>
    <w:p>
      <w:pPr>
        <w:pStyle w:val="5"/>
        <w:keepNext w:val="0"/>
        <w:keepLines w:val="0"/>
        <w:pageBreakBefore w:val="0"/>
        <w:widowControl w:val="0"/>
        <w:kinsoku/>
        <w:wordWrap/>
        <w:overflowPunct/>
        <w:topLinePunct w:val="0"/>
        <w:autoSpaceDE/>
        <w:autoSpaceDN/>
        <w:bidi w:val="0"/>
        <w:spacing w:line="600" w:lineRule="exact"/>
        <w:textAlignment w:val="auto"/>
      </w:pPr>
    </w:p>
    <w:p>
      <w:pPr>
        <w:keepNext w:val="0"/>
        <w:keepLines w:val="0"/>
        <w:pageBreakBefore w:val="0"/>
        <w:widowControl w:val="0"/>
        <w:kinsoku/>
        <w:wordWrap/>
        <w:overflowPunct/>
        <w:topLinePunct w:val="0"/>
        <w:autoSpaceDE/>
        <w:autoSpaceDN/>
        <w:bidi w:val="0"/>
        <w:spacing w:line="600" w:lineRule="exact"/>
        <w:textAlignment w:val="auto"/>
      </w:pPr>
    </w:p>
    <w:p>
      <w:pPr>
        <w:pStyle w:val="4"/>
        <w:keepNext w:val="0"/>
        <w:keepLines w:val="0"/>
        <w:pageBreakBefore w:val="0"/>
        <w:widowControl w:val="0"/>
        <w:kinsoku/>
        <w:wordWrap/>
        <w:overflowPunct/>
        <w:topLinePunct w:val="0"/>
        <w:autoSpaceDE/>
        <w:autoSpaceDN/>
        <w:bidi w:val="0"/>
        <w:spacing w:line="600" w:lineRule="exact"/>
        <w:textAlignment w:val="auto"/>
      </w:pPr>
    </w:p>
    <w:p>
      <w:pPr>
        <w:pStyle w:val="5"/>
        <w:keepNext w:val="0"/>
        <w:keepLines w:val="0"/>
        <w:pageBreakBefore w:val="0"/>
        <w:widowControl w:val="0"/>
        <w:kinsoku/>
        <w:wordWrap/>
        <w:overflowPunct/>
        <w:topLinePunct w:val="0"/>
        <w:autoSpaceDE/>
        <w:autoSpaceDN/>
        <w:bidi w:val="0"/>
        <w:spacing w:line="600" w:lineRule="exact"/>
        <w:textAlignment w:val="auto"/>
      </w:pPr>
    </w:p>
    <w:p>
      <w:pPr>
        <w:keepNext w:val="0"/>
        <w:keepLines w:val="0"/>
        <w:pageBreakBefore w:val="0"/>
        <w:widowControl w:val="0"/>
        <w:kinsoku/>
        <w:wordWrap/>
        <w:overflowPunct/>
        <w:topLinePunct w:val="0"/>
        <w:autoSpaceDE/>
        <w:autoSpaceDN/>
        <w:bidi w:val="0"/>
        <w:spacing w:line="600" w:lineRule="exact"/>
        <w:textAlignment w:val="auto"/>
      </w:pPr>
    </w:p>
    <w:p>
      <w:pPr>
        <w:pStyle w:val="4"/>
        <w:keepNext w:val="0"/>
        <w:keepLines w:val="0"/>
        <w:pageBreakBefore w:val="0"/>
        <w:widowControl w:val="0"/>
        <w:kinsoku/>
        <w:wordWrap/>
        <w:overflowPunct/>
        <w:topLinePunct w:val="0"/>
        <w:autoSpaceDE/>
        <w:autoSpaceDN/>
        <w:bidi w:val="0"/>
        <w:spacing w:line="600" w:lineRule="exact"/>
        <w:textAlignment w:val="auto"/>
      </w:pPr>
    </w:p>
    <w:p>
      <w:pPr>
        <w:pStyle w:val="4"/>
        <w:ind w:left="0" w:leftChars="0" w:firstLine="0" w:firstLineChars="0"/>
      </w:pPr>
    </w:p>
    <w:p>
      <w:pPr>
        <w:ind w:left="0" w:leftChars="0" w:firstLine="0" w:firstLineChars="0"/>
      </w:pPr>
    </w:p>
    <w:p>
      <w:pPr>
        <w:pStyle w:val="5"/>
      </w:pPr>
    </w:p>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pPr>
    </w:p>
    <w:tbl>
      <w:tblPr>
        <w:tblStyle w:val="16"/>
        <w:tblW w:w="9040" w:type="dxa"/>
        <w:tblInd w:w="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9040"/>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521" w:hRule="atLeast"/>
        </w:trPr>
        <w:tc>
          <w:tcPr>
            <w:tcW w:w="9040"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560" w:hanging="560" w:hangingChars="200"/>
              <w:textAlignment w:val="auto"/>
              <w:rPr>
                <w:rFonts w:ascii="仿宋_GB2312" w:hAnsi="仿宋_GB2312" w:cs="仿宋_GB2312"/>
                <w:snapToGrid/>
                <w:color w:val="000000"/>
                <w:kern w:val="2"/>
                <w:sz w:val="28"/>
                <w:szCs w:val="28"/>
                <w:highlight w:val="none"/>
              </w:rPr>
            </w:pPr>
            <w:r>
              <w:rPr>
                <w:rFonts w:ascii="仿宋_GB2312" w:hAnsi="仿宋_GB2312" w:cs="仿宋_GB2312"/>
                <w:snapToGrid/>
                <w:color w:val="000000"/>
                <w:kern w:val="2"/>
                <w:sz w:val="28"/>
                <w:szCs w:val="28"/>
                <w:highlight w:val="none"/>
              </w:rPr>
              <w:t>抄送：</w:t>
            </w:r>
            <w:r>
              <w:rPr>
                <w:rFonts w:hint="eastAsia" w:ascii="仿宋_GB2312" w:hAnsi="仿宋_GB2312" w:cs="仿宋_GB2312"/>
                <w:snapToGrid/>
                <w:color w:val="000000"/>
                <w:kern w:val="2"/>
                <w:sz w:val="28"/>
                <w:szCs w:val="28"/>
                <w:highlight w:val="none"/>
              </w:rPr>
              <w:t>鄂尔多斯市生态环境局</w:t>
            </w:r>
            <w:r>
              <w:rPr>
                <w:rFonts w:hint="eastAsia" w:ascii="仿宋_GB2312" w:hAnsi="仿宋_GB2312" w:cs="仿宋_GB2312"/>
                <w:snapToGrid/>
                <w:color w:val="000000"/>
                <w:kern w:val="2"/>
                <w:sz w:val="28"/>
                <w:szCs w:val="28"/>
                <w:highlight w:val="none"/>
                <w:lang w:val="en-US" w:eastAsia="zh-CN"/>
              </w:rPr>
              <w:t>鄂托克旗</w:t>
            </w:r>
            <w:r>
              <w:rPr>
                <w:rFonts w:hint="eastAsia" w:ascii="仿宋_GB2312" w:hAnsi="仿宋_GB2312" w:cs="仿宋_GB2312"/>
                <w:snapToGrid/>
                <w:color w:val="000000"/>
                <w:kern w:val="2"/>
                <w:sz w:val="28"/>
                <w:szCs w:val="28"/>
                <w:highlight w:val="none"/>
              </w:rPr>
              <w:t>分局，内蒙古鄂托克经济开发区管理委员会建设管理局(生态环境管理办公室)</w:t>
            </w:r>
            <w:r>
              <w:rPr>
                <w:rFonts w:ascii="仿宋_GB2312" w:hAnsi="仿宋_GB2312" w:cs="仿宋_GB2312"/>
                <w:snapToGrid/>
                <w:color w:val="000000"/>
                <w:kern w:val="2"/>
                <w:sz w:val="28"/>
                <w:szCs w:val="28"/>
                <w:highlight w:val="none"/>
              </w:rPr>
              <w:t>，市生态环境综合行政执法支队，</w:t>
            </w:r>
            <w:r>
              <w:rPr>
                <w:rFonts w:hint="eastAsia" w:ascii="仿宋_GB2312" w:hAnsi="仿宋_GB2312" w:cs="仿宋_GB2312"/>
                <w:snapToGrid/>
                <w:color w:val="000000"/>
                <w:kern w:val="2"/>
                <w:sz w:val="28"/>
                <w:szCs w:val="28"/>
                <w:highlight w:val="none"/>
              </w:rPr>
              <w:t>内蒙古腾烽环境检测有限公司</w:t>
            </w:r>
            <w:r>
              <w:rPr>
                <w:rFonts w:ascii="仿宋_GB2312" w:hAnsi="仿宋_GB2312" w:cs="仿宋_GB2312"/>
                <w:snapToGrid/>
                <w:color w:val="000000"/>
                <w:kern w:val="2"/>
                <w:sz w:val="28"/>
                <w:szCs w:val="28"/>
                <w:highlight w:val="none"/>
              </w:rPr>
              <w:t>，</w:t>
            </w:r>
            <w:r>
              <w:rPr>
                <w:rFonts w:hint="eastAsia" w:ascii="仿宋_GB2312" w:hAnsi="仿宋_GB2312" w:cs="仿宋_GB2312"/>
                <w:snapToGrid/>
                <w:color w:val="000000"/>
                <w:kern w:val="2"/>
                <w:sz w:val="28"/>
                <w:szCs w:val="28"/>
                <w:highlight w:val="none"/>
              </w:rPr>
              <w:t>市生态环境局综合保障中心</w:t>
            </w:r>
            <w:r>
              <w:rPr>
                <w:rFonts w:ascii="仿宋_GB2312" w:hAnsi="仿宋_GB2312" w:cs="仿宋_GB2312"/>
                <w:snapToGrid/>
                <w:color w:val="000000"/>
                <w:kern w:val="2"/>
                <w:sz w:val="28"/>
                <w:szCs w:val="28"/>
                <w:highlight w:val="none"/>
              </w:rPr>
              <w:t>。</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83" w:hRule="atLeast"/>
        </w:trPr>
        <w:tc>
          <w:tcPr>
            <w:tcW w:w="9040"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auto"/>
              <w:rPr>
                <w:rFonts w:ascii="仿宋_GB2312" w:hAnsi="仿宋_GB2312" w:cs="仿宋_GB2312"/>
                <w:snapToGrid/>
                <w:color w:val="000000"/>
                <w:kern w:val="2"/>
                <w:sz w:val="28"/>
                <w:szCs w:val="28"/>
                <w:highlight w:val="none"/>
              </w:rPr>
            </w:pPr>
            <w:r>
              <w:rPr>
                <w:rFonts w:ascii="仿宋_GB2312" w:hAnsi="仿宋_GB2312" w:cs="仿宋_GB2312"/>
                <w:snapToGrid/>
                <w:color w:val="000000"/>
                <w:kern w:val="2"/>
                <w:sz w:val="28"/>
                <w:szCs w:val="28"/>
                <w:highlight w:val="none"/>
              </w:rPr>
              <w:t xml:space="preserve">鄂尔多斯市生态环境局             </w:t>
            </w:r>
            <w:r>
              <w:rPr>
                <w:rFonts w:hint="eastAsia" w:ascii="仿宋_GB2312" w:hAnsi="仿宋_GB2312" w:cs="仿宋_GB2312"/>
                <w:snapToGrid/>
                <w:color w:val="000000"/>
                <w:kern w:val="2"/>
                <w:sz w:val="28"/>
                <w:szCs w:val="28"/>
                <w:highlight w:val="none"/>
                <w:lang w:val="en-US" w:eastAsia="zh-CN"/>
              </w:rPr>
              <w:t xml:space="preserve">     </w:t>
            </w:r>
            <w:r>
              <w:rPr>
                <w:rFonts w:ascii="仿宋_GB2312" w:hAnsi="仿宋_GB2312" w:cs="仿宋_GB2312"/>
                <w:snapToGrid/>
                <w:color w:val="000000"/>
                <w:kern w:val="2"/>
                <w:sz w:val="28"/>
                <w:szCs w:val="28"/>
                <w:highlight w:val="none"/>
              </w:rPr>
              <w:t xml:space="preserve">    202</w:t>
            </w:r>
            <w:r>
              <w:rPr>
                <w:rFonts w:hint="eastAsia" w:ascii="仿宋_GB2312" w:hAnsi="仿宋_GB2312" w:cs="仿宋_GB2312"/>
                <w:snapToGrid/>
                <w:color w:val="000000"/>
                <w:kern w:val="2"/>
                <w:sz w:val="28"/>
                <w:szCs w:val="28"/>
                <w:highlight w:val="none"/>
                <w:lang w:val="en-US" w:eastAsia="zh-CN"/>
              </w:rPr>
              <w:t>3</w:t>
            </w:r>
            <w:r>
              <w:rPr>
                <w:rFonts w:ascii="仿宋_GB2312" w:hAnsi="仿宋_GB2312" w:cs="仿宋_GB2312"/>
                <w:snapToGrid/>
                <w:color w:val="000000"/>
                <w:kern w:val="2"/>
                <w:sz w:val="28"/>
                <w:szCs w:val="28"/>
                <w:highlight w:val="none"/>
              </w:rPr>
              <w:t>年</w:t>
            </w:r>
            <w:r>
              <w:rPr>
                <w:rFonts w:hint="eastAsia" w:ascii="仿宋_GB2312" w:hAnsi="仿宋_GB2312" w:cs="仿宋_GB2312"/>
                <w:snapToGrid/>
                <w:color w:val="000000"/>
                <w:kern w:val="2"/>
                <w:sz w:val="28"/>
                <w:szCs w:val="28"/>
                <w:highlight w:val="none"/>
                <w:lang w:val="en-US" w:eastAsia="zh-CN"/>
              </w:rPr>
              <w:t>3</w:t>
            </w:r>
            <w:r>
              <w:rPr>
                <w:rFonts w:ascii="仿宋_GB2312" w:hAnsi="仿宋_GB2312" w:cs="仿宋_GB2312"/>
                <w:snapToGrid/>
                <w:color w:val="000000"/>
                <w:kern w:val="2"/>
                <w:sz w:val="28"/>
                <w:szCs w:val="28"/>
                <w:highlight w:val="none"/>
              </w:rPr>
              <w:t>月</w:t>
            </w:r>
            <w:r>
              <w:rPr>
                <w:rFonts w:hint="eastAsia" w:ascii="仿宋_GB2312" w:hAnsi="仿宋_GB2312" w:cs="仿宋_GB2312"/>
                <w:snapToGrid/>
                <w:color w:val="000000"/>
                <w:kern w:val="2"/>
                <w:sz w:val="28"/>
                <w:szCs w:val="28"/>
                <w:highlight w:val="none"/>
                <w:lang w:val="en-US" w:eastAsia="zh-CN"/>
              </w:rPr>
              <w:t>31</w:t>
            </w:r>
            <w:r>
              <w:rPr>
                <w:rFonts w:ascii="仿宋_GB2312" w:hAnsi="仿宋_GB2312" w:cs="仿宋_GB2312"/>
                <w:snapToGrid/>
                <w:color w:val="000000"/>
                <w:kern w:val="2"/>
                <w:sz w:val="28"/>
                <w:szCs w:val="28"/>
                <w:highlight w:val="none"/>
              </w:rPr>
              <w:t>日印发</w:t>
            </w:r>
          </w:p>
        </w:tc>
      </w:tr>
    </w:tbl>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eastAsia="仿宋_GB231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I4NjM3ZDkwOWYwOWZjYTFmMWUzNjdmNGE3MDk0MTQifQ=="/>
  </w:docVars>
  <w:rsids>
    <w:rsidRoot w:val="00805F8E"/>
    <w:rsid w:val="002A5198"/>
    <w:rsid w:val="003160F5"/>
    <w:rsid w:val="00805F8E"/>
    <w:rsid w:val="00967D21"/>
    <w:rsid w:val="032213EB"/>
    <w:rsid w:val="1FF176A1"/>
    <w:rsid w:val="2D9874B7"/>
    <w:rsid w:val="3AFB643D"/>
    <w:rsid w:val="3C7C2C4D"/>
    <w:rsid w:val="41166990"/>
    <w:rsid w:val="473420AD"/>
    <w:rsid w:val="47350E2C"/>
    <w:rsid w:val="4F445C26"/>
    <w:rsid w:val="51DD5CA7"/>
    <w:rsid w:val="59842CF7"/>
    <w:rsid w:val="720A068C"/>
    <w:rsid w:val="78793730"/>
    <w:rsid w:val="7AE61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rPr>
      <w:rFonts w:ascii="Calibri" w:hAnsi="Calibri"/>
      <w:szCs w:val="22"/>
    </w:rPr>
  </w:style>
  <w:style w:type="paragraph" w:styleId="4">
    <w:name w:val="Normal Indent"/>
    <w:basedOn w:val="1"/>
    <w:next w:val="5"/>
    <w:link w:val="12"/>
    <w:qFormat/>
    <w:uiPriority w:val="0"/>
    <w:rPr>
      <w:rFonts w:asciiTheme="minorHAnsi" w:hAnsiTheme="minorHAnsi" w:cstheme="minorBidi"/>
    </w:rPr>
  </w:style>
  <w:style w:type="paragraph" w:styleId="5">
    <w:name w:val="Body Text First Indent 2"/>
    <w:basedOn w:val="6"/>
    <w:next w:val="1"/>
    <w:link w:val="14"/>
    <w:semiHidden/>
    <w:unhideWhenUsed/>
    <w:qFormat/>
    <w:uiPriority w:val="99"/>
    <w:pPr>
      <w:ind w:firstLine="420"/>
    </w:pPr>
  </w:style>
  <w:style w:type="paragraph" w:styleId="6">
    <w:name w:val="Body Text Indent"/>
    <w:basedOn w:val="1"/>
    <w:next w:val="1"/>
    <w:link w:val="13"/>
    <w:semiHidden/>
    <w:unhideWhenUsed/>
    <w:qFormat/>
    <w:uiPriority w:val="99"/>
    <w:pPr>
      <w:spacing w:after="120"/>
      <w:ind w:left="420" w:leftChars="200"/>
    </w:pPr>
  </w:style>
  <w:style w:type="paragraph" w:styleId="7">
    <w:name w:val="Body Text"/>
    <w:basedOn w:val="1"/>
    <w:next w:val="6"/>
    <w:qFormat/>
    <w:uiPriority w:val="99"/>
    <w:pPr>
      <w:spacing w:after="120" w:afterLines="0" w:afterAutospacing="0"/>
    </w:pPr>
  </w:style>
  <w:style w:type="paragraph" w:styleId="8">
    <w:name w:val="Date"/>
    <w:basedOn w:val="1"/>
    <w:next w:val="1"/>
    <w:link w:val="15"/>
    <w:semiHidden/>
    <w:unhideWhenUsed/>
    <w:qFormat/>
    <w:uiPriority w:val="99"/>
    <w:pPr>
      <w:ind w:left="100" w:leftChars="2500"/>
    </w:pPr>
  </w:style>
  <w:style w:type="character" w:styleId="11">
    <w:name w:val="Emphasis"/>
    <w:basedOn w:val="10"/>
    <w:qFormat/>
    <w:uiPriority w:val="20"/>
    <w:rPr>
      <w:i/>
    </w:rPr>
  </w:style>
  <w:style w:type="character" w:customStyle="1" w:styleId="12">
    <w:name w:val="正文缩进 字符"/>
    <w:link w:val="4"/>
    <w:qFormat/>
    <w:uiPriority w:val="0"/>
    <w:rPr>
      <w:rFonts w:eastAsia="仿宋_GB2312"/>
      <w:sz w:val="32"/>
      <w:szCs w:val="24"/>
    </w:rPr>
  </w:style>
  <w:style w:type="character" w:customStyle="1" w:styleId="13">
    <w:name w:val="正文文本缩进 字符"/>
    <w:basedOn w:val="10"/>
    <w:link w:val="6"/>
    <w:semiHidden/>
    <w:qFormat/>
    <w:uiPriority w:val="99"/>
    <w:rPr>
      <w:rFonts w:ascii="Times New Roman" w:hAnsi="Times New Roman" w:eastAsia="仿宋_GB2312" w:cs="Times New Roman"/>
      <w:sz w:val="32"/>
      <w:szCs w:val="24"/>
    </w:rPr>
  </w:style>
  <w:style w:type="character" w:customStyle="1" w:styleId="14">
    <w:name w:val="正文文本首行缩进 2 字符"/>
    <w:basedOn w:val="13"/>
    <w:link w:val="5"/>
    <w:semiHidden/>
    <w:qFormat/>
    <w:uiPriority w:val="99"/>
    <w:rPr>
      <w:rFonts w:ascii="Times New Roman" w:hAnsi="Times New Roman" w:eastAsia="仿宋_GB2312" w:cs="Times New Roman"/>
      <w:sz w:val="32"/>
      <w:szCs w:val="24"/>
    </w:rPr>
  </w:style>
  <w:style w:type="character" w:customStyle="1" w:styleId="15">
    <w:name w:val="日期 字符"/>
    <w:basedOn w:val="10"/>
    <w:link w:val="8"/>
    <w:semiHidden/>
    <w:qFormat/>
    <w:uiPriority w:val="99"/>
    <w:rPr>
      <w:rFonts w:ascii="Times New Roman" w:hAnsi="Times New Roman" w:eastAsia="仿宋_GB2312" w:cs="Times New Roman"/>
      <w:sz w:val="32"/>
      <w:szCs w:val="24"/>
    </w:rPr>
  </w:style>
  <w:style w:type="table" w:customStyle="1" w:styleId="16">
    <w:name w:val="Table Normal"/>
    <w:semiHidden/>
    <w:unhideWhenUsed/>
    <w:qFormat/>
    <w:uiPriority w:val="0"/>
    <w:rPr>
      <w:rFonts w:ascii="Arial" w:hAnsi="Arial" w:cs="Arial"/>
      <w:snapToGrid w:val="0"/>
      <w:color w:val="000000"/>
      <w:kern w:val="0"/>
      <w:szCs w:val="21"/>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2194</Words>
  <Characters>2352</Characters>
  <Lines>14</Lines>
  <Paragraphs>4</Paragraphs>
  <TotalTime>1</TotalTime>
  <ScaleCrop>false</ScaleCrop>
  <LinksUpToDate>false</LinksUpToDate>
  <CharactersWithSpaces>2418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2022-09-08T09:22:00Z</dcterms:created>
  <dc:creator>微软用户</dc:creator>
  <cp:lastModifiedBy>Administrator</cp:lastModifiedBy>
  <cp:lastPrinted>2022-12-12T10:39:00Z</cp:lastPrinted>
  <dcterms:modified xsi:type="dcterms:W3CDTF">2023-04-17T08:55:14Z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C5D071F97F824D51BED501850B1D5102_13</vt:lpwstr>
  </property>
</Properties>
</file>