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8280"/>
        </w:tabs>
        <w:spacing w:line="560" w:lineRule="exact"/>
        <w:ind w:right="26" w:firstLine="0" w:firstLineChars="0"/>
        <w:jc w:val="right"/>
        <w:rPr>
          <w:rFonts w:eastAsia="仿宋"/>
        </w:rPr>
      </w:pPr>
      <w:bookmarkStart w:id="2" w:name="_GoBack"/>
      <w:bookmarkEnd w:id="2"/>
    </w:p>
    <w:p>
      <w:pPr>
        <w:pStyle w:val="3"/>
        <w:spacing w:line="560" w:lineRule="exact"/>
        <w:ind w:firstLine="480"/>
        <w:rPr>
          <w:sz w:val="24"/>
        </w:rPr>
      </w:pPr>
    </w:p>
    <w:p>
      <w:pPr>
        <w:tabs>
          <w:tab w:val="left" w:pos="8280"/>
        </w:tabs>
        <w:spacing w:line="560" w:lineRule="exact"/>
        <w:ind w:right="26" w:firstLine="0" w:firstLineChars="0"/>
        <w:jc w:val="right"/>
      </w:pPr>
    </w:p>
    <w:p>
      <w:pPr>
        <w:pStyle w:val="3"/>
        <w:spacing w:line="560" w:lineRule="exact"/>
        <w:ind w:firstLine="640"/>
      </w:pPr>
    </w:p>
    <w:p>
      <w:pPr>
        <w:pStyle w:val="3"/>
        <w:spacing w:line="560" w:lineRule="exact"/>
        <w:ind w:firstLine="640"/>
      </w:pPr>
    </w:p>
    <w:p>
      <w:pPr>
        <w:pStyle w:val="3"/>
        <w:spacing w:line="560" w:lineRule="exact"/>
        <w:ind w:firstLine="640"/>
      </w:pPr>
    </w:p>
    <w:p>
      <w:pPr>
        <w:pStyle w:val="3"/>
        <w:spacing w:line="560" w:lineRule="exact"/>
        <w:ind w:firstLine="640"/>
      </w:pPr>
    </w:p>
    <w:p>
      <w:pPr>
        <w:pStyle w:val="3"/>
        <w:spacing w:line="560" w:lineRule="exact"/>
        <w:ind w:firstLine="640"/>
      </w:pPr>
    </w:p>
    <w:p>
      <w:pPr>
        <w:pStyle w:val="4"/>
        <w:ind w:firstLine="0" w:firstLineChars="0"/>
      </w:pPr>
    </w:p>
    <w:p>
      <w:pPr>
        <w:pStyle w:val="3"/>
        <w:spacing w:line="560" w:lineRule="exact"/>
        <w:ind w:firstLine="640"/>
      </w:pPr>
    </w:p>
    <w:p>
      <w:pPr>
        <w:spacing w:line="540" w:lineRule="exact"/>
        <w:jc w:val="center"/>
        <w:rPr>
          <w:rFonts w:ascii="Times New Roman" w:hAnsi="Times New Roman" w:eastAsia="仿宋_GB2312" w:cs="Times New Roman"/>
          <w:color w:val="auto"/>
          <w:sz w:val="32"/>
          <w:szCs w:val="24"/>
        </w:rPr>
      </w:pPr>
      <w:r>
        <w:rPr>
          <w:rFonts w:ascii="Times New Roman" w:hAnsi="Times New Roman" w:eastAsia="仿宋_GB2312" w:cs="Times New Roman"/>
          <w:color w:val="auto"/>
          <w:sz w:val="32"/>
          <w:szCs w:val="24"/>
        </w:rPr>
        <w:t>鄂环审字〔2023〕</w:t>
      </w:r>
      <w:r>
        <w:rPr>
          <w:rFonts w:hint="eastAsia" w:ascii="Times New Roman" w:hAnsi="Times New Roman" w:eastAsia="仿宋_GB2312" w:cs="Times New Roman"/>
          <w:color w:val="auto"/>
          <w:sz w:val="32"/>
          <w:szCs w:val="24"/>
          <w:lang w:val="en-US" w:eastAsia="zh-CN"/>
        </w:rPr>
        <w:t>50</w:t>
      </w:r>
      <w:r>
        <w:rPr>
          <w:rFonts w:ascii="Times New Roman" w:hAnsi="Times New Roman" w:eastAsia="仿宋_GB2312" w:cs="Times New Roman"/>
          <w:color w:val="auto"/>
          <w:sz w:val="32"/>
          <w:szCs w:val="24"/>
        </w:rPr>
        <w:t>号</w:t>
      </w:r>
    </w:p>
    <w:p>
      <w:pPr>
        <w:pStyle w:val="3"/>
        <w:spacing w:line="560" w:lineRule="exact"/>
        <w:ind w:firstLine="0" w:firstLineChars="0"/>
        <w:jc w:val="center"/>
        <w:rPr>
          <w:color w:val="auto"/>
        </w:rPr>
      </w:pPr>
    </w:p>
    <w:p>
      <w:pPr>
        <w:spacing w:line="640" w:lineRule="exact"/>
        <w:jc w:val="center"/>
        <w:rPr>
          <w:rFonts w:ascii="Times New Roman" w:hAnsi="Times New Roman" w:eastAsia="宋体" w:cs="Times New Roman"/>
          <w:b/>
          <w:sz w:val="44"/>
          <w:szCs w:val="44"/>
          <w:lang w:val="zh-TW" w:eastAsia="zh-TW" w:bidi="zh-TW"/>
        </w:rPr>
      </w:pPr>
      <w:r>
        <w:rPr>
          <w:rFonts w:ascii="Times New Roman" w:hAnsi="Times New Roman" w:eastAsia="宋体" w:cs="Times New Roman"/>
          <w:b/>
          <w:sz w:val="44"/>
          <w:szCs w:val="44"/>
          <w:lang w:val="zh-TW" w:eastAsia="zh-TW" w:bidi="zh-TW"/>
        </w:rPr>
        <w:t>鄂尔多斯市生态环境局关于</w:t>
      </w:r>
    </w:p>
    <w:p>
      <w:pPr>
        <w:spacing w:line="640" w:lineRule="exact"/>
        <w:jc w:val="center"/>
        <w:rPr>
          <w:rFonts w:ascii="Times New Roman" w:hAnsi="Times New Roman" w:eastAsia="宋体" w:cs="Times New Roman"/>
          <w:b/>
          <w:sz w:val="44"/>
          <w:szCs w:val="44"/>
          <w:lang w:val="zh-TW" w:eastAsia="zh-TW" w:bidi="zh-TW"/>
        </w:rPr>
      </w:pPr>
      <w:r>
        <w:rPr>
          <w:rFonts w:hint="eastAsia" w:ascii="Times New Roman" w:hAnsi="Times New Roman" w:eastAsia="宋体" w:cs="Times New Roman"/>
          <w:b/>
          <w:sz w:val="44"/>
          <w:szCs w:val="44"/>
          <w:lang w:val="zh-TW" w:eastAsia="zh-TW" w:bidi="zh-TW"/>
        </w:rPr>
        <w:t>华北石油管理局有限公司苏里格勘探开发分公司</w:t>
      </w:r>
      <w:r>
        <w:rPr>
          <w:rFonts w:ascii="Times New Roman" w:hAnsi="Times New Roman" w:eastAsia="宋体" w:cs="Times New Roman"/>
          <w:b/>
          <w:sz w:val="44"/>
          <w:szCs w:val="44"/>
          <w:lang w:val="zh-TW" w:eastAsia="zh-TW" w:bidi="zh-TW"/>
        </w:rPr>
        <w:t>2022年苏75区块产能建设项目</w:t>
      </w:r>
    </w:p>
    <w:p>
      <w:pPr>
        <w:spacing w:line="640" w:lineRule="exact"/>
        <w:jc w:val="center"/>
        <w:rPr>
          <w:rFonts w:ascii="Times New Roman" w:hAnsi="Times New Roman" w:eastAsia="宋体" w:cs="Times New Roman"/>
          <w:b/>
          <w:sz w:val="44"/>
          <w:szCs w:val="44"/>
          <w:lang w:val="zh-TW" w:eastAsia="zh-TW" w:bidi="zh-TW"/>
        </w:rPr>
      </w:pPr>
      <w:r>
        <w:rPr>
          <w:rFonts w:ascii="Times New Roman" w:hAnsi="Times New Roman" w:eastAsia="宋体" w:cs="Times New Roman"/>
          <w:b/>
          <w:sz w:val="44"/>
          <w:szCs w:val="44"/>
          <w:lang w:val="zh-TW" w:eastAsia="zh-TW" w:bidi="zh-TW"/>
        </w:rPr>
        <w:t>环境影响报告书的批复</w:t>
      </w:r>
    </w:p>
    <w:p>
      <w:pPr>
        <w:spacing w:line="540" w:lineRule="exact"/>
        <w:ind w:firstLine="560" w:firstLineChars="200"/>
        <w:rPr>
          <w:rFonts w:ascii="仿宋" w:hAnsi="仿宋" w:eastAsia="仿宋" w:cs="仿宋"/>
          <w:sz w:val="28"/>
          <w:szCs w:val="24"/>
          <w:lang w:val="zh-TW" w:eastAsia="zh-TW" w:bidi="zh-TW"/>
        </w:rPr>
      </w:pPr>
    </w:p>
    <w:p>
      <w:pPr>
        <w:keepNext w:val="0"/>
        <w:keepLines w:val="0"/>
        <w:pageBreakBefore w:val="0"/>
        <w:kinsoku/>
        <w:wordWrap/>
        <w:overflowPunct/>
        <w:topLinePunct w:val="0"/>
        <w:bidi w:val="0"/>
        <w:spacing w:line="560" w:lineRule="exact"/>
        <w:textAlignment w:val="auto"/>
        <w:rPr>
          <w:rFonts w:ascii="仿宋_GB2312" w:hAnsi="仿宋_GB2312" w:eastAsia="仿宋_GB2312" w:cs="仿宋_GB2312"/>
          <w:sz w:val="32"/>
          <w:szCs w:val="32"/>
          <w:lang w:val="zh-TW" w:eastAsia="zh-TW" w:bidi="zh-TW"/>
        </w:rPr>
      </w:pPr>
      <w:r>
        <w:rPr>
          <w:rFonts w:hint="eastAsia" w:ascii="仿宋_GB2312" w:hAnsi="仿宋_GB2312" w:eastAsia="仿宋_GB2312" w:cs="仿宋_GB2312"/>
          <w:bCs/>
          <w:sz w:val="32"/>
          <w:szCs w:val="32"/>
          <w:lang w:eastAsia="zh-TW" w:bidi="zh-TW"/>
        </w:rPr>
        <w:t>华北石油管理局有限公司苏里格勘探开发分公司</w:t>
      </w:r>
      <w:r>
        <w:rPr>
          <w:rFonts w:hint="eastAsia" w:ascii="仿宋_GB2312" w:hAnsi="仿宋_GB2312" w:eastAsia="仿宋_GB2312" w:cs="仿宋_GB2312"/>
          <w:sz w:val="32"/>
          <w:szCs w:val="32"/>
          <w:lang w:val="zh-TW" w:eastAsia="zh-TW" w:bidi="zh-TW"/>
        </w:rPr>
        <w:t>：</w:t>
      </w:r>
    </w:p>
    <w:p>
      <w:pPr>
        <w:keepNext w:val="0"/>
        <w:keepLines w:val="0"/>
        <w:pageBreakBefore w:val="0"/>
        <w:kinsoku/>
        <w:wordWrap/>
        <w:overflowPunct/>
        <w:topLinePunct w:val="0"/>
        <w:bidi w:val="0"/>
        <w:spacing w:line="560" w:lineRule="exact"/>
        <w:ind w:firstLine="640" w:firstLineChars="200"/>
        <w:textAlignment w:val="auto"/>
        <w:rPr>
          <w:rFonts w:ascii="仿宋_GB2312" w:hAnsi="仿宋_GB2312" w:eastAsia="PMingLiU" w:cs="仿宋_GB2312"/>
          <w:sz w:val="32"/>
          <w:szCs w:val="32"/>
          <w:lang w:val="zh-TW" w:eastAsia="zh-TW" w:bidi="zh-TW"/>
        </w:rPr>
      </w:pPr>
      <w:r>
        <w:rPr>
          <w:rFonts w:hint="eastAsia" w:ascii="仿宋_GB2312" w:hAnsi="仿宋_GB2312" w:eastAsia="仿宋_GB2312" w:cs="仿宋_GB2312"/>
          <w:sz w:val="32"/>
          <w:szCs w:val="32"/>
          <w:lang w:val="zh-TW" w:eastAsia="zh-TW" w:bidi="zh-TW"/>
        </w:rPr>
        <w:t>你公司报送的由</w:t>
      </w:r>
      <w:r>
        <w:rPr>
          <w:rFonts w:hint="eastAsia" w:ascii="仿宋_GB2312" w:hAnsi="仿宋_GB2312" w:eastAsia="仿宋_GB2312" w:cs="仿宋_GB2312"/>
          <w:bCs/>
          <w:sz w:val="32"/>
          <w:szCs w:val="32"/>
          <w:lang w:eastAsia="zh-TW" w:bidi="zh-TW"/>
        </w:rPr>
        <w:t>河北奇正环境科技有限公司</w:t>
      </w:r>
      <w:r>
        <w:rPr>
          <w:rFonts w:hint="eastAsia" w:ascii="仿宋_GB2312" w:hAnsi="仿宋_GB2312" w:eastAsia="仿宋_GB2312" w:cs="仿宋_GB2312"/>
          <w:sz w:val="32"/>
          <w:szCs w:val="32"/>
          <w:lang w:val="zh-TW" w:eastAsia="zh-TW" w:bidi="zh-TW"/>
        </w:rPr>
        <w:t>编制的《</w:t>
      </w:r>
      <w:r>
        <w:rPr>
          <w:rFonts w:hint="eastAsia" w:ascii="仿宋_GB2312" w:hAnsi="仿宋_GB2312" w:eastAsia="仿宋_GB2312" w:cs="仿宋_GB2312"/>
          <w:bCs/>
          <w:sz w:val="32"/>
          <w:szCs w:val="32"/>
          <w:lang w:eastAsia="zh-TW" w:bidi="zh-TW"/>
        </w:rPr>
        <w:t>华北石油管理局有限公司苏里格勘探开发分公司</w:t>
      </w:r>
      <w:r>
        <w:rPr>
          <w:rFonts w:ascii="仿宋_GB2312" w:hAnsi="仿宋_GB2312" w:eastAsia="仿宋_GB2312" w:cs="仿宋_GB2312"/>
          <w:bCs/>
          <w:sz w:val="32"/>
          <w:szCs w:val="32"/>
          <w:lang w:eastAsia="zh-TW" w:bidi="zh-TW"/>
        </w:rPr>
        <w:t>2022年苏75区块产能建设项目</w:t>
      </w:r>
      <w:r>
        <w:rPr>
          <w:rFonts w:hint="eastAsia" w:ascii="仿宋_GB2312" w:hAnsi="仿宋_GB2312" w:eastAsia="仿宋_GB2312" w:cs="仿宋_GB2312"/>
          <w:sz w:val="32"/>
          <w:szCs w:val="32"/>
          <w:lang w:eastAsia="zh-TW" w:bidi="zh-TW"/>
        </w:rPr>
        <w:t>环境影响报告书</w:t>
      </w:r>
      <w:r>
        <w:rPr>
          <w:rFonts w:hint="eastAsia" w:ascii="仿宋_GB2312" w:hAnsi="仿宋_GB2312" w:eastAsia="仿宋_GB2312" w:cs="仿宋_GB2312"/>
          <w:sz w:val="32"/>
          <w:szCs w:val="32"/>
          <w:lang w:val="zh-TW" w:eastAsia="zh-TW" w:bidi="zh-TW"/>
        </w:rPr>
        <w:t>》（以下简称《报告书》）收悉</w:t>
      </w:r>
      <w:r>
        <w:rPr>
          <w:rFonts w:hint="eastAsia" w:ascii="仿宋_GB2312" w:hAnsi="仿宋_GB2312" w:eastAsia="仿宋_GB2312" w:cs="仿宋_GB2312"/>
          <w:sz w:val="32"/>
          <w:szCs w:val="32"/>
          <w:lang w:val="zh-TW" w:bidi="zh-TW"/>
        </w:rPr>
        <w:t>，</w:t>
      </w:r>
      <w:r>
        <w:rPr>
          <w:rFonts w:hint="eastAsia" w:ascii="仿宋_GB2312" w:hAnsi="仿宋_GB2312" w:eastAsia="仿宋_GB2312" w:cs="仿宋_GB2312"/>
          <w:sz w:val="32"/>
          <w:szCs w:val="32"/>
          <w:lang w:bidi="zh-TW"/>
        </w:rPr>
        <w:t>鄂尔多斯市生态环境局</w:t>
      </w:r>
      <w:r>
        <w:rPr>
          <w:rFonts w:hint="eastAsia" w:ascii="仿宋_GB2312" w:hAnsi="仿宋_GB2312" w:eastAsia="仿宋_GB2312" w:cs="仿宋_GB2312"/>
          <w:sz w:val="32"/>
          <w:szCs w:val="32"/>
          <w:lang w:val="zh-TW" w:bidi="zh-TW"/>
        </w:rPr>
        <w:t>综合保障中心</w:t>
      </w:r>
      <w:r>
        <w:rPr>
          <w:rFonts w:hint="eastAsia" w:ascii="仿宋_GB2312" w:hAnsi="仿宋_GB2312" w:eastAsia="仿宋_GB2312" w:cs="仿宋_GB2312"/>
          <w:sz w:val="32"/>
          <w:szCs w:val="32"/>
          <w:lang w:val="zh-TW" w:eastAsia="zh-TW" w:bidi="zh-TW"/>
        </w:rPr>
        <w:t>组织专家对该项目进行了技术评估，并形成了技术评估报告，根据《报告书》和《技术评估报告》，经</w:t>
      </w:r>
      <w:r>
        <w:rPr>
          <w:rFonts w:hint="eastAsia" w:ascii="仿宋_GB2312" w:hAnsi="仿宋_GB2312" w:eastAsia="仿宋_GB2312" w:cs="仿宋_GB2312"/>
          <w:sz w:val="32"/>
          <w:szCs w:val="32"/>
          <w:lang w:bidi="zh-TW"/>
        </w:rPr>
        <w:t>研究</w:t>
      </w:r>
      <w:r>
        <w:rPr>
          <w:rFonts w:hint="eastAsia" w:ascii="仿宋_GB2312" w:hAnsi="仿宋_GB2312" w:eastAsia="仿宋_GB2312" w:cs="仿宋_GB2312"/>
          <w:sz w:val="32"/>
          <w:szCs w:val="32"/>
          <w:lang w:val="zh-TW" w:eastAsia="zh-TW" w:bidi="zh-TW"/>
        </w:rPr>
        <w:t>，现批复如下：</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lang w:val="zh-TW" w:eastAsia="zh-CN" w:bidi="zh-TW"/>
        </w:rPr>
      </w:pPr>
      <w:r>
        <w:rPr>
          <w:rFonts w:hint="eastAsia" w:ascii="仿宋_GB2312" w:hAnsi="仿宋_GB2312" w:eastAsia="仿宋_GB2312" w:cs="仿宋_GB2312"/>
          <w:sz w:val="32"/>
          <w:szCs w:val="32"/>
          <w:lang w:val="zh-TW" w:eastAsia="zh-TW" w:bidi="zh-TW"/>
        </w:rPr>
        <w:t>一、该项目位于鄂尔多斯市鄂托克旗境内</w:t>
      </w:r>
      <w:r>
        <w:rPr>
          <w:rFonts w:hint="eastAsia" w:ascii="仿宋_GB2312" w:hAnsi="仿宋_GB2312" w:eastAsia="仿宋_GB2312" w:cs="仿宋_GB2312"/>
          <w:bCs/>
          <w:sz w:val="32"/>
          <w:szCs w:val="32"/>
          <w:lang w:eastAsia="zh-TW" w:bidi="zh-TW"/>
        </w:rPr>
        <w:t>。</w:t>
      </w:r>
      <w:r>
        <w:rPr>
          <w:rFonts w:hint="eastAsia" w:ascii="仿宋_GB2312" w:hAnsi="仿宋_GB2312" w:eastAsia="仿宋_GB2312" w:cs="仿宋_GB2312"/>
          <w:sz w:val="32"/>
          <w:szCs w:val="32"/>
          <w:lang w:val="zh-TW" w:bidi="zh-TW"/>
        </w:rPr>
        <w:t>主要建设内容包括</w:t>
      </w:r>
      <w:r>
        <w:rPr>
          <w:rFonts w:hint="eastAsia" w:ascii="仿宋_GB2312" w:hAnsi="仿宋_GB2312" w:eastAsia="仿宋_GB2312" w:cs="仿宋_GB2312"/>
          <w:sz w:val="32"/>
          <w:szCs w:val="32"/>
          <w:lang w:eastAsia="zh-TW" w:bidi="zh-TW"/>
        </w:rPr>
        <w:t>新增钻井202口，新建回注水处理站1座</w:t>
      </w:r>
      <w:r>
        <w:rPr>
          <w:rFonts w:hint="eastAsia" w:ascii="仿宋_GB2312" w:hAnsi="仿宋_GB2312" w:eastAsia="仿宋_GB2312" w:cs="仿宋_GB2312"/>
          <w:sz w:val="32"/>
          <w:szCs w:val="32"/>
          <w:lang w:eastAsia="zh-CN" w:bidi="zh-TW"/>
        </w:rPr>
        <w:t>、</w:t>
      </w:r>
      <w:r>
        <w:rPr>
          <w:rFonts w:hint="eastAsia" w:ascii="仿宋_GB2312" w:hAnsi="仿宋_GB2312" w:eastAsia="仿宋_GB2312" w:cs="仿宋_GB2312"/>
          <w:sz w:val="32"/>
          <w:szCs w:val="32"/>
          <w:lang w:eastAsia="zh-TW" w:bidi="zh-TW"/>
        </w:rPr>
        <w:t>回注井5口</w:t>
      </w:r>
      <w:r>
        <w:rPr>
          <w:rFonts w:hint="eastAsia" w:ascii="仿宋_GB2312" w:hAnsi="仿宋_GB2312" w:eastAsia="仿宋_GB2312" w:cs="仿宋_GB2312"/>
          <w:sz w:val="32"/>
          <w:szCs w:val="32"/>
          <w:lang w:eastAsia="zh-CN" w:bidi="zh-TW"/>
        </w:rPr>
        <w:t>，</w:t>
      </w:r>
      <w:r>
        <w:rPr>
          <w:rFonts w:hint="eastAsia" w:ascii="仿宋_GB2312" w:hAnsi="仿宋_GB2312" w:eastAsia="仿宋_GB2312" w:cs="仿宋_GB2312"/>
          <w:sz w:val="32"/>
          <w:szCs w:val="32"/>
          <w:lang w:eastAsia="zh-TW" w:bidi="zh-TW"/>
        </w:rPr>
        <w:t>采气管线7条共12.54km、采出液管线2条共29.06km、注水管线6条共67.46km</w:t>
      </w:r>
      <w:r>
        <w:rPr>
          <w:rFonts w:hint="eastAsia" w:ascii="仿宋_GB2312" w:hAnsi="仿宋_GB2312" w:eastAsia="仿宋_GB2312" w:cs="仿宋_GB2312"/>
          <w:sz w:val="32"/>
          <w:szCs w:val="32"/>
          <w:lang w:eastAsia="zh-CN" w:bidi="zh-TW"/>
        </w:rPr>
        <w:t>、</w:t>
      </w:r>
      <w:r>
        <w:rPr>
          <w:rFonts w:hint="eastAsia" w:ascii="仿宋_GB2312" w:hAnsi="仿宋_GB2312" w:eastAsia="仿宋_GB2312" w:cs="仿宋_GB2312"/>
          <w:sz w:val="32"/>
          <w:szCs w:val="32"/>
          <w:lang w:eastAsia="zh-TW" w:bidi="zh-TW"/>
        </w:rPr>
        <w:t>井场伴行道路8.35km、施工便道4.5km，同时配套建设通信、自控工程等配套辅助工程。本项目部署产能</w:t>
      </w:r>
      <w:r>
        <w:rPr>
          <w:rFonts w:ascii="Times New Roman" w:hAnsi="Times New Roman" w:eastAsia="仿宋_GB2312"/>
          <w:color w:val="000000"/>
          <w:sz w:val="32"/>
        </w:rPr>
        <w:t>2.</w:t>
      </w:r>
      <w:r>
        <w:rPr>
          <w:rFonts w:hint="eastAsia" w:ascii="Times New Roman" w:hAnsi="Times New Roman" w:eastAsia="仿宋_GB2312"/>
          <w:color w:val="000000"/>
          <w:sz w:val="32"/>
          <w:lang w:val="en-US" w:eastAsia="zh-CN"/>
        </w:rPr>
        <w:t>2</w:t>
      </w:r>
      <w:r>
        <w:rPr>
          <w:rFonts w:ascii="Times New Roman" w:hAnsi="Times New Roman" w:eastAsia="仿宋_GB2312"/>
          <w:color w:val="000000"/>
          <w:sz w:val="32"/>
        </w:rPr>
        <w:t>×10</w:t>
      </w:r>
      <w:r>
        <w:rPr>
          <w:rFonts w:ascii="Times New Roman" w:hAnsi="Times New Roman" w:eastAsia="仿宋_GB2312"/>
          <w:color w:val="000000"/>
          <w:sz w:val="32"/>
          <w:vertAlign w:val="superscript"/>
        </w:rPr>
        <w:t>8</w:t>
      </w:r>
      <w:r>
        <w:rPr>
          <w:rFonts w:ascii="Times New Roman" w:hAnsi="Times New Roman" w:eastAsia="仿宋_GB2312"/>
          <w:color w:val="000000"/>
          <w:sz w:val="32"/>
        </w:rPr>
        <w:t>m</w:t>
      </w:r>
      <w:r>
        <w:rPr>
          <w:rFonts w:ascii="Times New Roman" w:hAnsi="Times New Roman" w:eastAsia="仿宋_GB2312"/>
          <w:color w:val="000000"/>
          <w:sz w:val="32"/>
          <w:vertAlign w:val="superscript"/>
        </w:rPr>
        <w:t>3</w:t>
      </w:r>
      <w:r>
        <w:rPr>
          <w:rFonts w:ascii="Times New Roman" w:hAnsi="Times New Roman" w:eastAsia="仿宋_GB2312"/>
          <w:color w:val="000000"/>
          <w:sz w:val="32"/>
        </w:rPr>
        <w:t>/a</w:t>
      </w:r>
      <w:r>
        <w:rPr>
          <w:rFonts w:hint="eastAsia" w:ascii="仿宋_GB2312" w:hAnsi="仿宋_GB2312" w:eastAsia="仿宋_GB2312" w:cs="仿宋_GB2312"/>
          <w:sz w:val="32"/>
          <w:szCs w:val="32"/>
          <w:lang w:eastAsia="zh-TW" w:bidi="zh-TW"/>
        </w:rPr>
        <w:t>，全为弥补递减</w:t>
      </w:r>
      <w:r>
        <w:rPr>
          <w:rFonts w:hint="eastAsia" w:ascii="仿宋_GB2312" w:hAnsi="仿宋_GB2312" w:eastAsia="仿宋_GB2312" w:cs="仿宋_GB2312"/>
          <w:sz w:val="32"/>
          <w:szCs w:val="32"/>
          <w:lang w:bidi="zh-TW"/>
        </w:rPr>
        <w:t>产能，</w:t>
      </w:r>
      <w:r>
        <w:rPr>
          <w:rFonts w:hint="eastAsia" w:ascii="仿宋_GB2312" w:hAnsi="仿宋" w:eastAsia="仿宋_GB2312" w:cs="仿宋"/>
          <w:sz w:val="32"/>
          <w:szCs w:val="32"/>
          <w:lang w:val="zh-TW" w:eastAsia="zh-TW" w:bidi="zh-TW"/>
        </w:rPr>
        <w:t>项目建成后开发范围内的产能规模保持不变。</w:t>
      </w:r>
      <w:r>
        <w:rPr>
          <w:rFonts w:hint="eastAsia" w:ascii="仿宋_GB2312" w:hAnsi="仿宋_GB2312" w:eastAsia="仿宋_GB2312" w:cs="仿宋_GB2312"/>
          <w:sz w:val="32"/>
          <w:szCs w:val="32"/>
          <w:lang w:val="zh-TW" w:eastAsia="zh-TW" w:bidi="zh-TW"/>
        </w:rPr>
        <w:t>项目</w:t>
      </w:r>
      <w:r>
        <w:rPr>
          <w:rFonts w:ascii="Times New Roman" w:hAnsi="Times New Roman" w:eastAsia="仿宋_GB2312"/>
          <w:sz w:val="32"/>
          <w:szCs w:val="20"/>
        </w:rPr>
        <w:t>总投资</w:t>
      </w:r>
      <w:r>
        <w:rPr>
          <w:rFonts w:hint="eastAsia" w:ascii="Times New Roman" w:hAnsi="Times New Roman" w:eastAsia="仿宋_GB2312"/>
          <w:sz w:val="32"/>
        </w:rPr>
        <w:t>44106</w:t>
      </w:r>
      <w:r>
        <w:rPr>
          <w:rFonts w:ascii="Times New Roman" w:hAnsi="Times New Roman" w:eastAsia="仿宋_GB2312"/>
          <w:sz w:val="32"/>
          <w:szCs w:val="20"/>
        </w:rPr>
        <w:t>万元，其中环保投资4201万元</w:t>
      </w:r>
      <w:r>
        <w:rPr>
          <w:rFonts w:hint="eastAsia" w:ascii="Times New Roman" w:hAnsi="Times New Roman" w:eastAsia="仿宋_GB2312"/>
          <w:sz w:val="32"/>
          <w:szCs w:val="20"/>
          <w:lang w:eastAsia="zh-CN"/>
        </w:rPr>
        <w:t>。</w:t>
      </w:r>
    </w:p>
    <w:p>
      <w:pPr>
        <w:keepNext w:val="0"/>
        <w:keepLines w:val="0"/>
        <w:pageBreakBefore w:val="0"/>
        <w:kinsoku/>
        <w:wordWrap/>
        <w:overflowPunct/>
        <w:topLinePunct w:val="0"/>
        <w:bidi w:val="0"/>
        <w:spacing w:line="560" w:lineRule="exact"/>
        <w:ind w:firstLine="640" w:firstLineChars="200"/>
        <w:textAlignment w:val="auto"/>
        <w:rPr>
          <w:rFonts w:ascii="仿宋_GB2312" w:hAnsi="仿宋_GB2312" w:eastAsia="PMingLiU" w:cs="仿宋_GB2312"/>
          <w:sz w:val="32"/>
          <w:szCs w:val="32"/>
          <w:lang w:val="zh-TW" w:eastAsia="zh-TW" w:bidi="zh-TW"/>
        </w:rPr>
      </w:pPr>
      <w:r>
        <w:rPr>
          <w:rFonts w:hint="eastAsia" w:ascii="仿宋_GB2312" w:hAnsi="仿宋_GB2312" w:eastAsia="仿宋_GB2312" w:cs="仿宋_GB2312"/>
          <w:sz w:val="32"/>
          <w:szCs w:val="32"/>
          <w:lang w:val="zh-TW" w:eastAsia="zh-TW" w:bidi="zh-TW"/>
        </w:rPr>
        <w:t>《报告书》</w:t>
      </w:r>
      <w:r>
        <w:rPr>
          <w:rFonts w:hint="eastAsia" w:ascii="仿宋_GB2312" w:hAnsi="仿宋_GB2312" w:eastAsia="仿宋_GB2312" w:cs="仿宋_GB2312"/>
          <w:sz w:val="32"/>
          <w:szCs w:val="32"/>
          <w:lang w:bidi="zh-TW"/>
        </w:rPr>
        <w:t>和《技术评估报告》</w:t>
      </w:r>
      <w:r>
        <w:rPr>
          <w:rFonts w:hint="eastAsia" w:ascii="仿宋_GB2312" w:hAnsi="仿宋_GB2312" w:eastAsia="仿宋_GB2312" w:cs="仿宋_GB2312"/>
          <w:sz w:val="32"/>
          <w:szCs w:val="32"/>
          <w:lang w:val="zh-TW" w:eastAsia="zh-TW" w:bidi="zh-TW"/>
        </w:rPr>
        <w:t>认为，在全面落实各项生态环境保护和环境污染防治措施的前提下，项目建设对环境的不利影响能够得到一定的缓解和控制。因此，我局原则同意你公司按照《报告书》和《技术评估报告》中所列的建设项目性质、规模、地点、工艺、环境保护措施进行建设。</w:t>
      </w:r>
    </w:p>
    <w:p>
      <w:pPr>
        <w:keepNext w:val="0"/>
        <w:keepLines w:val="0"/>
        <w:pageBreakBefore w:val="0"/>
        <w:kinsoku/>
        <w:wordWrap/>
        <w:overflowPunct/>
        <w:topLinePunct w:val="0"/>
        <w:bidi w:val="0"/>
        <w:spacing w:line="560" w:lineRule="exact"/>
        <w:ind w:firstLine="640" w:firstLineChars="200"/>
        <w:textAlignment w:val="auto"/>
        <w:rPr>
          <w:rFonts w:ascii="仿宋_GB2312" w:hAnsi="仿宋_GB2312" w:eastAsia="仿宋_GB2312" w:cs="仿宋_GB2312"/>
          <w:sz w:val="32"/>
          <w:szCs w:val="32"/>
          <w:lang w:val="zh-TW" w:eastAsia="zh-TW" w:bidi="zh-TW"/>
        </w:rPr>
      </w:pPr>
      <w:r>
        <w:rPr>
          <w:rFonts w:hint="eastAsia" w:ascii="仿宋_GB2312" w:hAnsi="仿宋_GB2312" w:eastAsia="仿宋_GB2312" w:cs="仿宋_GB2312"/>
          <w:sz w:val="32"/>
          <w:szCs w:val="32"/>
          <w:lang w:val="zh-TW" w:bidi="zh-TW"/>
        </w:rPr>
        <w:t>二、</w:t>
      </w:r>
      <w:r>
        <w:rPr>
          <w:rFonts w:hint="eastAsia" w:ascii="仿宋_GB2312" w:hAnsi="仿宋_GB2312" w:eastAsia="仿宋_GB2312" w:cs="仿宋_GB2312"/>
          <w:sz w:val="32"/>
          <w:szCs w:val="32"/>
          <w:lang w:val="zh-TW" w:eastAsia="zh-TW" w:bidi="zh-TW"/>
        </w:rPr>
        <w:t>项目建设与运行管理中应重点做好的工作：</w:t>
      </w:r>
    </w:p>
    <w:p>
      <w:pPr>
        <w:keepNext w:val="0"/>
        <w:keepLines w:val="0"/>
        <w:pageBreakBefore w:val="0"/>
        <w:tabs>
          <w:tab w:val="left" w:pos="976"/>
        </w:tabs>
        <w:kinsoku/>
        <w:wordWrap/>
        <w:overflowPunct/>
        <w:topLinePunct w:val="0"/>
        <w:bidi w:val="0"/>
        <w:spacing w:line="560" w:lineRule="exact"/>
        <w:ind w:firstLine="640" w:firstLineChars="200"/>
        <w:textAlignment w:val="auto"/>
        <w:rPr>
          <w:rFonts w:ascii="仿宋_GB2312" w:hAnsi="仿宋_GB2312" w:eastAsia="仿宋_GB2312" w:cs="仿宋_GB2312"/>
          <w:sz w:val="32"/>
          <w:szCs w:val="32"/>
          <w:lang w:val="zh-TW" w:eastAsia="zh-TW" w:bidi="zh-TW"/>
        </w:rPr>
      </w:pPr>
      <w:bookmarkStart w:id="0" w:name="bookmark2"/>
      <w:bookmarkEnd w:id="0"/>
      <w:bookmarkStart w:id="1" w:name="bookmark3"/>
      <w:bookmarkEnd w:id="1"/>
      <w:r>
        <w:rPr>
          <w:rFonts w:hint="eastAsia" w:ascii="Times New Roman" w:hAnsi="Times New Roman" w:eastAsia="仿宋_GB2312" w:cs="Times New Roman"/>
          <w:kern w:val="2"/>
          <w:sz w:val="32"/>
          <w:szCs w:val="24"/>
          <w:lang w:val="zh-TW" w:eastAsia="zh-TW" w:bidi="ar-SA"/>
        </w:rPr>
        <w:t>1.</w:t>
      </w:r>
      <w:r>
        <w:rPr>
          <w:rFonts w:hint="eastAsia" w:ascii="仿宋_GB2312" w:hAnsi="仿宋_GB2312" w:eastAsia="仿宋_GB2312" w:cs="仿宋_GB2312"/>
          <w:sz w:val="32"/>
          <w:szCs w:val="32"/>
          <w:lang w:val="zh-TW" w:eastAsia="zh-TW" w:bidi="zh-TW"/>
        </w:rPr>
        <w:t>认真落实《鄂尔多斯市天然气开发环境保护管理办法》（试行）中提出的各项规定和要求。</w:t>
      </w:r>
    </w:p>
    <w:p>
      <w:pPr>
        <w:keepNext w:val="0"/>
        <w:keepLines w:val="0"/>
        <w:pageBreakBefore w:val="0"/>
        <w:kinsoku/>
        <w:wordWrap/>
        <w:overflowPunct/>
        <w:topLinePunct w:val="0"/>
        <w:bidi w:val="0"/>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kern w:val="2"/>
          <w:sz w:val="32"/>
          <w:szCs w:val="24"/>
          <w:lang w:val="en-US" w:eastAsia="zh-CN" w:bidi="ar-SA"/>
        </w:rPr>
        <w:t>2.</w:t>
      </w:r>
      <w:r>
        <w:rPr>
          <w:rFonts w:hint="eastAsia" w:ascii="仿宋_GB2312" w:hAnsi="仿宋_GB2312" w:eastAsia="仿宋_GB2312" w:cs="仿宋_GB2312"/>
          <w:sz w:val="32"/>
          <w:szCs w:val="32"/>
        </w:rPr>
        <w:t>认真落实《报告书》和《技术评估报告》提出的生态保护和恢复措施。</w:t>
      </w:r>
      <w:r>
        <w:rPr>
          <w:rFonts w:hint="eastAsia" w:ascii="Times New Roman" w:hAnsi="Times New Roman" w:eastAsia="仿宋_GB2312" w:cs="Times New Roman"/>
          <w:sz w:val="32"/>
          <w:szCs w:val="32"/>
        </w:rPr>
        <w:t>控制井场作业面范围，切实做好泥浆不落地工作，防止泥浆污染土壤环境。尽量减少临时占地和永久占地；临时占地在施工结束后，要及时将土回填，平整地面，并进行植被恢复；井场施工结束后，对井场周边进行植被恢复；采取有效的防风治沙措施；管道施工过程中，控制施工作业带，管线开挖时将表层土、底层土分开堆放，在施工结束后分层回填，将土地平整、覆土后，对临时占地进行植被恢复。运营期加强井场、管线植被恢复措施的抚育工作，并定期采取补种措施。落实闭井后生态恢复措施。建设单位应制定详细的生态恢复计划。</w:t>
      </w:r>
    </w:p>
    <w:p>
      <w:pPr>
        <w:pStyle w:val="8"/>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_GB2312" w:cs="Times New Roman"/>
          <w:snapToGrid w:val="0"/>
          <w:sz w:val="32"/>
          <w:szCs w:val="32"/>
        </w:rPr>
      </w:pPr>
      <w:r>
        <w:rPr>
          <w:rFonts w:hint="eastAsia" w:ascii="Times New Roman" w:hAnsi="Times New Roman" w:eastAsia="仿宋_GB2312" w:cs="Times New Roman"/>
          <w:sz w:val="32"/>
          <w:szCs w:val="24"/>
        </w:rPr>
        <w:t>3</w:t>
      </w:r>
      <w:r>
        <w:rPr>
          <w:rFonts w:hint="eastAsia" w:ascii="仿宋_GB2312" w:hAnsi="仿宋_GB2312" w:eastAsia="仿宋_GB2312" w:cs="仿宋_GB2312"/>
          <w:color w:val="000000"/>
          <w:sz w:val="32"/>
          <w:szCs w:val="32"/>
        </w:rPr>
        <w:t>.</w:t>
      </w:r>
      <w:r>
        <w:rPr>
          <w:rFonts w:hint="eastAsia" w:ascii="仿宋" w:hAnsi="仿宋" w:eastAsia="仿宋" w:cs="仿宋"/>
          <w:snapToGrid w:val="0"/>
          <w:sz w:val="32"/>
          <w:szCs w:val="32"/>
        </w:rPr>
        <w:t>认真落实《报告书》和《技术评估报告》中提出的大气污染防治措施。</w:t>
      </w:r>
      <w:r>
        <w:rPr>
          <w:rFonts w:hint="eastAsia" w:ascii="Times New Roman" w:hAnsi="Times New Roman" w:eastAsia="仿宋_GB2312" w:cs="Times New Roman"/>
          <w:snapToGrid w:val="0"/>
          <w:sz w:val="32"/>
          <w:szCs w:val="32"/>
        </w:rPr>
        <w:t>施工期采用节能环保型柴油及动力设备。</w:t>
      </w:r>
      <w:r>
        <w:rPr>
          <w:rFonts w:hint="eastAsia" w:ascii="仿宋" w:hAnsi="仿宋" w:eastAsia="仿宋" w:cs="仿宋"/>
          <w:snapToGrid w:val="0"/>
          <w:sz w:val="32"/>
          <w:szCs w:val="32"/>
        </w:rPr>
        <w:t>运营期回注水处理站天然气加热炉</w:t>
      </w:r>
      <w:r>
        <w:rPr>
          <w:rFonts w:hint="eastAsia" w:ascii="Times New Roman" w:hAnsi="Times New Roman" w:eastAsia="仿宋_GB2312" w:cs="Times New Roman"/>
          <w:snapToGrid w:val="0"/>
          <w:sz w:val="32"/>
          <w:szCs w:val="32"/>
        </w:rPr>
        <w:t>有组织排放满足《锅炉大气污染物排放标准》（</w:t>
      </w:r>
      <w:r>
        <w:rPr>
          <w:rFonts w:ascii="Times New Roman" w:hAnsi="Times New Roman" w:eastAsia="仿宋_GB2312" w:cs="Times New Roman"/>
          <w:snapToGrid w:val="0"/>
          <w:sz w:val="32"/>
          <w:szCs w:val="32"/>
        </w:rPr>
        <w:t>GB13271-2014）表2燃气锅炉排放浓度限值</w:t>
      </w:r>
      <w:r>
        <w:rPr>
          <w:rFonts w:hint="eastAsia" w:ascii="Times New Roman" w:hAnsi="Times New Roman" w:eastAsia="仿宋_GB2312" w:cs="Times New Roman"/>
          <w:snapToGrid w:val="0"/>
          <w:sz w:val="32"/>
          <w:szCs w:val="32"/>
        </w:rPr>
        <w:t>；</w:t>
      </w:r>
      <w:r>
        <w:rPr>
          <w:rFonts w:hint="eastAsia" w:ascii="Times New Roman" w:hAnsi="Times New Roman" w:eastAsia="仿宋_GB2312" w:cs="仿宋_GB2312"/>
          <w:color w:val="auto"/>
          <w:sz w:val="32"/>
          <w:szCs w:val="32"/>
          <w:highlight w:val="none"/>
          <w:lang w:val="en-US" w:eastAsia="zh-CN"/>
        </w:rPr>
        <w:t>加强采气井密封系统，</w:t>
      </w:r>
      <w:r>
        <w:rPr>
          <w:rFonts w:hint="eastAsia" w:ascii="Times New Roman" w:hAnsi="Times New Roman" w:eastAsia="仿宋_GB2312"/>
          <w:color w:val="auto"/>
          <w:sz w:val="32"/>
        </w:rPr>
        <w:t>厂界</w:t>
      </w:r>
      <w:r>
        <w:rPr>
          <w:rFonts w:hint="eastAsia" w:ascii="Times New Roman" w:hAnsi="Times New Roman" w:eastAsia="仿宋_GB2312"/>
          <w:color w:val="auto"/>
          <w:sz w:val="32"/>
          <w:lang w:val="en-US" w:eastAsia="zh-CN"/>
        </w:rPr>
        <w:t>非甲烷总烃</w:t>
      </w:r>
      <w:r>
        <w:rPr>
          <w:rFonts w:ascii="Times New Roman" w:hAnsi="Times New Roman" w:eastAsia="仿宋_GB2312"/>
          <w:color w:val="auto"/>
          <w:kern w:val="0"/>
          <w:sz w:val="32"/>
          <w:szCs w:val="20"/>
        </w:rPr>
        <w:t>满足《陆上石油天然气开采工业大气污染物排放标准》（GB39728-2020）企业边界污染物控制要求</w:t>
      </w:r>
      <w:r>
        <w:rPr>
          <w:rFonts w:hint="eastAsia" w:ascii="Times New Roman" w:hAnsi="Times New Roman" w:eastAsia="仿宋_GB2312"/>
          <w:color w:val="auto"/>
          <w:kern w:val="0"/>
          <w:sz w:val="32"/>
          <w:szCs w:val="20"/>
          <w:lang w:eastAsia="zh-CN"/>
        </w:rPr>
        <w:t>，</w:t>
      </w:r>
      <w:r>
        <w:rPr>
          <w:rFonts w:ascii="Times New Roman" w:hAnsi="Times New Roman" w:eastAsia="仿宋_GB2312"/>
          <w:snapToGrid w:val="0"/>
          <w:color w:val="auto"/>
          <w:kern w:val="0"/>
          <w:sz w:val="32"/>
        </w:rPr>
        <w:t>场内非甲烷总烃浓度执行《挥发性有机物无组织排放控制标准》（GB37822-2019）限值</w:t>
      </w:r>
      <w:r>
        <w:rPr>
          <w:rFonts w:hint="eastAsia" w:ascii="Times New Roman" w:hAnsi="Times New Roman" w:eastAsia="仿宋_GB2312"/>
          <w:snapToGrid w:val="0"/>
          <w:color w:val="auto"/>
          <w:kern w:val="0"/>
          <w:sz w:val="32"/>
          <w:lang w:eastAsia="zh-CN"/>
        </w:rPr>
        <w:t>。</w:t>
      </w:r>
    </w:p>
    <w:p>
      <w:pPr>
        <w:pStyle w:val="8"/>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ascii="Times New Roman" w:hAnsi="Times New Roman" w:eastAsia="仿宋" w:cs="Times New Roman"/>
          <w:sz w:val="32"/>
          <w:szCs w:val="24"/>
        </w:rPr>
      </w:pPr>
      <w:r>
        <w:rPr>
          <w:rFonts w:hint="eastAsia" w:ascii="Times New Roman" w:hAnsi="Times New Roman" w:eastAsia="仿宋_GB2312" w:cs="Times New Roman"/>
          <w:sz w:val="32"/>
          <w:szCs w:val="24"/>
        </w:rPr>
        <w:t>4</w:t>
      </w:r>
      <w:r>
        <w:rPr>
          <w:rFonts w:hint="eastAsia" w:ascii="仿宋_GB2312" w:hAnsi="仿宋_GB2312" w:eastAsia="仿宋_GB2312" w:cs="仿宋_GB2312"/>
          <w:color w:val="000000"/>
          <w:sz w:val="32"/>
          <w:szCs w:val="32"/>
        </w:rPr>
        <w:t>.</w:t>
      </w:r>
      <w:r>
        <w:rPr>
          <w:rFonts w:hint="eastAsia" w:ascii="Times New Roman" w:hAnsi="Times New Roman" w:eastAsia="仿宋_GB2312" w:cs="Times New Roman"/>
          <w:sz w:val="32"/>
          <w:szCs w:val="24"/>
        </w:rPr>
        <w:t>严格落实各项水污染防治措施。</w:t>
      </w:r>
      <w:r>
        <w:rPr>
          <w:rFonts w:hint="eastAsia" w:ascii="Times New Roman" w:hAnsi="Times New Roman" w:eastAsia="仿宋_GB2312" w:cs="仿宋_GB2312"/>
          <w:color w:val="auto"/>
          <w:kern w:val="0"/>
          <w:sz w:val="32"/>
          <w:szCs w:val="32"/>
          <w:highlight w:val="none"/>
          <w:shd w:val="clear" w:color="auto" w:fill="auto"/>
          <w:lang w:val="en-US" w:eastAsia="zh-CN"/>
        </w:rPr>
        <w:t>钻井废水排</w:t>
      </w:r>
      <w:r>
        <w:rPr>
          <w:rFonts w:hint="eastAsia" w:ascii="Times New Roman" w:hAnsi="Times New Roman" w:eastAsia="仿宋_GB2312" w:cs="仿宋_GB2312"/>
          <w:color w:val="auto"/>
          <w:kern w:val="0"/>
          <w:sz w:val="32"/>
          <w:szCs w:val="32"/>
          <w:highlight w:val="none"/>
          <w:shd w:val="clear" w:color="auto" w:fill="auto"/>
        </w:rPr>
        <w:t>入井场</w:t>
      </w:r>
      <w:r>
        <w:rPr>
          <w:rFonts w:hint="eastAsia" w:ascii="Times New Roman" w:hAnsi="Times New Roman" w:eastAsia="仿宋_GB2312" w:cs="仿宋_GB2312"/>
          <w:color w:val="auto"/>
          <w:kern w:val="0"/>
          <w:sz w:val="32"/>
          <w:szCs w:val="32"/>
          <w:highlight w:val="none"/>
          <w:shd w:val="clear" w:color="auto" w:fill="auto"/>
          <w:lang w:val="en-US" w:eastAsia="zh-CN"/>
        </w:rPr>
        <w:t>废水储存罐中</w:t>
      </w:r>
      <w:r>
        <w:rPr>
          <w:rFonts w:hint="eastAsia" w:ascii="Times New Roman" w:hAnsi="Times New Roman" w:eastAsia="仿宋_GB2312" w:cs="仿宋_GB2312"/>
          <w:color w:val="auto"/>
          <w:kern w:val="0"/>
          <w:sz w:val="32"/>
          <w:szCs w:val="32"/>
          <w:highlight w:val="none"/>
          <w:shd w:val="clear" w:color="auto" w:fill="auto"/>
        </w:rPr>
        <w:t>，用于钻井泥浆配制，循环利用</w:t>
      </w:r>
      <w:r>
        <w:rPr>
          <w:rFonts w:hint="eastAsia" w:ascii="Times New Roman" w:hAnsi="Times New Roman" w:eastAsia="仿宋_GB2312" w:cs="仿宋_GB2312"/>
          <w:color w:val="auto"/>
          <w:sz w:val="32"/>
          <w:szCs w:val="32"/>
          <w:highlight w:val="none"/>
          <w:shd w:val="clear" w:color="auto" w:fill="auto"/>
          <w:lang w:val="en-US" w:eastAsia="zh-CN"/>
        </w:rPr>
        <w:t>，不能利用的钻井废水</w:t>
      </w:r>
      <w:r>
        <w:rPr>
          <w:rFonts w:hint="eastAsia" w:ascii="Times New Roman" w:hAnsi="Times New Roman" w:eastAsia="仿宋_GB2312" w:cs="仿宋_GB2312"/>
          <w:color w:val="auto"/>
          <w:sz w:val="32"/>
          <w:szCs w:val="32"/>
          <w:highlight w:val="none"/>
          <w:shd w:val="clear" w:color="auto" w:fill="auto"/>
        </w:rPr>
        <w:t>送油田废弃物集中处理厂处置</w:t>
      </w:r>
      <w:r>
        <w:rPr>
          <w:rFonts w:hint="eastAsia" w:ascii="Times New Roman" w:hAnsi="Times New Roman" w:eastAsia="仿宋_GB2312" w:cs="仿宋_GB2312"/>
          <w:color w:val="auto"/>
          <w:sz w:val="32"/>
          <w:szCs w:val="32"/>
          <w:highlight w:val="none"/>
          <w:shd w:val="clear" w:color="auto" w:fill="auto"/>
          <w:lang w:eastAsia="zh-CN"/>
        </w:rPr>
        <w:t>，</w:t>
      </w:r>
      <w:r>
        <w:rPr>
          <w:rFonts w:hint="eastAsia" w:ascii="Times New Roman" w:hAnsi="Times New Roman" w:eastAsia="仿宋_GB2312" w:cs="仿宋_GB2312"/>
          <w:color w:val="auto"/>
          <w:sz w:val="32"/>
          <w:szCs w:val="32"/>
          <w:highlight w:val="none"/>
          <w:shd w:val="clear" w:color="auto" w:fill="auto"/>
          <w:lang w:val="en-US" w:eastAsia="zh-CN"/>
        </w:rPr>
        <w:t>不外排</w:t>
      </w:r>
      <w:r>
        <w:rPr>
          <w:rFonts w:hint="eastAsia" w:ascii="Times New Roman" w:hAnsi="Times New Roman" w:eastAsia="仿宋_GB2312" w:cs="仿宋_GB2312"/>
          <w:color w:val="auto"/>
          <w:sz w:val="32"/>
          <w:szCs w:val="32"/>
          <w:highlight w:val="none"/>
          <w:lang w:val="en-US" w:eastAsia="zh-CN"/>
        </w:rPr>
        <w:t>；</w:t>
      </w:r>
      <w:r>
        <w:rPr>
          <w:rFonts w:hint="eastAsia" w:ascii="Times New Roman" w:hAnsi="Times New Roman" w:eastAsia="仿宋_GB2312" w:cs="仿宋_GB2312"/>
          <w:snapToGrid/>
          <w:color w:val="auto"/>
          <w:kern w:val="0"/>
          <w:sz w:val="32"/>
          <w:szCs w:val="32"/>
          <w:highlight w:val="none"/>
        </w:rPr>
        <w:t>采出液管线</w:t>
      </w:r>
      <w:r>
        <w:rPr>
          <w:rFonts w:ascii="Times New Roman" w:hAnsi="Times New Roman" w:eastAsia="仿宋_GB2312"/>
          <w:sz w:val="32"/>
          <w:highlight w:val="none"/>
        </w:rPr>
        <w:t>试压废水由罐车收集后重复利用，试压作业完成后剩余试压废水经沉淀处理后用于地表降尘或植被绿化</w:t>
      </w:r>
      <w:r>
        <w:rPr>
          <w:rFonts w:hint="eastAsia" w:ascii="Times New Roman" w:hAnsi="Times New Roman" w:eastAsia="仿宋_GB2312"/>
          <w:sz w:val="32"/>
          <w:highlight w:val="none"/>
          <w:lang w:eastAsia="zh-CN"/>
        </w:rPr>
        <w:t>；</w:t>
      </w:r>
      <w:r>
        <w:rPr>
          <w:rFonts w:hint="eastAsia" w:ascii="仿宋_GB2312" w:hAnsi="仿宋_GB2312" w:eastAsia="仿宋_GB2312" w:cs="仿宋_GB2312"/>
          <w:sz w:val="32"/>
          <w:szCs w:val="32"/>
        </w:rPr>
        <w:t>气田采出水经集气站集气一体化集成装置分离后，经新建回注水处理站处理，</w:t>
      </w:r>
      <w:r>
        <w:rPr>
          <w:rFonts w:ascii="Times New Roman" w:hAnsi="Times New Roman" w:eastAsia="仿宋_GB2312"/>
          <w:snapToGrid w:val="0"/>
          <w:kern w:val="0"/>
          <w:sz w:val="32"/>
          <w:highlight w:val="none"/>
        </w:rPr>
        <w:t>满足《气田水注入技术要求》（SY/T 6596-2016）和《气田水回注技术规范》（Q/ SY01004-2016）标准要求</w:t>
      </w:r>
      <w:r>
        <w:rPr>
          <w:rFonts w:ascii="Times New Roman" w:hAnsi="Times New Roman" w:eastAsia="仿宋_GB2312"/>
          <w:sz w:val="32"/>
          <w:highlight w:val="none"/>
        </w:rPr>
        <w:t>后，经回注水管线输送至5口回注井回注地层，不外排</w:t>
      </w:r>
      <w:r>
        <w:rPr>
          <w:rFonts w:ascii="Times New Roman" w:hAnsi="Times New Roman" w:eastAsia="仿宋_GB2312"/>
          <w:snapToGrid w:val="0"/>
          <w:kern w:val="0"/>
          <w:sz w:val="32"/>
          <w:highlight w:val="none"/>
        </w:rPr>
        <w:t>。</w:t>
      </w:r>
    </w:p>
    <w:p>
      <w:pPr>
        <w:keepNext w:val="0"/>
        <w:keepLines w:val="0"/>
        <w:pageBreakBefore w:val="0"/>
        <w:kinsoku/>
        <w:wordWrap/>
        <w:overflowPunct/>
        <w:topLinePunct w:val="0"/>
        <w:bidi w:val="0"/>
        <w:spacing w:line="560" w:lineRule="exact"/>
        <w:ind w:firstLine="640" w:firstLineChars="200"/>
        <w:textAlignment w:val="auto"/>
        <w:rPr>
          <w:rFonts w:ascii="仿宋_GB2312" w:hAnsi="仿宋_GB2312" w:eastAsia="仿宋_GB2312" w:cs="仿宋_GB2312"/>
          <w:spacing w:val="8"/>
          <w:sz w:val="32"/>
          <w:szCs w:val="32"/>
        </w:rPr>
      </w:pPr>
      <w:r>
        <w:rPr>
          <w:rFonts w:hint="eastAsia" w:ascii="Times New Roman" w:hAnsi="Times New Roman" w:eastAsia="仿宋_GB2312" w:cs="Times New Roman"/>
          <w:kern w:val="2"/>
          <w:sz w:val="32"/>
          <w:szCs w:val="24"/>
          <w:lang w:val="en-US" w:eastAsia="zh-CN" w:bidi="ar-SA"/>
        </w:rPr>
        <w:t>5.</w:t>
      </w:r>
      <w:r>
        <w:rPr>
          <w:rFonts w:hint="eastAsia" w:ascii="仿宋_GB2312" w:hAnsi="仿宋_GB2312" w:eastAsia="仿宋_GB2312" w:cs="仿宋_GB2312"/>
          <w:sz w:val="32"/>
          <w:szCs w:val="24"/>
        </w:rPr>
        <w:t>切实落实地下水和土壤污染防治措施。</w:t>
      </w:r>
      <w:r>
        <w:rPr>
          <w:rFonts w:hint="eastAsia" w:ascii="仿宋_GB2312" w:hAnsi="仿宋_GB2312" w:eastAsia="仿宋_GB2312" w:cs="仿宋_GB2312"/>
          <w:sz w:val="32"/>
          <w:szCs w:val="32"/>
        </w:rPr>
        <w:t>建设单位应按照《鄂尔多斯市天然气开采新建钻井井场土壤环境监测工作指导意见（试行）》（鄂环发</w:t>
      </w:r>
      <w:r>
        <w:rPr>
          <w:rFonts w:hint="eastAsia" w:ascii="仿宋_GB2312" w:hAnsi="仿宋_GB2312" w:eastAsia="仿宋_GB2312" w:cs="仿宋_GB2312"/>
          <w:sz w:val="32"/>
          <w:szCs w:val="24"/>
        </w:rPr>
        <w:t>〔2020〕</w:t>
      </w:r>
      <w:r>
        <w:rPr>
          <w:rFonts w:hint="eastAsia" w:ascii="仿宋_GB2312" w:hAnsi="仿宋_GB2312" w:eastAsia="仿宋_GB2312" w:cs="仿宋_GB2312"/>
          <w:sz w:val="32"/>
          <w:szCs w:val="32"/>
        </w:rPr>
        <w:t>40号）的要求开展土壤监测。</w:t>
      </w:r>
      <w:r>
        <w:rPr>
          <w:rFonts w:hint="eastAsia" w:ascii="仿宋_GB2312" w:hAnsi="仿宋_GB2312" w:eastAsia="仿宋_GB2312" w:cs="仿宋_GB2312"/>
          <w:sz w:val="32"/>
          <w:szCs w:val="24"/>
        </w:rPr>
        <w:t>结合区域地下水分布现状和水文地质条件采取分区防渗措施，并建立完善的地下水监测制度，确保不会对区域地下水和土壤造</w:t>
      </w:r>
      <w:r>
        <w:rPr>
          <w:rFonts w:hint="eastAsia" w:ascii="仿宋_GB2312" w:hAnsi="仿宋_GB2312" w:eastAsia="仿宋_GB2312" w:cs="仿宋_GB2312"/>
          <w:spacing w:val="8"/>
          <w:sz w:val="32"/>
          <w:szCs w:val="32"/>
        </w:rPr>
        <w:t>成污染。</w:t>
      </w:r>
    </w:p>
    <w:p>
      <w:pPr>
        <w:keepNext w:val="0"/>
        <w:keepLines w:val="0"/>
        <w:pageBreakBefore w:val="0"/>
        <w:tabs>
          <w:tab w:val="left" w:pos="2415"/>
        </w:tabs>
        <w:kinsoku/>
        <w:wordWrap/>
        <w:overflowPunct/>
        <w:topLinePunct w:val="0"/>
        <w:bidi w:val="0"/>
        <w:snapToGrid w:val="0"/>
        <w:spacing w:line="560" w:lineRule="exact"/>
        <w:ind w:firstLine="640" w:firstLineChars="200"/>
        <w:textAlignment w:val="auto"/>
        <w:rPr>
          <w:rFonts w:ascii="仿宋_GB2312" w:hAnsi="仿宋" w:eastAsia="仿宋_GB2312" w:cs="Times New Roman"/>
          <w:sz w:val="32"/>
          <w:szCs w:val="32"/>
        </w:rPr>
      </w:pPr>
      <w:r>
        <w:rPr>
          <w:rFonts w:hint="eastAsia" w:ascii="Times New Roman" w:hAnsi="Times New Roman" w:eastAsia="仿宋_GB2312" w:cs="Times New Roman"/>
          <w:kern w:val="2"/>
          <w:sz w:val="32"/>
          <w:szCs w:val="24"/>
          <w:lang w:val="en-US" w:eastAsia="zh-CN" w:bidi="ar-SA"/>
        </w:rPr>
        <w:t>6.</w:t>
      </w:r>
      <w:r>
        <w:rPr>
          <w:rFonts w:hint="eastAsia" w:ascii="仿宋_GB2312" w:hAnsi="仿宋_GB2312" w:eastAsia="仿宋_GB2312" w:cs="仿宋_GB2312"/>
          <w:sz w:val="32"/>
          <w:szCs w:val="32"/>
        </w:rPr>
        <w:t>合理安排施工时间，尽量减少或避免夜间的施工操作；加强各类施工设备的维护和保养，保持其良好的运转，降低噪声源强；施工采用人工和机械相结合的方式，减少机械噪声；修建的施工便道应尽量远离居民点等。回注水处理站厂界噪声执行《工业企业厂界环境噪声排放标准》(GB12348-2008)2类标准要求。</w:t>
      </w:r>
    </w:p>
    <w:p>
      <w:pPr>
        <w:keepNext w:val="0"/>
        <w:keepLines w:val="0"/>
        <w:pageBreakBefore w:val="0"/>
        <w:kinsoku/>
        <w:wordWrap/>
        <w:overflowPunct/>
        <w:topLinePunct w:val="0"/>
        <w:autoSpaceDE w:val="0"/>
        <w:autoSpaceDN w:val="0"/>
        <w:bidi w:val="0"/>
        <w:adjustRightInd w:val="0"/>
        <w:spacing w:line="560" w:lineRule="exact"/>
        <w:ind w:firstLine="640" w:firstLineChars="200"/>
        <w:textAlignment w:val="auto"/>
        <w:rPr>
          <w:rFonts w:ascii="仿宋_GB2312" w:hAnsi="仿宋_GB2312" w:eastAsia="仿宋_GB2312" w:cs="仿宋_GB2312"/>
          <w:color w:val="000000"/>
          <w:sz w:val="32"/>
          <w:szCs w:val="32"/>
        </w:rPr>
      </w:pPr>
      <w:r>
        <w:rPr>
          <w:rFonts w:hint="eastAsia" w:ascii="Times New Roman" w:hAnsi="Times New Roman" w:eastAsia="仿宋_GB2312" w:cs="Times New Roman"/>
          <w:kern w:val="2"/>
          <w:sz w:val="32"/>
          <w:szCs w:val="24"/>
          <w:lang w:val="en-US" w:eastAsia="zh-CN" w:bidi="ar-SA"/>
        </w:rPr>
        <w:t>7</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sz w:val="32"/>
          <w:szCs w:val="32"/>
        </w:rPr>
        <w:t>严格落实</w:t>
      </w:r>
      <w:r>
        <w:rPr>
          <w:rFonts w:hint="eastAsia" w:ascii="仿宋_GB2312" w:hAnsi="仿宋_GB2312" w:eastAsia="仿宋_GB2312" w:cs="仿宋_GB2312"/>
          <w:spacing w:val="20"/>
          <w:sz w:val="32"/>
          <w:szCs w:val="32"/>
        </w:rPr>
        <w:t>《报告书》</w:t>
      </w:r>
      <w:r>
        <w:rPr>
          <w:rFonts w:hint="eastAsia" w:ascii="仿宋_GB2312" w:hAnsi="仿宋_GB2312" w:eastAsia="仿宋_GB2312" w:cs="仿宋_GB2312"/>
          <w:sz w:val="32"/>
          <w:szCs w:val="32"/>
        </w:rPr>
        <w:t>和《技术评估报告》</w:t>
      </w:r>
      <w:r>
        <w:rPr>
          <w:rFonts w:hint="eastAsia" w:ascii="仿宋_GB2312" w:hAnsi="仿宋_GB2312" w:eastAsia="仿宋_GB2312" w:cs="仿宋_GB2312"/>
          <w:spacing w:val="20"/>
          <w:sz w:val="32"/>
          <w:szCs w:val="32"/>
        </w:rPr>
        <w:t>提出的固废污染防治措施</w:t>
      </w:r>
      <w:r>
        <w:rPr>
          <w:rFonts w:hint="eastAsia" w:ascii="仿宋_GB2312" w:hAnsi="仿宋_GB2312" w:eastAsia="仿宋_GB2312" w:cs="仿宋_GB2312"/>
          <w:sz w:val="32"/>
          <w:szCs w:val="32"/>
        </w:rPr>
        <w:t>。根据国家和地方的有关规定，按照“减量化、资源化、无害化”原则，对固体废物进行分类收集、处理和处置，确保不造成二次污染。</w:t>
      </w:r>
      <w:r>
        <w:rPr>
          <w:rFonts w:hint="eastAsia" w:ascii="仿宋_GB2312" w:hAnsi="仿宋_GB2312" w:eastAsia="仿宋_GB2312" w:cs="仿宋_GB2312"/>
          <w:color w:val="000000"/>
          <w:sz w:val="32"/>
          <w:szCs w:val="32"/>
        </w:rPr>
        <w:t>各类固废</w:t>
      </w:r>
      <w:r>
        <w:rPr>
          <w:rFonts w:hint="eastAsia" w:ascii="仿宋_GB2312" w:hAnsi="仿宋_GB2312" w:eastAsia="仿宋_GB2312" w:cs="仿宋_GB2312"/>
          <w:sz w:val="32"/>
          <w:szCs w:val="32"/>
        </w:rPr>
        <w:t>严格按照《危险废物贮存污染控制标准》</w:t>
      </w:r>
      <w:r>
        <w:rPr>
          <w:rFonts w:hint="eastAsia" w:ascii="仿宋_GB2312" w:hAnsi="仿宋_GB2312" w:eastAsia="仿宋_GB2312" w:cs="仿宋_GB2312"/>
          <w:color w:val="000000"/>
          <w:sz w:val="32"/>
          <w:szCs w:val="32"/>
        </w:rPr>
        <w:t>（及其修改单）及</w:t>
      </w:r>
      <w:r>
        <w:rPr>
          <w:rFonts w:ascii="Times New Roman" w:hAnsi="Times New Roman" w:eastAsia="仿宋" w:cs="Times New Roman"/>
          <w:color w:val="000000"/>
          <w:sz w:val="32"/>
          <w:szCs w:val="32"/>
        </w:rPr>
        <w:t>《</w:t>
      </w:r>
      <w:r>
        <w:rPr>
          <w:rFonts w:ascii="仿宋_GB2312" w:hAnsi="仿宋_GB2312" w:eastAsia="仿宋_GB2312" w:cs="仿宋_GB2312"/>
          <w:color w:val="000000"/>
          <w:sz w:val="32"/>
          <w:szCs w:val="32"/>
        </w:rPr>
        <w:t>一般工业固体废物贮存和填埋污染控制标准》</w:t>
      </w:r>
      <w:r>
        <w:rPr>
          <w:rFonts w:hint="eastAsia" w:ascii="仿宋_GB2312" w:hAnsi="仿宋_GB2312" w:eastAsia="仿宋_GB2312" w:cs="仿宋_GB2312"/>
          <w:color w:val="000000"/>
          <w:sz w:val="32"/>
          <w:szCs w:val="32"/>
        </w:rPr>
        <w:t>的要求，分类做好存贮和安全处置工作。一般固体废物应立足于综合利用，危险废物委托有资质单位处置。</w:t>
      </w:r>
    </w:p>
    <w:p>
      <w:pPr>
        <w:keepNext w:val="0"/>
        <w:keepLines w:val="0"/>
        <w:pageBreakBefore w:val="0"/>
        <w:kinsoku/>
        <w:wordWrap/>
        <w:overflowPunct/>
        <w:topLinePunct w:val="0"/>
        <w:autoSpaceDE w:val="0"/>
        <w:autoSpaceDN w:val="0"/>
        <w:bidi w:val="0"/>
        <w:spacing w:line="560" w:lineRule="exact"/>
        <w:ind w:firstLine="640" w:firstLineChars="200"/>
        <w:textAlignment w:val="auto"/>
        <w:rPr>
          <w:rFonts w:hint="eastAsia" w:ascii="仿宋" w:hAnsi="仿宋" w:eastAsia="仿宋_GB2312" w:cs="仿宋"/>
          <w:kern w:val="0"/>
          <w:sz w:val="24"/>
          <w:szCs w:val="32"/>
          <w:lang w:eastAsia="zh-CN"/>
        </w:rPr>
      </w:pPr>
      <w:r>
        <w:rPr>
          <w:rFonts w:hint="eastAsia" w:ascii="Times New Roman" w:hAnsi="Times New Roman" w:eastAsia="仿宋_GB2312" w:cs="Times New Roman"/>
          <w:kern w:val="2"/>
          <w:sz w:val="32"/>
          <w:szCs w:val="24"/>
          <w:lang w:val="en-US" w:eastAsia="zh-CN" w:bidi="ar-SA"/>
        </w:rPr>
        <w:t>8.</w:t>
      </w:r>
      <w:r>
        <w:rPr>
          <w:rFonts w:hint="eastAsia" w:ascii="仿宋_GB2312" w:hAnsi="仿宋_GB2312" w:eastAsia="仿宋_GB2312" w:cs="仿宋_GB2312"/>
          <w:color w:val="000000"/>
          <w:sz w:val="32"/>
          <w:szCs w:val="32"/>
        </w:rPr>
        <w:t>严格落实《报告书》和《技术评估报告》中提出的选址要求。未确定井位后期开工前须严格执行《鄂尔多斯市生态环境局关于天然气开采项目环境影响评价审批事宜的通知》，向当地生态环境分局进行管理备案，选址须严格按照《鄂尔多斯市天然气开发环境保护管理办法》（试行）和《关于天然气开发环境保护管理办法试行中有关事宜的通知》执行，后期不确定井场选址周围500m范围内不得存在环境保护目标</w:t>
      </w:r>
      <w:r>
        <w:rPr>
          <w:rFonts w:hint="eastAsia" w:ascii="仿宋_GB2312" w:hAnsi="仿宋_GB2312" w:eastAsia="仿宋_GB2312" w:cs="仿宋_GB2312"/>
          <w:color w:val="000000"/>
          <w:sz w:val="32"/>
          <w:szCs w:val="32"/>
          <w:lang w:eastAsia="zh-CN"/>
        </w:rPr>
        <w:t>。</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ascii="仿宋" w:hAnsi="仿宋" w:eastAsia="仿宋" w:cs="仿宋"/>
          <w:sz w:val="32"/>
          <w:szCs w:val="32"/>
        </w:rPr>
      </w:pPr>
      <w:r>
        <w:rPr>
          <w:rFonts w:hint="eastAsia" w:ascii="Times New Roman" w:hAnsi="Times New Roman" w:eastAsia="仿宋_GB2312" w:cs="Times New Roman"/>
          <w:kern w:val="2"/>
          <w:sz w:val="32"/>
          <w:szCs w:val="24"/>
          <w:lang w:val="en-US" w:eastAsia="zh-CN" w:bidi="ar-SA"/>
        </w:rPr>
        <w:t>9</w:t>
      </w:r>
      <w:r>
        <w:rPr>
          <w:rFonts w:hint="eastAsia" w:ascii="仿宋_GB2312" w:hAnsi="仿宋_GB2312" w:eastAsia="仿宋_GB2312" w:cs="仿宋_GB2312"/>
          <w:color w:val="000000"/>
          <w:sz w:val="32"/>
          <w:szCs w:val="32"/>
        </w:rPr>
        <w:t>.</w:t>
      </w:r>
      <w:r>
        <w:rPr>
          <w:rFonts w:hint="eastAsia" w:ascii="仿宋" w:hAnsi="仿宋" w:eastAsia="仿宋" w:cs="仿宋"/>
          <w:sz w:val="32"/>
          <w:szCs w:val="32"/>
        </w:rPr>
        <w:t>强化环境风险防范。制定环境风险应急预案，落实环境风险事故防范措施，提高事故风险防范和污染控制能力。</w:t>
      </w:r>
    </w:p>
    <w:p>
      <w:pPr>
        <w:keepNext w:val="0"/>
        <w:keepLines w:val="0"/>
        <w:pageBreakBefore w:val="0"/>
        <w:tabs>
          <w:tab w:val="left" w:pos="985"/>
        </w:tabs>
        <w:kinsoku/>
        <w:wordWrap/>
        <w:overflowPunct/>
        <w:topLinePunct w:val="0"/>
        <w:bidi w:val="0"/>
        <w:spacing w:line="560" w:lineRule="exact"/>
        <w:ind w:firstLine="640" w:firstLineChars="200"/>
        <w:textAlignment w:val="auto"/>
        <w:rPr>
          <w:rFonts w:ascii="仿宋_GB2312" w:hAnsi="仿宋_GB2312" w:eastAsia="仿宋_GB2312" w:cs="仿宋_GB2312"/>
          <w:sz w:val="32"/>
          <w:szCs w:val="32"/>
          <w:lang w:val="zh-TW" w:eastAsia="zh-TW" w:bidi="zh-TW"/>
        </w:rPr>
      </w:pPr>
      <w:r>
        <w:rPr>
          <w:rFonts w:hint="eastAsia" w:ascii="仿宋_GB2312" w:hAnsi="仿宋_GB2312" w:eastAsia="仿宋_GB2312" w:cs="仿宋_GB2312"/>
          <w:sz w:val="32"/>
          <w:szCs w:val="32"/>
          <w:lang w:val="zh-TW" w:bidi="zh-TW"/>
        </w:rPr>
        <w:t>三</w:t>
      </w:r>
      <w:r>
        <w:rPr>
          <w:rFonts w:hint="eastAsia" w:ascii="仿宋_GB2312" w:hAnsi="仿宋_GB2312" w:eastAsia="仿宋_GB2312" w:cs="仿宋_GB2312"/>
          <w:sz w:val="32"/>
          <w:szCs w:val="32"/>
          <w:lang w:val="zh-TW" w:eastAsia="zh-TW" w:bidi="zh-TW"/>
        </w:rPr>
        <w:t>、项目建设必须严格执行环境保护“三同时</w:t>
      </w:r>
      <w:r>
        <w:rPr>
          <w:rFonts w:hint="eastAsia" w:ascii="仿宋_GB2312" w:hAnsi="仿宋_GB2312" w:eastAsia="仿宋_GB2312" w:cs="仿宋_GB2312"/>
          <w:sz w:val="32"/>
          <w:szCs w:val="32"/>
          <w:lang w:val="zh-TW" w:eastAsia="zh-CN" w:bidi="zh-TW"/>
        </w:rPr>
        <w:t>”</w:t>
      </w:r>
      <w:r>
        <w:rPr>
          <w:rFonts w:hint="eastAsia" w:ascii="仿宋_GB2312" w:hAnsi="仿宋_GB2312" w:eastAsia="仿宋_GB2312" w:cs="仿宋_GB2312"/>
          <w:sz w:val="32"/>
          <w:szCs w:val="32"/>
          <w:lang w:val="zh-TW" w:eastAsia="zh-TW" w:bidi="zh-TW"/>
        </w:rPr>
        <w:t>制度。工程竣工后，须按照规定程序实施竣工环境保护验收。</w:t>
      </w:r>
    </w:p>
    <w:p>
      <w:pPr>
        <w:keepNext w:val="0"/>
        <w:keepLines w:val="0"/>
        <w:pageBreakBefore w:val="0"/>
        <w:tabs>
          <w:tab w:val="left" w:pos="985"/>
        </w:tabs>
        <w:kinsoku/>
        <w:wordWrap/>
        <w:overflowPunct/>
        <w:topLinePunct w:val="0"/>
        <w:bidi w:val="0"/>
        <w:spacing w:line="560" w:lineRule="exact"/>
        <w:ind w:firstLine="640" w:firstLineChars="200"/>
        <w:textAlignment w:val="auto"/>
        <w:rPr>
          <w:rFonts w:ascii="仿宋_GB2312" w:hAnsi="仿宋_GB2312" w:eastAsia="仿宋_GB2312" w:cs="仿宋_GB2312"/>
          <w:sz w:val="32"/>
          <w:szCs w:val="32"/>
          <w:lang w:val="zh-TW" w:eastAsia="zh-TW" w:bidi="zh-TW"/>
        </w:rPr>
      </w:pPr>
      <w:r>
        <w:rPr>
          <w:rFonts w:hint="eastAsia" w:ascii="仿宋_GB2312" w:hAnsi="仿宋_GB2312" w:eastAsia="仿宋_GB2312" w:cs="仿宋_GB2312"/>
          <w:sz w:val="32"/>
          <w:szCs w:val="32"/>
          <w:lang w:val="zh-TW" w:bidi="zh-TW"/>
        </w:rPr>
        <w:t>四</w:t>
      </w:r>
      <w:r>
        <w:rPr>
          <w:rFonts w:hint="eastAsia" w:ascii="仿宋_GB2312" w:hAnsi="仿宋_GB2312" w:eastAsia="仿宋_GB2312" w:cs="仿宋_GB2312"/>
          <w:sz w:val="32"/>
          <w:szCs w:val="32"/>
          <w:lang w:val="zh-TW" w:eastAsia="zh-TW" w:bidi="zh-TW"/>
        </w:rPr>
        <w:t>、你公司应在收到本批复20日内，将《报告书》（报批版）及批复文件送至鄂尔多斯市生态环境局</w:t>
      </w:r>
      <w:r>
        <w:rPr>
          <w:rFonts w:hint="eastAsia" w:ascii="仿宋_GB2312" w:hAnsi="仿宋_GB2312" w:eastAsia="仿宋_GB2312" w:cs="仿宋_GB2312"/>
          <w:sz w:val="32"/>
          <w:szCs w:val="32"/>
          <w:lang w:val="zh-TW" w:bidi="zh-TW"/>
        </w:rPr>
        <w:t>鄂托克旗分局</w:t>
      </w:r>
      <w:r>
        <w:rPr>
          <w:rFonts w:hint="eastAsia" w:ascii="仿宋_GB2312" w:hAnsi="仿宋_GB2312" w:eastAsia="仿宋_GB2312" w:cs="仿宋_GB2312"/>
          <w:sz w:val="32"/>
          <w:szCs w:val="32"/>
          <w:lang w:val="zh-TW" w:eastAsia="zh-TW" w:bidi="zh-TW"/>
        </w:rPr>
        <w:t>，我局委托鄂尔多斯市生态环境局</w:t>
      </w:r>
      <w:r>
        <w:rPr>
          <w:rFonts w:hint="eastAsia" w:ascii="仿宋_GB2312" w:hAnsi="仿宋_GB2312" w:eastAsia="仿宋_GB2312" w:cs="仿宋_GB2312"/>
          <w:sz w:val="32"/>
          <w:szCs w:val="32"/>
          <w:lang w:val="zh-TW" w:bidi="zh-TW"/>
        </w:rPr>
        <w:t>鄂托克旗分局</w:t>
      </w:r>
      <w:r>
        <w:rPr>
          <w:rFonts w:hint="eastAsia" w:ascii="仿宋_GB2312" w:hAnsi="仿宋_GB2312" w:eastAsia="仿宋_GB2312" w:cs="仿宋_GB2312"/>
          <w:sz w:val="32"/>
          <w:szCs w:val="32"/>
          <w:lang w:val="zh-TW" w:eastAsia="zh-TW" w:bidi="zh-TW"/>
        </w:rPr>
        <w:t>负责该项目的日常监管工作。</w:t>
      </w:r>
    </w:p>
    <w:p>
      <w:pPr>
        <w:keepNext w:val="0"/>
        <w:keepLines w:val="0"/>
        <w:pageBreakBefore w:val="0"/>
        <w:kinsoku/>
        <w:wordWrap/>
        <w:overflowPunct/>
        <w:topLinePunct w:val="0"/>
        <w:bidi w:val="0"/>
        <w:spacing w:line="560" w:lineRule="exact"/>
        <w:ind w:firstLine="640" w:firstLineChars="200"/>
        <w:textAlignment w:val="auto"/>
        <w:rPr>
          <w:rFonts w:ascii="仿宋_GB2312" w:hAnsi="仿宋_GB2312" w:eastAsia="仿宋_GB2312" w:cs="仿宋_GB2312"/>
          <w:sz w:val="32"/>
          <w:szCs w:val="32"/>
          <w:lang w:val="zh-TW" w:eastAsia="zh-TW" w:bidi="zh-TW"/>
        </w:rPr>
      </w:pPr>
      <w:r>
        <w:rPr>
          <w:rFonts w:hint="eastAsia" w:ascii="仿宋_GB2312" w:hAnsi="仿宋_GB2312" w:eastAsia="仿宋_GB2312" w:cs="仿宋_GB2312"/>
          <w:sz w:val="32"/>
          <w:szCs w:val="32"/>
          <w:lang w:val="zh-TW" w:bidi="zh-TW"/>
        </w:rPr>
        <w:t>五</w:t>
      </w:r>
      <w:r>
        <w:rPr>
          <w:rFonts w:hint="eastAsia" w:ascii="仿宋_GB2312" w:hAnsi="仿宋_GB2312" w:eastAsia="仿宋_GB2312" w:cs="仿宋_GB2312"/>
          <w:sz w:val="32"/>
          <w:szCs w:val="32"/>
          <w:lang w:val="zh-TW" w:eastAsia="zh-TW" w:bidi="zh-TW"/>
        </w:rPr>
        <w:t>、该项目从批准之日起超过5年方决定开工建设，其环评文件应重新审核。如果项目建设地点、规模、工艺、防治污染和防止生态破坏的措施等发生重大变化时</w:t>
      </w:r>
      <w:r>
        <w:rPr>
          <w:rFonts w:hint="eastAsia" w:ascii="仿宋_GB2312" w:hAnsi="仿宋_GB2312" w:eastAsia="仿宋_GB2312" w:cs="仿宋_GB2312"/>
          <w:sz w:val="32"/>
          <w:szCs w:val="32"/>
          <w:lang w:val="zh-TW" w:eastAsia="zh-CN" w:bidi="zh-TW"/>
        </w:rPr>
        <w:t>，</w:t>
      </w:r>
      <w:r>
        <w:rPr>
          <w:rFonts w:hint="eastAsia" w:ascii="仿宋_GB2312" w:hAnsi="仿宋_GB2312" w:eastAsia="仿宋_GB2312" w:cs="仿宋_GB2312"/>
          <w:sz w:val="32"/>
          <w:szCs w:val="32"/>
          <w:lang w:val="zh-TW" w:eastAsia="zh-TW" w:bidi="zh-TW"/>
        </w:rPr>
        <w:t>需重新报批环评文件。</w:t>
      </w:r>
    </w:p>
    <w:p>
      <w:pPr>
        <w:keepNext w:val="0"/>
        <w:keepLines w:val="0"/>
        <w:pageBreakBefore w:val="0"/>
        <w:kinsoku/>
        <w:wordWrap/>
        <w:overflowPunct/>
        <w:topLinePunct w:val="0"/>
        <w:bidi w:val="0"/>
        <w:spacing w:line="560" w:lineRule="exact"/>
        <w:textAlignment w:val="auto"/>
        <w:rPr>
          <w:rFonts w:ascii="仿宋_GB2312" w:hAnsi="仿宋_GB2312" w:eastAsia="仿宋_GB2312" w:cs="仿宋_GB2312"/>
          <w:sz w:val="32"/>
          <w:szCs w:val="32"/>
          <w:lang w:val="zh-TW" w:bidi="zh-TW"/>
        </w:rPr>
      </w:pPr>
    </w:p>
    <w:p>
      <w:pPr>
        <w:pStyle w:val="2"/>
        <w:keepNext w:val="0"/>
        <w:keepLines w:val="0"/>
        <w:pageBreakBefore w:val="0"/>
        <w:kinsoku/>
        <w:wordWrap/>
        <w:overflowPunct/>
        <w:topLinePunct w:val="0"/>
        <w:bidi w:val="0"/>
        <w:spacing w:line="560" w:lineRule="exact"/>
        <w:textAlignment w:val="auto"/>
        <w:rPr>
          <w:rFonts w:ascii="仿宋_GB2312" w:hAnsi="仿宋_GB2312" w:eastAsia="仿宋_GB2312" w:cs="仿宋_GB2312"/>
          <w:sz w:val="32"/>
          <w:szCs w:val="32"/>
          <w:lang w:val="zh-TW" w:bidi="zh-TW"/>
        </w:rPr>
      </w:pPr>
    </w:p>
    <w:p>
      <w:pPr>
        <w:keepNext w:val="0"/>
        <w:keepLines w:val="0"/>
        <w:pageBreakBefore w:val="0"/>
        <w:kinsoku/>
        <w:wordWrap/>
        <w:overflowPunct/>
        <w:topLinePunct w:val="0"/>
        <w:bidi w:val="0"/>
        <w:spacing w:line="560" w:lineRule="exact"/>
        <w:textAlignment w:val="auto"/>
        <w:rPr>
          <w:lang w:val="zh-TW"/>
        </w:rPr>
      </w:pPr>
    </w:p>
    <w:p>
      <w:pPr>
        <w:keepNext w:val="0"/>
        <w:keepLines w:val="0"/>
        <w:pageBreakBefore w:val="0"/>
        <w:kinsoku/>
        <w:wordWrap/>
        <w:overflowPunct/>
        <w:topLinePunct w:val="0"/>
        <w:bidi w:val="0"/>
        <w:spacing w:line="560" w:lineRule="exact"/>
        <w:ind w:firstLine="4800" w:firstLineChars="1500"/>
        <w:jc w:val="both"/>
        <w:textAlignment w:val="auto"/>
        <w:rPr>
          <w:rFonts w:ascii="仿宋_GB2312" w:hAnsi="仿宋_GB2312" w:eastAsia="仿宋_GB2312" w:cs="仿宋_GB2312"/>
          <w:sz w:val="32"/>
          <w:szCs w:val="32"/>
          <w:lang w:val="zh-TW" w:bidi="zh-TW"/>
        </w:rPr>
      </w:pPr>
      <w:r>
        <w:rPr>
          <w:rFonts w:hint="eastAsia" w:ascii="仿宋_GB2312" w:hAnsi="仿宋_GB2312" w:eastAsia="仿宋_GB2312" w:cs="仿宋_GB2312"/>
          <w:sz w:val="32"/>
          <w:szCs w:val="32"/>
          <w:lang w:val="zh-TW" w:bidi="zh-TW"/>
        </w:rPr>
        <w:t>鄂尔多斯市生态环境局</w:t>
      </w:r>
    </w:p>
    <w:p>
      <w:pPr>
        <w:keepNext w:val="0"/>
        <w:keepLines w:val="0"/>
        <w:pageBreakBefore w:val="0"/>
        <w:kinsoku/>
        <w:wordWrap/>
        <w:overflowPunct/>
        <w:topLinePunct w:val="0"/>
        <w:bidi w:val="0"/>
        <w:spacing w:line="560" w:lineRule="exact"/>
        <w:ind w:firstLine="5120" w:firstLineChars="1600"/>
        <w:jc w:val="both"/>
        <w:textAlignment w:val="auto"/>
        <w:rPr>
          <w:rFonts w:ascii="仿宋_GB2312" w:hAnsi="仿宋_GB2312" w:eastAsia="仿宋_GB2312" w:cs="仿宋_GB2312"/>
          <w:sz w:val="32"/>
          <w:szCs w:val="32"/>
          <w:lang w:bidi="zh-TW"/>
        </w:rPr>
      </w:pPr>
      <w:r>
        <w:rPr>
          <w:rFonts w:hint="eastAsia" w:ascii="仿宋_GB2312" w:hAnsi="仿宋_GB2312" w:eastAsia="仿宋_GB2312" w:cs="仿宋_GB2312"/>
          <w:sz w:val="32"/>
          <w:szCs w:val="32"/>
          <w:lang w:bidi="zh-TW"/>
        </w:rPr>
        <w:t>202</w:t>
      </w:r>
      <w:r>
        <w:rPr>
          <w:rFonts w:ascii="仿宋_GB2312" w:hAnsi="仿宋_GB2312" w:eastAsia="仿宋_GB2312" w:cs="仿宋_GB2312"/>
          <w:sz w:val="32"/>
          <w:szCs w:val="32"/>
          <w:lang w:bidi="zh-TW"/>
        </w:rPr>
        <w:t>3</w:t>
      </w:r>
      <w:r>
        <w:rPr>
          <w:rFonts w:hint="eastAsia" w:ascii="仿宋_GB2312" w:hAnsi="仿宋_GB2312" w:eastAsia="仿宋_GB2312" w:cs="仿宋_GB2312"/>
          <w:sz w:val="32"/>
          <w:szCs w:val="32"/>
          <w:lang w:bidi="zh-TW"/>
        </w:rPr>
        <w:t>年</w:t>
      </w:r>
      <w:r>
        <w:rPr>
          <w:rFonts w:ascii="仿宋_GB2312" w:hAnsi="仿宋_GB2312" w:eastAsia="仿宋_GB2312" w:cs="仿宋_GB2312"/>
          <w:sz w:val="32"/>
          <w:szCs w:val="32"/>
          <w:lang w:bidi="zh-TW"/>
        </w:rPr>
        <w:t>3</w:t>
      </w:r>
      <w:r>
        <w:rPr>
          <w:rFonts w:hint="eastAsia" w:ascii="仿宋_GB2312" w:hAnsi="仿宋_GB2312" w:eastAsia="仿宋_GB2312" w:cs="仿宋_GB2312"/>
          <w:sz w:val="32"/>
          <w:szCs w:val="32"/>
          <w:lang w:bidi="zh-TW"/>
        </w:rPr>
        <w:t>月</w:t>
      </w:r>
      <w:r>
        <w:rPr>
          <w:rFonts w:ascii="仿宋_GB2312" w:hAnsi="仿宋_GB2312" w:eastAsia="仿宋_GB2312" w:cs="仿宋_GB2312"/>
          <w:sz w:val="32"/>
          <w:szCs w:val="32"/>
          <w:lang w:bidi="zh-TW"/>
        </w:rPr>
        <w:t>31</w:t>
      </w:r>
      <w:r>
        <w:rPr>
          <w:rFonts w:hint="eastAsia" w:ascii="仿宋_GB2312" w:hAnsi="仿宋_GB2312" w:eastAsia="仿宋_GB2312" w:cs="仿宋_GB2312"/>
          <w:sz w:val="32"/>
          <w:szCs w:val="32"/>
          <w:lang w:bidi="zh-TW"/>
        </w:rPr>
        <w:t>日</w:t>
      </w:r>
    </w:p>
    <w:p>
      <w:pPr>
        <w:keepNext w:val="0"/>
        <w:keepLines w:val="0"/>
        <w:pageBreakBefore w:val="0"/>
        <w:kinsoku/>
        <w:wordWrap/>
        <w:overflowPunct/>
        <w:topLinePunct w:val="0"/>
        <w:bidi w:val="0"/>
        <w:spacing w:line="560" w:lineRule="exact"/>
        <w:textAlignment w:val="auto"/>
        <w:rPr>
          <w:rFonts w:ascii="Times New Roman" w:hAnsi="Times New Roman" w:eastAsia="仿宋_GB2312" w:cs="Times New Roman"/>
          <w:sz w:val="32"/>
          <w:szCs w:val="24"/>
        </w:rPr>
      </w:pPr>
    </w:p>
    <w:p>
      <w:pPr>
        <w:rPr>
          <w:rFonts w:ascii="Times New Roman" w:hAnsi="Times New Roman" w:eastAsia="仿宋_GB2312" w:cs="Times New Roman"/>
          <w:sz w:val="32"/>
          <w:szCs w:val="24"/>
        </w:rPr>
      </w:pPr>
    </w:p>
    <w:p>
      <w:pPr>
        <w:rPr>
          <w:rFonts w:ascii="Times New Roman" w:hAnsi="Times New Roman" w:eastAsia="仿宋_GB2312" w:cs="Times New Roman"/>
          <w:sz w:val="32"/>
          <w:szCs w:val="24"/>
        </w:rPr>
      </w:pPr>
    </w:p>
    <w:p>
      <w:pPr>
        <w:rPr>
          <w:rFonts w:ascii="Times New Roman" w:hAnsi="Times New Roman" w:eastAsia="仿宋_GB2312" w:cs="Times New Roman"/>
          <w:sz w:val="32"/>
          <w:szCs w:val="24"/>
        </w:rPr>
      </w:pPr>
    </w:p>
    <w:p>
      <w:pPr>
        <w:rPr>
          <w:rFonts w:ascii="Times New Roman" w:hAnsi="Times New Roman" w:eastAsia="仿宋_GB2312" w:cs="Times New Roman"/>
          <w:sz w:val="32"/>
          <w:szCs w:val="24"/>
        </w:rPr>
      </w:pPr>
    </w:p>
    <w:p>
      <w:pPr>
        <w:rPr>
          <w:rFonts w:ascii="Times New Roman" w:hAnsi="Times New Roman" w:eastAsia="仿宋_GB2312" w:cs="Times New Roman"/>
          <w:sz w:val="32"/>
          <w:szCs w:val="24"/>
        </w:rPr>
      </w:pPr>
    </w:p>
    <w:p>
      <w:pPr>
        <w:rPr>
          <w:rFonts w:ascii="Times New Roman" w:hAnsi="Times New Roman" w:eastAsia="仿宋_GB2312" w:cs="Times New Roman"/>
          <w:sz w:val="32"/>
          <w:szCs w:val="24"/>
        </w:rPr>
      </w:pPr>
    </w:p>
    <w:p>
      <w:pPr>
        <w:rPr>
          <w:rFonts w:ascii="Times New Roman" w:hAnsi="Times New Roman" w:eastAsia="仿宋_GB2312" w:cs="Times New Roman"/>
          <w:sz w:val="32"/>
          <w:szCs w:val="24"/>
        </w:rPr>
      </w:pPr>
    </w:p>
    <w:p>
      <w:pPr>
        <w:rPr>
          <w:rFonts w:ascii="Times New Roman" w:hAnsi="Times New Roman" w:eastAsia="仿宋_GB2312" w:cs="Times New Roman"/>
          <w:sz w:val="32"/>
          <w:szCs w:val="24"/>
        </w:rPr>
      </w:pPr>
    </w:p>
    <w:p>
      <w:pPr>
        <w:rPr>
          <w:rFonts w:ascii="Times New Roman" w:hAnsi="Times New Roman" w:eastAsia="仿宋_GB2312" w:cs="Times New Roman"/>
          <w:sz w:val="32"/>
          <w:szCs w:val="24"/>
        </w:rPr>
      </w:pPr>
    </w:p>
    <w:p>
      <w:pPr>
        <w:rPr>
          <w:rFonts w:ascii="Times New Roman" w:hAnsi="Times New Roman" w:eastAsia="仿宋_GB2312" w:cs="Times New Roman"/>
          <w:sz w:val="32"/>
          <w:szCs w:val="24"/>
        </w:rPr>
      </w:pPr>
    </w:p>
    <w:p>
      <w:pPr>
        <w:rPr>
          <w:rFonts w:ascii="Times New Roman" w:hAnsi="Times New Roman" w:eastAsia="仿宋_GB2312" w:cs="Times New Roman"/>
          <w:sz w:val="32"/>
          <w:szCs w:val="24"/>
        </w:rPr>
      </w:pPr>
    </w:p>
    <w:p>
      <w:pPr>
        <w:rPr>
          <w:rFonts w:ascii="Times New Roman" w:hAnsi="Times New Roman" w:eastAsia="仿宋_GB2312" w:cs="Times New Roman"/>
          <w:sz w:val="32"/>
          <w:szCs w:val="24"/>
        </w:rPr>
      </w:pPr>
    </w:p>
    <w:p>
      <w:pPr>
        <w:rPr>
          <w:rFonts w:ascii="Times New Roman" w:hAnsi="Times New Roman" w:eastAsia="仿宋_GB2312" w:cs="Times New Roman"/>
          <w:sz w:val="32"/>
          <w:szCs w:val="24"/>
        </w:rPr>
      </w:pPr>
    </w:p>
    <w:p>
      <w:pPr>
        <w:rPr>
          <w:rFonts w:ascii="Times New Roman" w:hAnsi="Times New Roman" w:eastAsia="仿宋_GB2312" w:cs="Times New Roman"/>
          <w:sz w:val="32"/>
          <w:szCs w:val="24"/>
        </w:rPr>
      </w:pPr>
    </w:p>
    <w:p>
      <w:pPr>
        <w:rPr>
          <w:rFonts w:ascii="Times New Roman" w:hAnsi="Times New Roman" w:eastAsia="仿宋_GB2312" w:cs="Times New Roman"/>
          <w:sz w:val="32"/>
          <w:szCs w:val="24"/>
        </w:rPr>
      </w:pPr>
    </w:p>
    <w:p>
      <w:pPr>
        <w:rPr>
          <w:rFonts w:ascii="Times New Roman" w:hAnsi="Times New Roman" w:eastAsia="仿宋_GB2312" w:cs="Times New Roman"/>
          <w:sz w:val="32"/>
          <w:szCs w:val="24"/>
        </w:rPr>
      </w:pPr>
    </w:p>
    <w:p>
      <w:pPr>
        <w:rPr>
          <w:rFonts w:ascii="Times New Roman" w:hAnsi="Times New Roman" w:eastAsia="仿宋_GB2312" w:cs="Times New Roman"/>
          <w:sz w:val="32"/>
          <w:szCs w:val="24"/>
        </w:rPr>
      </w:pPr>
    </w:p>
    <w:p>
      <w:pPr>
        <w:pStyle w:val="2"/>
        <w:rPr>
          <w:rFonts w:ascii="Times New Roman" w:hAnsi="Times New Roman" w:eastAsia="仿宋_GB2312" w:cs="Times New Roman"/>
          <w:sz w:val="32"/>
          <w:szCs w:val="24"/>
        </w:rPr>
      </w:pPr>
    </w:p>
    <w:p>
      <w:pPr>
        <w:rPr>
          <w:rFonts w:ascii="Times New Roman" w:hAnsi="Times New Roman" w:eastAsia="仿宋_GB2312" w:cs="Times New Roman"/>
          <w:sz w:val="32"/>
          <w:szCs w:val="24"/>
        </w:rPr>
      </w:pPr>
    </w:p>
    <w:p>
      <w:pPr>
        <w:pStyle w:val="2"/>
        <w:rPr>
          <w:rFonts w:ascii="Times New Roman" w:hAnsi="Times New Roman" w:eastAsia="仿宋_GB2312" w:cs="Times New Roman"/>
          <w:sz w:val="32"/>
          <w:szCs w:val="24"/>
        </w:rPr>
      </w:pPr>
    </w:p>
    <w:p>
      <w:pPr>
        <w:rPr>
          <w:rFonts w:ascii="Times New Roman" w:hAnsi="Times New Roman" w:eastAsia="仿宋_GB2312" w:cs="Times New Roman"/>
          <w:sz w:val="32"/>
          <w:szCs w:val="24"/>
        </w:rPr>
      </w:pPr>
    </w:p>
    <w:p>
      <w:pPr>
        <w:pStyle w:val="2"/>
        <w:rPr>
          <w:rFonts w:ascii="Times New Roman" w:hAnsi="Times New Roman" w:eastAsia="仿宋_GB2312" w:cs="Times New Roman"/>
          <w:sz w:val="32"/>
          <w:szCs w:val="24"/>
        </w:rPr>
      </w:pPr>
    </w:p>
    <w:p>
      <w:pPr>
        <w:rPr>
          <w:rFonts w:ascii="Times New Roman" w:hAnsi="Times New Roman" w:eastAsia="仿宋_GB2312" w:cs="Times New Roman"/>
          <w:sz w:val="32"/>
          <w:szCs w:val="24"/>
        </w:rPr>
      </w:pPr>
    </w:p>
    <w:p>
      <w:pPr>
        <w:pStyle w:val="2"/>
        <w:rPr>
          <w:rFonts w:ascii="Times New Roman" w:hAnsi="Times New Roman" w:eastAsia="仿宋_GB2312" w:cs="Times New Roman"/>
          <w:sz w:val="32"/>
          <w:szCs w:val="24"/>
        </w:rPr>
      </w:pPr>
    </w:p>
    <w:p>
      <w:pPr>
        <w:rPr>
          <w:rFonts w:ascii="Times New Roman" w:hAnsi="Times New Roman" w:eastAsia="仿宋_GB2312" w:cs="Times New Roman"/>
          <w:sz w:val="32"/>
          <w:szCs w:val="24"/>
        </w:rPr>
      </w:pPr>
    </w:p>
    <w:p/>
    <w:p/>
    <w:p>
      <w:pPr>
        <w:pStyle w:val="2"/>
        <w:rPr>
          <w:rFonts w:ascii="Times New Roman" w:hAnsi="Times New Roman" w:eastAsia="仿宋_GB2312" w:cs="Times New Roman"/>
          <w:sz w:val="32"/>
          <w:szCs w:val="24"/>
        </w:rPr>
      </w:pPr>
    </w:p>
    <w:p>
      <w:pPr>
        <w:rPr>
          <w:rFonts w:ascii="Times New Roman" w:hAnsi="Times New Roman" w:eastAsia="仿宋_GB2312" w:cs="Times New Roman"/>
          <w:sz w:val="32"/>
          <w:szCs w:val="24"/>
        </w:rPr>
      </w:pPr>
    </w:p>
    <w:p/>
    <w:p>
      <w:pPr>
        <w:rPr>
          <w:rFonts w:ascii="Times New Roman" w:hAnsi="Times New Roman" w:eastAsia="仿宋_GB2312" w:cs="Times New Roman"/>
          <w:sz w:val="32"/>
          <w:szCs w:val="24"/>
        </w:rPr>
      </w:pPr>
    </w:p>
    <w:p>
      <w:pPr>
        <w:rPr>
          <w:rFonts w:ascii="Times New Roman" w:hAnsi="Times New Roman" w:eastAsia="仿宋_GB2312" w:cs="Times New Roman"/>
          <w:sz w:val="32"/>
          <w:szCs w:val="24"/>
        </w:rPr>
      </w:pPr>
    </w:p>
    <w:p>
      <w:pPr>
        <w:pBdr>
          <w:top w:val="single" w:color="auto" w:sz="4" w:space="0"/>
          <w:bottom w:val="single" w:color="auto" w:sz="4" w:space="0"/>
        </w:pBdr>
        <w:spacing w:line="440" w:lineRule="exact"/>
        <w:rPr>
          <w:rFonts w:ascii="仿宋_GB2312" w:hAnsi="仿宋_GB2312" w:eastAsia="仿宋_GB2312" w:cs="仿宋_GB2312"/>
          <w:sz w:val="28"/>
          <w:szCs w:val="28"/>
          <w:lang w:val="zh-TW" w:eastAsia="zh-TW" w:bidi="zh-TW"/>
        </w:rPr>
      </w:pPr>
      <w:r>
        <w:rPr>
          <w:rFonts w:hint="eastAsia" w:ascii="仿宋_GB2312" w:hAnsi="仿宋_GB2312" w:eastAsia="仿宋_GB2312" w:cs="仿宋_GB2312"/>
          <w:sz w:val="28"/>
          <w:szCs w:val="28"/>
          <w:lang w:val="zh-TW" w:eastAsia="zh-TW" w:bidi="zh-TW"/>
        </w:rPr>
        <w:t>抄送：鄂尔多斯市生态环境</w:t>
      </w:r>
      <w:r>
        <w:rPr>
          <w:rFonts w:hint="eastAsia" w:ascii="仿宋_GB2312" w:hAnsi="仿宋_GB2312" w:eastAsia="仿宋_GB2312" w:cs="仿宋_GB2312"/>
          <w:sz w:val="28"/>
          <w:szCs w:val="28"/>
          <w:lang w:val="zh-TW" w:bidi="zh-TW"/>
        </w:rPr>
        <w:t>局鄂托克旗</w:t>
      </w:r>
      <w:r>
        <w:rPr>
          <w:rFonts w:hint="eastAsia" w:ascii="仿宋_GB2312" w:hAnsi="仿宋_GB2312" w:eastAsia="仿宋_GB2312" w:cs="仿宋_GB2312"/>
          <w:sz w:val="28"/>
          <w:szCs w:val="28"/>
          <w:lang w:val="zh-TW" w:eastAsia="zh-TW" w:bidi="zh-TW"/>
        </w:rPr>
        <w:t>分局</w:t>
      </w:r>
      <w:r>
        <w:rPr>
          <w:rFonts w:hint="eastAsia" w:ascii="仿宋_GB2312" w:hAnsi="仿宋_GB2312" w:eastAsia="仿宋_GB2312" w:cs="仿宋_GB2312"/>
          <w:sz w:val="28"/>
          <w:szCs w:val="28"/>
          <w:lang w:val="zh-TW" w:bidi="zh-TW"/>
        </w:rPr>
        <w:t>，市生态环境局综合保障中心</w:t>
      </w:r>
      <w:r>
        <w:rPr>
          <w:rFonts w:hint="eastAsia" w:ascii="仿宋_GB2312" w:hAnsi="仿宋_GB2312" w:eastAsia="仿宋_GB2312" w:cs="仿宋_GB2312"/>
          <w:sz w:val="28"/>
          <w:szCs w:val="28"/>
          <w:lang w:val="zh-TW" w:eastAsia="zh-CN" w:bidi="zh-TW"/>
        </w:rPr>
        <w:t>、</w:t>
      </w:r>
      <w:r>
        <w:rPr>
          <w:rFonts w:hint="eastAsia" w:ascii="仿宋_GB2312" w:hAnsi="仿宋_GB2312" w:eastAsia="仿宋_GB2312" w:cs="仿宋_GB2312"/>
          <w:sz w:val="28"/>
          <w:szCs w:val="28"/>
          <w:lang w:val="zh-TW" w:eastAsia="zh-TW" w:bidi="zh-TW"/>
        </w:rPr>
        <w:t>市</w:t>
      </w:r>
      <w:r>
        <w:rPr>
          <w:rFonts w:hint="eastAsia" w:ascii="仿宋_GB2312" w:hAnsi="仿宋_GB2312" w:eastAsia="仿宋_GB2312" w:cs="仿宋_GB2312"/>
          <w:sz w:val="28"/>
          <w:szCs w:val="28"/>
          <w:lang w:val="zh-TW" w:bidi="zh-TW"/>
        </w:rPr>
        <w:t>生态</w:t>
      </w:r>
      <w:r>
        <w:rPr>
          <w:rFonts w:hint="eastAsia" w:ascii="仿宋_GB2312" w:hAnsi="仿宋_GB2312" w:eastAsia="仿宋_GB2312" w:cs="仿宋_GB2312"/>
          <w:sz w:val="28"/>
          <w:szCs w:val="28"/>
          <w:lang w:val="zh-TW" w:eastAsia="zh-TW" w:bidi="zh-TW"/>
        </w:rPr>
        <w:t>环境</w:t>
      </w:r>
      <w:r>
        <w:rPr>
          <w:rFonts w:hint="eastAsia" w:ascii="仿宋_GB2312" w:hAnsi="仿宋_GB2312" w:eastAsia="仿宋_GB2312" w:cs="仿宋_GB2312"/>
          <w:sz w:val="28"/>
          <w:szCs w:val="28"/>
          <w:lang w:val="zh-TW" w:bidi="zh-TW"/>
        </w:rPr>
        <w:t>综合行政执法</w:t>
      </w:r>
      <w:r>
        <w:rPr>
          <w:rFonts w:hint="eastAsia" w:ascii="仿宋_GB2312" w:hAnsi="仿宋_GB2312" w:eastAsia="仿宋_GB2312" w:cs="仿宋_GB2312"/>
          <w:sz w:val="28"/>
          <w:szCs w:val="28"/>
          <w:lang w:val="zh-TW" w:eastAsia="zh-TW" w:bidi="zh-TW"/>
        </w:rPr>
        <w:t>支队，</w:t>
      </w:r>
      <w:r>
        <w:rPr>
          <w:rFonts w:hint="eastAsia" w:ascii="仿宋_GB2312" w:hAnsi="仿宋_GB2312" w:eastAsia="仿宋_GB2312" w:cs="仿宋_GB2312"/>
          <w:bCs/>
          <w:sz w:val="28"/>
          <w:szCs w:val="28"/>
          <w:lang w:eastAsia="zh-TW" w:bidi="zh-TW"/>
        </w:rPr>
        <w:t>河北奇正环境科技有限公司</w:t>
      </w:r>
      <w:r>
        <w:rPr>
          <w:rFonts w:hint="eastAsia" w:ascii="仿宋_GB2312" w:hAnsi="仿宋_GB2312" w:eastAsia="仿宋_GB2312" w:cs="仿宋_GB2312"/>
          <w:sz w:val="28"/>
          <w:szCs w:val="28"/>
          <w:lang w:val="zh-TW" w:eastAsia="zh-TW" w:bidi="zh-TW"/>
        </w:rPr>
        <w:t>。</w:t>
      </w:r>
    </w:p>
    <w:p>
      <w:pPr>
        <w:pBdr>
          <w:bottom w:val="single" w:color="auto" w:sz="4" w:space="0"/>
        </w:pBdr>
        <w:tabs>
          <w:tab w:val="left" w:pos="5746"/>
        </w:tabs>
        <w:spacing w:line="440" w:lineRule="exact"/>
        <w:rPr>
          <w:rFonts w:ascii="仿宋_GB2312" w:hAnsi="仿宋_GB2312" w:eastAsia="PMingLiU" w:cs="仿宋_GB2312"/>
          <w:sz w:val="28"/>
          <w:szCs w:val="32"/>
          <w:lang w:val="zh-TW" w:eastAsia="zh-TW" w:bidi="zh-TW"/>
        </w:rPr>
      </w:pPr>
      <w:r>
        <w:rPr>
          <w:rFonts w:hint="eastAsia" w:ascii="仿宋_GB2312" w:hAnsi="仿宋_GB2312" w:eastAsia="仿宋_GB2312" w:cs="仿宋_GB2312"/>
          <w:sz w:val="28"/>
          <w:szCs w:val="28"/>
          <w:lang w:val="zh-TW" w:eastAsia="zh-TW" w:bidi="zh-TW"/>
        </w:rPr>
        <w:t>鄂尔多斯市生态环境局</w:t>
      </w:r>
      <w:r>
        <w:rPr>
          <w:rFonts w:hint="eastAsia" w:ascii="仿宋_GB2312" w:hAnsi="仿宋_GB2312" w:eastAsia="仿宋_GB2312" w:cs="仿宋_GB2312"/>
          <w:color w:val="000000"/>
          <w:sz w:val="28"/>
          <w:szCs w:val="28"/>
          <w:lang w:val="zh-TW" w:eastAsia="zh-TW" w:bidi="zh-TW"/>
        </w:rPr>
        <w:tab/>
      </w:r>
      <w:r>
        <w:rPr>
          <w:rFonts w:hint="eastAsia" w:ascii="仿宋_GB2312" w:hAnsi="仿宋_GB2312" w:eastAsia="仿宋_GB2312" w:cs="仿宋_GB2312"/>
          <w:color w:val="000000"/>
          <w:sz w:val="28"/>
          <w:szCs w:val="28"/>
          <w:lang w:bidi="zh-TW"/>
        </w:rPr>
        <w:t xml:space="preserve">  </w:t>
      </w:r>
      <w:r>
        <w:rPr>
          <w:rFonts w:hint="eastAsia" w:ascii="仿宋_GB2312" w:hAnsi="仿宋_GB2312" w:eastAsia="仿宋_GB2312" w:cs="仿宋_GB2312"/>
          <w:color w:val="000000"/>
          <w:sz w:val="28"/>
          <w:szCs w:val="28"/>
          <w:lang w:val="zh-TW" w:eastAsia="zh-TW" w:bidi="zh-TW"/>
        </w:rPr>
        <w:t>20</w:t>
      </w:r>
      <w:r>
        <w:rPr>
          <w:rFonts w:hint="eastAsia" w:ascii="仿宋_GB2312" w:hAnsi="仿宋_GB2312" w:eastAsia="仿宋_GB2312" w:cs="仿宋_GB2312"/>
          <w:color w:val="000000"/>
          <w:sz w:val="28"/>
          <w:szCs w:val="28"/>
          <w:lang w:val="zh-TW" w:bidi="zh-TW"/>
        </w:rPr>
        <w:t>2</w:t>
      </w:r>
      <w:r>
        <w:rPr>
          <w:rFonts w:ascii="仿宋_GB2312" w:hAnsi="仿宋_GB2312" w:eastAsia="PMingLiU" w:cs="仿宋_GB2312"/>
          <w:color w:val="000000"/>
          <w:sz w:val="28"/>
          <w:szCs w:val="28"/>
          <w:lang w:val="zh-TW" w:eastAsia="zh-TW" w:bidi="zh-TW"/>
        </w:rPr>
        <w:t>3</w:t>
      </w:r>
      <w:r>
        <w:rPr>
          <w:rFonts w:hint="eastAsia" w:ascii="仿宋_GB2312" w:hAnsi="仿宋_GB2312" w:eastAsia="仿宋_GB2312" w:cs="仿宋_GB2312"/>
          <w:color w:val="000000"/>
          <w:sz w:val="28"/>
          <w:szCs w:val="28"/>
          <w:lang w:val="zh-TW" w:eastAsia="zh-TW" w:bidi="zh-TW"/>
        </w:rPr>
        <w:t>年</w:t>
      </w:r>
      <w:r>
        <w:rPr>
          <w:rFonts w:ascii="仿宋_GB2312" w:hAnsi="仿宋_GB2312" w:eastAsia="仿宋_GB2312" w:cs="仿宋_GB2312"/>
          <w:color w:val="000000"/>
          <w:sz w:val="28"/>
          <w:szCs w:val="28"/>
          <w:lang w:bidi="zh-TW"/>
        </w:rPr>
        <w:t>3</w:t>
      </w:r>
      <w:r>
        <w:rPr>
          <w:rFonts w:hint="eastAsia" w:ascii="仿宋_GB2312" w:hAnsi="仿宋_GB2312" w:eastAsia="仿宋_GB2312" w:cs="仿宋_GB2312"/>
          <w:color w:val="000000"/>
          <w:sz w:val="28"/>
          <w:szCs w:val="28"/>
          <w:lang w:val="zh-TW" w:eastAsia="zh-TW" w:bidi="zh-TW"/>
        </w:rPr>
        <w:t>月</w:t>
      </w:r>
      <w:r>
        <w:rPr>
          <w:rFonts w:ascii="仿宋_GB2312" w:hAnsi="仿宋_GB2312" w:eastAsia="仿宋_GB2312" w:cs="仿宋_GB2312"/>
          <w:color w:val="000000"/>
          <w:sz w:val="28"/>
          <w:szCs w:val="28"/>
          <w:lang w:bidi="zh-TW"/>
        </w:rPr>
        <w:t>31</w:t>
      </w:r>
      <w:r>
        <w:rPr>
          <w:rFonts w:hint="eastAsia" w:ascii="仿宋_GB2312" w:hAnsi="仿宋_GB2312" w:eastAsia="仿宋_GB2312" w:cs="仿宋_GB2312"/>
          <w:color w:val="000000"/>
          <w:sz w:val="28"/>
          <w:szCs w:val="28"/>
          <w:lang w:val="zh-TW" w:eastAsia="zh-TW" w:bidi="zh-TW"/>
        </w:rPr>
        <w:t>日印发</w:t>
      </w:r>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134" w:left="1588" w:header="851" w:footer="737"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lear" w:pos="4153"/>
        <w:tab w:val="clear" w:pos="8306"/>
      </w:tabs>
      <w:ind w:right="218" w:rightChars="104" w:firstLine="560"/>
      <w:jc w:val="right"/>
      <w:rPr>
        <w:rFonts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5 -</w:t>
    </w:r>
    <w:r>
      <w:rPr>
        <w:rFonts w:hint="eastAsia" w:ascii="宋体"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lear" w:pos="4153"/>
        <w:tab w:val="clear" w:pos="8306"/>
      </w:tabs>
      <w:ind w:firstLine="560"/>
      <w:rPr>
        <w:rFonts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4 -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lear" w:pos="4153"/>
        <w:tab w:val="clear" w:pos="8306"/>
      </w:tabs>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tabs>
        <w:tab w:val="left" w:pos="4200"/>
        <w:tab w:val="left" w:pos="4620"/>
        <w:tab w:val="left" w:pos="5040"/>
        <w:tab w:val="left" w:pos="5520"/>
        <w:tab w:val="clear" w:pos="4153"/>
        <w:tab w:val="clear" w:pos="8306"/>
      </w:tabs>
      <w:ind w:firstLine="360"/>
      <w:jc w:val="left"/>
    </w:pPr>
    <w:r>
      <w:tab/>
    </w:r>
    <w:r>
      <w:tab/>
    </w:r>
    <w:r>
      <w:tab/>
    </w: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NiMDc0M2M3NGUwMjY5NGMyMGQzMDAzMDBhMGMxYjkifQ=="/>
  </w:docVars>
  <w:rsids>
    <w:rsidRoot w:val="00E3272C"/>
    <w:rsid w:val="002D1DCF"/>
    <w:rsid w:val="00405B3D"/>
    <w:rsid w:val="00586B81"/>
    <w:rsid w:val="005E42B3"/>
    <w:rsid w:val="00920FA6"/>
    <w:rsid w:val="009C4B0C"/>
    <w:rsid w:val="00AC05AA"/>
    <w:rsid w:val="00AD5F4F"/>
    <w:rsid w:val="00E3272C"/>
    <w:rsid w:val="00E43E01"/>
    <w:rsid w:val="00F23CC7"/>
    <w:rsid w:val="00F40198"/>
    <w:rsid w:val="063C11A1"/>
    <w:rsid w:val="066057DE"/>
    <w:rsid w:val="13783B0B"/>
    <w:rsid w:val="28DF60E7"/>
    <w:rsid w:val="5289589A"/>
    <w:rsid w:val="5E854E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99" w:semiHidden="0"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1"/>
    <w:link w:val="12"/>
    <w:qFormat/>
    <w:uiPriority w:val="0"/>
    <w:pPr>
      <w:tabs>
        <w:tab w:val="center" w:pos="4153"/>
        <w:tab w:val="right" w:pos="8306"/>
      </w:tabs>
      <w:snapToGrid w:val="0"/>
      <w:ind w:firstLine="200" w:firstLineChars="200"/>
      <w:jc w:val="left"/>
    </w:pPr>
    <w:rPr>
      <w:rFonts w:ascii="Times New Roman" w:hAnsi="Times New Roman" w:eastAsia="仿宋_GB2312" w:cs="Times New Roman"/>
      <w:sz w:val="18"/>
      <w:szCs w:val="18"/>
    </w:rPr>
  </w:style>
  <w:style w:type="paragraph" w:styleId="3">
    <w:name w:val="Normal Indent"/>
    <w:basedOn w:val="1"/>
    <w:next w:val="4"/>
    <w:qFormat/>
    <w:uiPriority w:val="0"/>
    <w:pPr>
      <w:ind w:firstLine="200" w:firstLineChars="200"/>
    </w:pPr>
  </w:style>
  <w:style w:type="paragraph" w:styleId="4">
    <w:name w:val="Body Text First Indent 2"/>
    <w:basedOn w:val="5"/>
    <w:next w:val="1"/>
    <w:unhideWhenUsed/>
    <w:qFormat/>
    <w:uiPriority w:val="99"/>
    <w:pPr>
      <w:ind w:firstLine="420" w:firstLineChars="200"/>
    </w:pPr>
  </w:style>
  <w:style w:type="paragraph" w:styleId="5">
    <w:name w:val="Body Text Indent"/>
    <w:basedOn w:val="1"/>
    <w:next w:val="1"/>
    <w:qFormat/>
    <w:uiPriority w:val="0"/>
    <w:pPr>
      <w:keepNext/>
      <w:widowControl w:val="0"/>
      <w:spacing w:line="360" w:lineRule="auto"/>
    </w:pPr>
    <w:rPr>
      <w:rFonts w:eastAsia="宋体"/>
      <w:sz w:val="24"/>
    </w:rPr>
  </w:style>
  <w:style w:type="paragraph" w:styleId="6">
    <w:name w:val="Salutation"/>
    <w:basedOn w:val="1"/>
    <w:next w:val="1"/>
    <w:link w:val="14"/>
    <w:unhideWhenUsed/>
    <w:qFormat/>
    <w:uiPriority w:val="99"/>
    <w:rPr>
      <w:rFonts w:ascii="仿宋_GB2312" w:hAnsi="仿宋_GB2312" w:eastAsia="仿宋_GB2312" w:cs="仿宋_GB2312"/>
      <w:sz w:val="32"/>
      <w:szCs w:val="32"/>
      <w:lang w:val="zh-TW" w:eastAsia="zh-TW" w:bidi="zh-TW"/>
    </w:rPr>
  </w:style>
  <w:style w:type="paragraph" w:styleId="7">
    <w:name w:val="Closing"/>
    <w:basedOn w:val="1"/>
    <w:link w:val="15"/>
    <w:unhideWhenUsed/>
    <w:qFormat/>
    <w:uiPriority w:val="99"/>
    <w:pPr>
      <w:ind w:left="100" w:leftChars="2100"/>
    </w:pPr>
    <w:rPr>
      <w:rFonts w:ascii="仿宋_GB2312" w:hAnsi="仿宋_GB2312" w:eastAsia="仿宋_GB2312" w:cs="仿宋_GB2312"/>
      <w:sz w:val="32"/>
      <w:szCs w:val="32"/>
      <w:lang w:val="zh-TW" w:eastAsia="zh-TW" w:bidi="zh-TW"/>
    </w:rPr>
  </w:style>
  <w:style w:type="paragraph" w:styleId="8">
    <w:name w:val="Body Text"/>
    <w:basedOn w:val="1"/>
    <w:qFormat/>
    <w:uiPriority w:val="0"/>
    <w:pPr>
      <w:spacing w:after="120" w:afterLines="0" w:afterAutospacing="0"/>
    </w:pPr>
  </w:style>
  <w:style w:type="paragraph" w:styleId="9">
    <w:name w:val="header"/>
    <w:basedOn w:val="1"/>
    <w:link w:val="13"/>
    <w:qFormat/>
    <w:uiPriority w:val="0"/>
    <w:pPr>
      <w:pBdr>
        <w:bottom w:val="single" w:color="auto" w:sz="6" w:space="1"/>
      </w:pBdr>
      <w:tabs>
        <w:tab w:val="center" w:pos="4153"/>
        <w:tab w:val="right" w:pos="8306"/>
      </w:tabs>
      <w:snapToGrid w:val="0"/>
      <w:ind w:firstLine="200" w:firstLineChars="200"/>
      <w:jc w:val="center"/>
    </w:pPr>
    <w:rPr>
      <w:rFonts w:ascii="Times New Roman" w:hAnsi="Times New Roman" w:eastAsia="仿宋_GB2312" w:cs="Times New Roman"/>
      <w:sz w:val="18"/>
      <w:szCs w:val="18"/>
    </w:rPr>
  </w:style>
  <w:style w:type="character" w:customStyle="1" w:styleId="12">
    <w:name w:val="页脚 字符"/>
    <w:basedOn w:val="11"/>
    <w:link w:val="2"/>
    <w:qFormat/>
    <w:uiPriority w:val="0"/>
    <w:rPr>
      <w:rFonts w:ascii="Times New Roman" w:hAnsi="Times New Roman" w:eastAsia="仿宋_GB2312" w:cs="Times New Roman"/>
      <w:sz w:val="18"/>
      <w:szCs w:val="18"/>
    </w:rPr>
  </w:style>
  <w:style w:type="character" w:customStyle="1" w:styleId="13">
    <w:name w:val="页眉 字符"/>
    <w:basedOn w:val="11"/>
    <w:link w:val="9"/>
    <w:qFormat/>
    <w:uiPriority w:val="0"/>
    <w:rPr>
      <w:rFonts w:ascii="Times New Roman" w:hAnsi="Times New Roman" w:eastAsia="仿宋_GB2312" w:cs="Times New Roman"/>
      <w:sz w:val="18"/>
      <w:szCs w:val="18"/>
    </w:rPr>
  </w:style>
  <w:style w:type="character" w:customStyle="1" w:styleId="14">
    <w:name w:val="称呼 字符"/>
    <w:basedOn w:val="11"/>
    <w:link w:val="6"/>
    <w:qFormat/>
    <w:uiPriority w:val="99"/>
    <w:rPr>
      <w:rFonts w:ascii="仿宋_GB2312" w:hAnsi="仿宋_GB2312" w:eastAsia="仿宋_GB2312" w:cs="仿宋_GB2312"/>
      <w:sz w:val="32"/>
      <w:szCs w:val="32"/>
      <w:lang w:val="zh-TW" w:eastAsia="zh-TW" w:bidi="zh-TW"/>
    </w:rPr>
  </w:style>
  <w:style w:type="character" w:customStyle="1" w:styleId="15">
    <w:name w:val="结束语 字符"/>
    <w:basedOn w:val="11"/>
    <w:link w:val="7"/>
    <w:qFormat/>
    <w:uiPriority w:val="99"/>
    <w:rPr>
      <w:rFonts w:ascii="仿宋_GB2312" w:hAnsi="仿宋_GB2312" w:eastAsia="仿宋_GB2312" w:cs="仿宋_GB2312"/>
      <w:sz w:val="32"/>
      <w:szCs w:val="32"/>
      <w:lang w:val="zh-TW" w:eastAsia="zh-TW" w:bidi="zh-TW"/>
    </w:rPr>
  </w:style>
  <w:style w:type="paragraph" w:customStyle="1" w:styleId="16">
    <w:name w:val="Body text|2"/>
    <w:basedOn w:val="1"/>
    <w:qFormat/>
    <w:uiPriority w:val="0"/>
    <w:pPr>
      <w:spacing w:after="520" w:line="600" w:lineRule="exact"/>
      <w:jc w:val="center"/>
    </w:pPr>
    <w:rPr>
      <w:rFonts w:ascii="宋体" w:hAnsi="宋体" w:eastAsia="宋体" w:cs="宋体"/>
      <w:sz w:val="44"/>
      <w:szCs w:val="44"/>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2272</Words>
  <Characters>2425</Characters>
  <Lines>18</Lines>
  <Paragraphs>5</Paragraphs>
  <TotalTime>90</TotalTime>
  <ScaleCrop>false</ScaleCrop>
  <LinksUpToDate>false</LinksUpToDate>
  <CharactersWithSpaces>2430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2023-03-31T02:57:00Z</dcterms:created>
  <dc:creator>West Phoenix</dc:creator>
  <cp:lastModifiedBy>Administrator</cp:lastModifiedBy>
  <cp:lastPrinted>2023-04-06T07:40:00Z</cp:lastPrinted>
  <dcterms:modified xsi:type="dcterms:W3CDTF">2023-04-20T08:08:48Z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5555491E71CB4B55B52C6DA2ABFB970F_13</vt:lpwstr>
  </property>
</Properties>
</file>