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8280"/>
        </w:tabs>
        <w:spacing w:line="600" w:lineRule="exact"/>
        <w:ind w:right="26" w:firstLine="0" w:firstLineChars="0"/>
        <w:jc w:val="right"/>
        <w:rPr>
          <w:rFonts w:hint="eastAsia" w:eastAsia="仿宋"/>
          <w:color w:val="auto"/>
          <w:highlight w:val="none"/>
        </w:rPr>
      </w:pPr>
    </w:p>
    <w:p>
      <w:pPr>
        <w:pStyle w:val="3"/>
        <w:spacing w:line="600" w:lineRule="exact"/>
        <w:ind w:firstLine="640"/>
        <w:rPr>
          <w:color w:val="auto"/>
          <w:highlight w:val="none"/>
        </w:rPr>
      </w:pPr>
    </w:p>
    <w:p>
      <w:pPr>
        <w:tabs>
          <w:tab w:val="left" w:pos="8280"/>
        </w:tabs>
        <w:spacing w:line="600" w:lineRule="exact"/>
        <w:ind w:right="26" w:firstLine="0" w:firstLineChars="0"/>
        <w:jc w:val="right"/>
        <w:rPr>
          <w:rFonts w:ascii="Times New Roman" w:hAnsi="Times New Roman"/>
          <w:color w:val="auto"/>
          <w:highlight w:val="none"/>
        </w:rPr>
      </w:pPr>
    </w:p>
    <w:p>
      <w:pPr>
        <w:tabs>
          <w:tab w:val="left" w:pos="8280"/>
        </w:tabs>
        <w:spacing w:line="600" w:lineRule="exact"/>
        <w:ind w:right="26" w:firstLine="0" w:firstLineChars="0"/>
        <w:jc w:val="right"/>
        <w:rPr>
          <w:rFonts w:ascii="Times New Roman" w:hAnsi="Times New Roman"/>
          <w:color w:val="auto"/>
          <w:highlight w:val="none"/>
        </w:rPr>
      </w:pPr>
    </w:p>
    <w:p>
      <w:pPr>
        <w:tabs>
          <w:tab w:val="left" w:pos="8280"/>
        </w:tabs>
        <w:spacing w:line="600" w:lineRule="exact"/>
        <w:ind w:right="26" w:firstLine="0" w:firstLineChars="0"/>
        <w:jc w:val="right"/>
        <w:rPr>
          <w:rFonts w:ascii="Times New Roman" w:hAnsi="Times New Roman"/>
          <w:color w:val="auto"/>
          <w:highlight w:val="none"/>
        </w:rPr>
      </w:pPr>
    </w:p>
    <w:p>
      <w:pPr>
        <w:tabs>
          <w:tab w:val="left" w:pos="8280"/>
        </w:tabs>
        <w:spacing w:line="560" w:lineRule="exact"/>
        <w:ind w:right="26" w:firstLine="0" w:firstLineChars="0"/>
        <w:jc w:val="right"/>
        <w:rPr>
          <w:rFonts w:ascii="Times New Roman" w:hAnsi="Times New Roman"/>
          <w:color w:val="auto"/>
          <w:highlight w:val="none"/>
        </w:rPr>
      </w:pPr>
    </w:p>
    <w:p>
      <w:pPr>
        <w:tabs>
          <w:tab w:val="left" w:pos="8280"/>
        </w:tabs>
        <w:spacing w:line="560" w:lineRule="exact"/>
        <w:ind w:right="26" w:firstLine="0" w:firstLineChars="0"/>
        <w:jc w:val="right"/>
        <w:rPr>
          <w:rFonts w:ascii="Times New Roman" w:hAnsi="Times New Roman"/>
          <w:color w:val="auto"/>
          <w:highlight w:val="none"/>
        </w:rPr>
      </w:pPr>
    </w:p>
    <w:p>
      <w:pPr>
        <w:pStyle w:val="4"/>
        <w:spacing w:line="560" w:lineRule="exact"/>
        <w:ind w:left="0" w:leftChars="0" w:firstLine="0" w:firstLineChars="0"/>
        <w:rPr>
          <w:color w:val="auto"/>
          <w:sz w:val="28"/>
          <w:szCs w:val="28"/>
          <w:highlight w:val="none"/>
        </w:rPr>
      </w:pPr>
    </w:p>
    <w:p>
      <w:pPr>
        <w:ind w:firstLine="640"/>
        <w:rPr>
          <w:color w:val="auto"/>
          <w:highlight w:val="none"/>
        </w:rPr>
      </w:pPr>
    </w:p>
    <w:p>
      <w:pPr>
        <w:tabs>
          <w:tab w:val="left" w:pos="8280"/>
        </w:tabs>
        <w:spacing w:line="600" w:lineRule="exact"/>
        <w:ind w:right="26" w:firstLine="0" w:firstLineChars="0"/>
        <w:jc w:val="center"/>
        <w:rPr>
          <w:rFonts w:ascii="Times New Roman" w:hAnsi="Times New Roman"/>
          <w:color w:val="auto"/>
          <w:highlight w:val="none"/>
        </w:rPr>
      </w:pPr>
      <w:r>
        <w:rPr>
          <w:rFonts w:ascii="Times New Roman" w:hAnsi="Times New Roman"/>
          <w:color w:val="auto"/>
          <w:highlight w:val="none"/>
        </w:rPr>
        <w:t>鄂环</w:t>
      </w:r>
      <w:r>
        <w:rPr>
          <w:rFonts w:hint="eastAsia" w:ascii="Times New Roman" w:hAnsi="Times New Roman"/>
          <w:color w:val="auto"/>
          <w:highlight w:val="none"/>
        </w:rPr>
        <w:t>审</w:t>
      </w:r>
      <w:r>
        <w:rPr>
          <w:rFonts w:ascii="Times New Roman" w:hAnsi="Times New Roman"/>
          <w:color w:val="auto"/>
          <w:highlight w:val="none"/>
        </w:rPr>
        <w:t>字〔20</w:t>
      </w:r>
      <w:r>
        <w:rPr>
          <w:rFonts w:hint="eastAsia" w:ascii="Times New Roman" w:hAnsi="Times New Roman"/>
          <w:color w:val="auto"/>
          <w:highlight w:val="none"/>
        </w:rPr>
        <w:t>23</w:t>
      </w:r>
      <w:r>
        <w:rPr>
          <w:rFonts w:ascii="Times New Roman" w:hAnsi="Times New Roman"/>
          <w:color w:val="auto"/>
          <w:highlight w:val="none"/>
        </w:rPr>
        <w:t>〕</w:t>
      </w:r>
      <w:r>
        <w:rPr>
          <w:rFonts w:hint="eastAsia" w:ascii="Times New Roman" w:hAnsi="Times New Roman"/>
          <w:color w:val="auto"/>
          <w:highlight w:val="none"/>
        </w:rPr>
        <w:t>36</w:t>
      </w:r>
      <w:r>
        <w:rPr>
          <w:rFonts w:ascii="Times New Roman" w:hAnsi="Times New Roman"/>
          <w:color w:val="auto"/>
          <w:highlight w:val="none"/>
        </w:rPr>
        <w:t>号</w:t>
      </w:r>
    </w:p>
    <w:p>
      <w:pPr>
        <w:pStyle w:val="4"/>
        <w:ind w:left="640" w:firstLine="640"/>
        <w:rPr>
          <w:color w:val="auto"/>
          <w:highlight w:val="none"/>
        </w:rPr>
      </w:pPr>
    </w:p>
    <w:p>
      <w:pPr>
        <w:spacing w:line="600" w:lineRule="exact"/>
        <w:ind w:firstLine="0" w:firstLineChars="0"/>
        <w:jc w:val="center"/>
        <w:rPr>
          <w:rFonts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鄂尔多斯市生态环境局</w:t>
      </w:r>
    </w:p>
    <w:p>
      <w:pPr>
        <w:spacing w:line="600" w:lineRule="exact"/>
        <w:ind w:firstLine="0" w:firstLineChars="0"/>
        <w:jc w:val="center"/>
        <w:rPr>
          <w:rFonts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关于国电内蒙古东胜热电有限公司火电灵活性改造促进市场化消纳新能源项目（162MW光伏发电部分）环境影响报告表的批复</w:t>
      </w:r>
    </w:p>
    <w:p>
      <w:pPr>
        <w:spacing w:line="600" w:lineRule="exact"/>
        <w:ind w:firstLine="723"/>
        <w:jc w:val="center"/>
        <w:rPr>
          <w:rFonts w:ascii="Times New Roman" w:hAnsi="Times New Roman" w:eastAsia="宋体"/>
          <w:b/>
          <w:color w:val="auto"/>
          <w:sz w:val="36"/>
          <w:szCs w:val="36"/>
          <w:highlight w:val="none"/>
        </w:rPr>
      </w:pPr>
    </w:p>
    <w:p>
      <w:pPr>
        <w:spacing w:line="600" w:lineRule="exact"/>
        <w:ind w:right="22" w:rightChars="7" w:firstLine="0" w:firstLineChars="0"/>
        <w:jc w:val="left"/>
        <w:rPr>
          <w:rFonts w:ascii="仿宋" w:hAnsi="仿宋" w:eastAsia="仿宋" w:cs="仿宋"/>
          <w:color w:val="auto"/>
          <w:szCs w:val="32"/>
          <w:highlight w:val="none"/>
        </w:rPr>
      </w:pPr>
      <w:r>
        <w:rPr>
          <w:rFonts w:hint="eastAsia" w:ascii="仿宋" w:hAnsi="仿宋" w:eastAsia="仿宋" w:cs="仿宋"/>
          <w:color w:val="auto"/>
          <w:szCs w:val="32"/>
          <w:highlight w:val="none"/>
        </w:rPr>
        <w:t>国电内蒙古东胜热电有限公司：</w:t>
      </w:r>
    </w:p>
    <w:p>
      <w:pPr>
        <w:spacing w:line="600" w:lineRule="exact"/>
        <w:ind w:right="22" w:rightChars="7" w:firstLine="630" w:firstLineChars="0"/>
        <w:rPr>
          <w:rFonts w:ascii="仿宋" w:hAnsi="仿宋" w:eastAsia="仿宋" w:cs="仿宋"/>
          <w:color w:val="auto"/>
          <w:szCs w:val="32"/>
          <w:highlight w:val="none"/>
        </w:rPr>
      </w:pPr>
      <w:r>
        <w:rPr>
          <w:rFonts w:hint="eastAsia" w:ascii="仿宋" w:hAnsi="仿宋" w:eastAsia="仿宋" w:cs="仿宋"/>
          <w:color w:val="auto"/>
          <w:szCs w:val="32"/>
          <w:highlight w:val="none"/>
        </w:rPr>
        <w:t>你公司报送的由内蒙古绿之垠环保科技发展有限公司编制的《国电内蒙古东胜热电有限公司火电灵活性改造促进市场化消纳新能源项目（162MW光伏发电部分）环境影响报告表》（以下简称《报告表》）收悉。我局综合保障中心对该项目进行了技术评估，并形成了技术评估报告，根据《报告表》和《技术评估报告》，经研究，现批复如下：</w:t>
      </w:r>
    </w:p>
    <w:p>
      <w:pPr>
        <w:tabs>
          <w:tab w:val="left" w:pos="0"/>
        </w:tabs>
        <w:adjustRightInd w:val="0"/>
        <w:snapToGrid w:val="0"/>
        <w:spacing w:line="560" w:lineRule="exact"/>
        <w:ind w:firstLine="640"/>
        <w:rPr>
          <w:rFonts w:ascii="仿宋" w:hAnsi="仿宋" w:eastAsia="仿宋" w:cs="仿宋"/>
          <w:color w:val="auto"/>
          <w:szCs w:val="32"/>
          <w:highlight w:val="none"/>
        </w:rPr>
      </w:pPr>
      <w:r>
        <w:rPr>
          <w:rFonts w:hint="eastAsia" w:ascii="仿宋" w:hAnsi="仿宋" w:eastAsia="仿宋" w:cs="仿宋"/>
          <w:color w:val="auto"/>
          <w:szCs w:val="32"/>
          <w:highlight w:val="none"/>
        </w:rPr>
        <w:t>一、该项目位于</w:t>
      </w:r>
      <w:r>
        <w:rPr>
          <w:rFonts w:hint="eastAsia" w:ascii="仿宋_GB2312" w:hAnsi="仿宋_GB2312" w:cs="仿宋_GB2312"/>
          <w:color w:val="auto"/>
          <w:kern w:val="0"/>
          <w:szCs w:val="32"/>
          <w:highlight w:val="none"/>
        </w:rPr>
        <w:t>内蒙古自治区鄂尔多斯市东胜区境内</w:t>
      </w:r>
      <w:r>
        <w:rPr>
          <w:rFonts w:hint="eastAsia" w:ascii="仿宋" w:hAnsi="仿宋" w:eastAsia="仿宋" w:cs="仿宋"/>
          <w:color w:val="auto"/>
          <w:szCs w:val="32"/>
          <w:highlight w:val="none"/>
        </w:rPr>
        <w:t>。主要建设内容为162MW光伏场区及配套35kV集电线路等</w:t>
      </w:r>
      <w:r>
        <w:rPr>
          <w:rFonts w:hint="eastAsia" w:ascii="仿宋" w:hAnsi="仿宋" w:eastAsia="仿宋" w:cs="仿宋"/>
          <w:color w:val="auto"/>
          <w:kern w:val="0"/>
          <w:szCs w:val="32"/>
          <w:highlight w:val="none"/>
        </w:rPr>
        <w:t>配套公辅工程及环保工程。</w:t>
      </w:r>
      <w:r>
        <w:rPr>
          <w:rFonts w:hint="eastAsia" w:ascii="仿宋" w:hAnsi="仿宋" w:eastAsia="仿宋" w:cs="仿宋"/>
          <w:color w:val="auto"/>
          <w:szCs w:val="32"/>
          <w:highlight w:val="none"/>
        </w:rPr>
        <w:t>光伏场区分为恒泰、永顺区域光伏阵列区、嘉信德区域光伏阵列区、丰荣区域光伏阵列区、兴盛达区域光伏阵列区。</w:t>
      </w:r>
      <w:r>
        <w:rPr>
          <w:rFonts w:hint="eastAsia" w:ascii="仿宋" w:hAnsi="仿宋" w:eastAsia="仿宋" w:cs="仿宋"/>
          <w:bCs/>
          <w:color w:val="auto"/>
          <w:spacing w:val="10"/>
          <w:szCs w:val="32"/>
          <w:highlight w:val="none"/>
        </w:rPr>
        <w:t>本次评价不包括升压站和输变电线路工程电磁辐射影响分析，升压站和输变电线路工程电磁辐射部分须单独进行环境影响评价。</w:t>
      </w:r>
      <w:r>
        <w:rPr>
          <w:rFonts w:hint="eastAsia" w:ascii="仿宋" w:hAnsi="仿宋" w:eastAsia="仿宋" w:cs="仿宋"/>
          <w:color w:val="auto"/>
          <w:szCs w:val="32"/>
          <w:highlight w:val="none"/>
        </w:rPr>
        <w:t>项目总投资101035.4万元，其中环保投资为</w:t>
      </w:r>
      <w:bookmarkStart w:id="0" w:name="_GoBack"/>
      <w:r>
        <w:rPr>
          <w:rFonts w:hint="eastAsia" w:ascii="仿宋" w:hAnsi="仿宋" w:eastAsia="仿宋" w:cs="仿宋"/>
          <w:color w:val="auto"/>
          <w:szCs w:val="32"/>
          <w:highlight w:val="none"/>
        </w:rPr>
        <w:t>476</w:t>
      </w:r>
      <w:bookmarkEnd w:id="0"/>
      <w:r>
        <w:rPr>
          <w:rFonts w:hint="eastAsia" w:ascii="仿宋" w:hAnsi="仿宋" w:eastAsia="仿宋" w:cs="仿宋"/>
          <w:color w:val="auto"/>
          <w:szCs w:val="32"/>
          <w:highlight w:val="none"/>
        </w:rPr>
        <w:t>万元。</w:t>
      </w:r>
    </w:p>
    <w:p>
      <w:pPr>
        <w:adjustRightInd w:val="0"/>
        <w:snapToGrid w:val="0"/>
        <w:spacing w:line="560" w:lineRule="exact"/>
        <w:ind w:firstLine="680"/>
        <w:rPr>
          <w:rFonts w:ascii="仿宋" w:hAnsi="仿宋" w:eastAsia="仿宋" w:cs="仿宋"/>
          <w:bCs/>
          <w:color w:val="auto"/>
          <w:spacing w:val="10"/>
          <w:szCs w:val="32"/>
          <w:highlight w:val="none"/>
        </w:rPr>
      </w:pPr>
      <w:r>
        <w:rPr>
          <w:rFonts w:hint="eastAsia" w:ascii="仿宋" w:hAnsi="仿宋" w:eastAsia="仿宋" w:cs="仿宋"/>
          <w:bCs/>
          <w:color w:val="auto"/>
          <w:spacing w:val="10"/>
          <w:szCs w:val="32"/>
          <w:highlight w:val="none"/>
        </w:rPr>
        <w:t>《报告表》认为，在全面落实各项生态环境保护和环境污染防治措施的前提下，项目建设对环境的不利影响能够得到一定的缓解和控制。因此，我局原则同意你公司按照《报告表》中所列的建设项目性质、规模、地点、环境保护措施进行建设。</w:t>
      </w:r>
    </w:p>
    <w:p>
      <w:pPr>
        <w:adjustRightInd w:val="0"/>
        <w:snapToGrid w:val="0"/>
        <w:spacing w:line="560" w:lineRule="exact"/>
        <w:ind w:firstLine="680"/>
        <w:rPr>
          <w:rFonts w:ascii="仿宋" w:hAnsi="仿宋" w:eastAsia="仿宋" w:cs="仿宋"/>
          <w:bCs/>
          <w:color w:val="auto"/>
          <w:spacing w:val="10"/>
          <w:szCs w:val="32"/>
          <w:highlight w:val="none"/>
        </w:rPr>
      </w:pPr>
      <w:r>
        <w:rPr>
          <w:rFonts w:hint="eastAsia" w:ascii="仿宋" w:hAnsi="仿宋" w:eastAsia="仿宋" w:cs="仿宋"/>
          <w:bCs/>
          <w:color w:val="auto"/>
          <w:spacing w:val="10"/>
          <w:szCs w:val="32"/>
          <w:highlight w:val="none"/>
        </w:rPr>
        <w:t>二、项目建设与运行管理中应重点做好的工作：</w:t>
      </w:r>
    </w:p>
    <w:p>
      <w:pPr>
        <w:adjustRightInd w:val="0"/>
        <w:snapToGrid w:val="0"/>
        <w:spacing w:line="560" w:lineRule="exact"/>
        <w:ind w:firstLine="680"/>
        <w:rPr>
          <w:rFonts w:ascii="仿宋" w:hAnsi="仿宋" w:eastAsia="仿宋" w:cs="仿宋"/>
          <w:bCs/>
          <w:color w:val="auto"/>
          <w:spacing w:val="10"/>
          <w:szCs w:val="32"/>
          <w:highlight w:val="none"/>
        </w:rPr>
      </w:pPr>
      <w:r>
        <w:rPr>
          <w:rFonts w:hint="eastAsia" w:ascii="仿宋" w:hAnsi="仿宋" w:eastAsia="仿宋" w:cs="仿宋"/>
          <w:bCs/>
          <w:color w:val="auto"/>
          <w:spacing w:val="10"/>
          <w:szCs w:val="32"/>
          <w:highlight w:val="none"/>
        </w:rPr>
        <w:t>1.应加强施工期环境管理，土石方开挖及其它设备安装过程中应严格按照设计要求施工，尽可能缩小施工活动范围，并及时采取场地洒水等措施，减少裸露土地面积和扬尘；运输车辆应加盖苫布；施工结束后须尽快对临时占地和周边进行生态植被恢复，防止水土流失；施工期产生的废水和固体废弃物须集中收集统一处理。</w:t>
      </w:r>
    </w:p>
    <w:p>
      <w:pPr>
        <w:spacing w:line="560" w:lineRule="exact"/>
        <w:ind w:firstLine="680"/>
        <w:rPr>
          <w:rFonts w:ascii="仿宋" w:hAnsi="仿宋" w:eastAsia="仿宋" w:cs="仿宋"/>
          <w:color w:val="auto"/>
          <w:szCs w:val="32"/>
          <w:highlight w:val="none"/>
        </w:rPr>
      </w:pPr>
      <w:r>
        <w:rPr>
          <w:rFonts w:hint="eastAsia" w:ascii="仿宋" w:hAnsi="仿宋" w:eastAsia="仿宋" w:cs="仿宋"/>
          <w:bCs/>
          <w:color w:val="auto"/>
          <w:spacing w:val="10"/>
          <w:szCs w:val="32"/>
          <w:highlight w:val="none"/>
        </w:rPr>
        <w:t>2.本项目</w:t>
      </w:r>
      <w:r>
        <w:rPr>
          <w:rFonts w:hint="eastAsia" w:ascii="仿宋" w:hAnsi="仿宋" w:eastAsia="仿宋" w:cs="仿宋"/>
          <w:color w:val="auto"/>
          <w:szCs w:val="32"/>
          <w:highlight w:val="none"/>
        </w:rPr>
        <w:t>光伏板不需要清洗，不产生冲洗废水。应采取妥善控制措施，确保厂界噪声满足《工业企业厂界环境噪声排放标准》（GB12348-2008）2类标准要求。</w:t>
      </w:r>
    </w:p>
    <w:p>
      <w:pPr>
        <w:adjustRightInd w:val="0"/>
        <w:snapToGrid w:val="0"/>
        <w:spacing w:line="560" w:lineRule="exact"/>
        <w:ind w:firstLine="640"/>
        <w:rPr>
          <w:rFonts w:ascii="仿宋" w:hAnsi="仿宋" w:eastAsia="仿宋" w:cs="仿宋"/>
          <w:color w:val="auto"/>
          <w:szCs w:val="32"/>
          <w:highlight w:val="none"/>
        </w:rPr>
      </w:pPr>
      <w:r>
        <w:rPr>
          <w:rFonts w:hint="eastAsia" w:ascii="仿宋" w:hAnsi="仿宋" w:eastAsia="仿宋" w:cs="仿宋"/>
          <w:color w:val="auto"/>
          <w:szCs w:val="32"/>
          <w:highlight w:val="none"/>
        </w:rPr>
        <w:t>3.根据《报告表》提出的固废污染防治措施，做好固体废物处置工作。建设单位须严格按照《一般工业固体废物贮存和填埋污染控制标准》（GBl8599-2020）要求对一般固废进行处置，</w:t>
      </w:r>
      <w:r>
        <w:rPr>
          <w:rFonts w:hint="eastAsia" w:ascii="仿宋_GB2312" w:hAnsi="仿宋_GB2312" w:cs="仿宋_GB2312"/>
          <w:color w:val="auto"/>
          <w:szCs w:val="32"/>
          <w:highlight w:val="none"/>
        </w:rPr>
        <w:t>废光伏板暂存于国电内蒙古东胜热电厂废品库内，直接由厂家回收，</w:t>
      </w:r>
      <w:r>
        <w:rPr>
          <w:rFonts w:hint="eastAsia" w:ascii="仿宋" w:hAnsi="仿宋" w:eastAsia="仿宋" w:cs="仿宋"/>
          <w:color w:val="auto"/>
          <w:szCs w:val="32"/>
          <w:highlight w:val="none"/>
        </w:rPr>
        <w:t>以上各类固废均不得乱弃。</w:t>
      </w:r>
    </w:p>
    <w:p>
      <w:pPr>
        <w:spacing w:line="560" w:lineRule="exact"/>
        <w:ind w:firstLine="640"/>
        <w:rPr>
          <w:rFonts w:ascii="仿宋" w:hAnsi="仿宋" w:eastAsia="仿宋" w:cs="仿宋"/>
          <w:color w:val="auto"/>
          <w:szCs w:val="32"/>
          <w:highlight w:val="none"/>
        </w:rPr>
      </w:pPr>
      <w:r>
        <w:rPr>
          <w:rFonts w:hint="eastAsia" w:ascii="仿宋" w:hAnsi="仿宋" w:eastAsia="仿宋" w:cs="仿宋"/>
          <w:color w:val="auto"/>
          <w:szCs w:val="32"/>
          <w:highlight w:val="none"/>
        </w:rPr>
        <w:t>4.按照《报告表》提出的要求，做好临时占地及永久占地的植被恢复工作，并制定详细的植被恢复计划。服务期满设备拆除后，对光伏区进行植被恢复。</w:t>
      </w:r>
    </w:p>
    <w:p>
      <w:pPr>
        <w:spacing w:line="560" w:lineRule="exact"/>
        <w:ind w:firstLine="640"/>
        <w:rPr>
          <w:rFonts w:ascii="仿宋" w:hAnsi="仿宋" w:eastAsia="仿宋" w:cs="仿宋"/>
          <w:color w:val="auto"/>
          <w:szCs w:val="32"/>
          <w:highlight w:val="none"/>
        </w:rPr>
      </w:pPr>
      <w:r>
        <w:rPr>
          <w:rFonts w:hint="eastAsia" w:ascii="仿宋" w:hAnsi="仿宋" w:eastAsia="仿宋" w:cs="仿宋"/>
          <w:color w:val="auto"/>
          <w:szCs w:val="32"/>
          <w:highlight w:val="none"/>
        </w:rPr>
        <w:t>5.本项目应符合相关规划，并取得主管部门同意后方可开工建设。</w:t>
      </w:r>
    </w:p>
    <w:p>
      <w:pPr>
        <w:adjustRightInd w:val="0"/>
        <w:snapToGrid w:val="0"/>
        <w:spacing w:line="560" w:lineRule="exact"/>
        <w:ind w:firstLine="640"/>
        <w:rPr>
          <w:rFonts w:ascii="仿宋" w:hAnsi="仿宋" w:eastAsia="仿宋" w:cs="仿宋"/>
          <w:color w:val="auto"/>
          <w:szCs w:val="32"/>
          <w:highlight w:val="none"/>
        </w:rPr>
      </w:pPr>
      <w:r>
        <w:rPr>
          <w:rFonts w:hint="eastAsia" w:ascii="仿宋" w:hAnsi="仿宋" w:eastAsia="仿宋" w:cs="仿宋"/>
          <w:color w:val="auto"/>
          <w:szCs w:val="32"/>
          <w:highlight w:val="none"/>
        </w:rPr>
        <w:t>三、项目建设须严格执行环境保护“三同时”制度。项目竣工后，须按照规定程序实施竣工环境保护验收。</w:t>
      </w:r>
    </w:p>
    <w:p>
      <w:pPr>
        <w:adjustRightInd w:val="0"/>
        <w:snapToGrid w:val="0"/>
        <w:spacing w:line="560" w:lineRule="exact"/>
        <w:ind w:firstLine="640"/>
        <w:rPr>
          <w:rFonts w:ascii="仿宋" w:hAnsi="仿宋" w:eastAsia="仿宋" w:cs="仿宋"/>
          <w:color w:val="auto"/>
          <w:szCs w:val="32"/>
          <w:highlight w:val="none"/>
        </w:rPr>
      </w:pPr>
      <w:r>
        <w:rPr>
          <w:rFonts w:hint="eastAsia" w:ascii="仿宋" w:hAnsi="仿宋" w:eastAsia="仿宋" w:cs="仿宋"/>
          <w:color w:val="auto"/>
          <w:szCs w:val="32"/>
          <w:highlight w:val="none"/>
        </w:rPr>
        <w:t>四、你公司应在收到本批复20日内，将《报告表》（报批版）及批复文件送至鄂尔多斯市生态环境局东胜区分局，我局委托鄂尔多斯市生态环境局东胜区分局负责该项目的日常监管工作。</w:t>
      </w:r>
    </w:p>
    <w:p>
      <w:pPr>
        <w:adjustRightInd w:val="0"/>
        <w:snapToGrid w:val="0"/>
        <w:spacing w:line="560" w:lineRule="exact"/>
        <w:ind w:firstLine="640"/>
        <w:rPr>
          <w:rFonts w:hint="eastAsia" w:ascii="仿宋" w:hAnsi="仿宋" w:eastAsia="仿宋" w:cs="仿宋"/>
          <w:color w:val="auto"/>
          <w:szCs w:val="32"/>
          <w:highlight w:val="none"/>
        </w:rPr>
      </w:pPr>
      <w:r>
        <w:rPr>
          <w:rFonts w:hint="eastAsia" w:ascii="仿宋" w:hAnsi="仿宋" w:eastAsia="仿宋" w:cs="仿宋"/>
          <w:color w:val="auto"/>
          <w:szCs w:val="32"/>
          <w:highlight w:val="none"/>
        </w:rPr>
        <w:t>五、该项目从批准之日起超过5年，方决定开工建设，其环评文件应重新审核。如果项目建设地点、规模和防治污染的措施等发生重大变化时，需重新报批环评文件。</w:t>
      </w:r>
    </w:p>
    <w:p>
      <w:pPr>
        <w:pStyle w:val="2"/>
        <w:rPr>
          <w:rFonts w:hint="eastAsia" w:ascii="仿宋" w:hAnsi="仿宋" w:eastAsia="仿宋" w:cs="仿宋"/>
          <w:color w:val="auto"/>
          <w:szCs w:val="32"/>
          <w:highlight w:val="none"/>
        </w:rPr>
      </w:pPr>
    </w:p>
    <w:p>
      <w:pPr>
        <w:pStyle w:val="2"/>
        <w:rPr>
          <w:rFonts w:hint="eastAsia" w:ascii="仿宋" w:hAnsi="仿宋" w:eastAsia="仿宋" w:cs="仿宋"/>
          <w:color w:val="auto"/>
          <w:szCs w:val="32"/>
          <w:highlight w:val="none"/>
        </w:rPr>
      </w:pPr>
    </w:p>
    <w:p>
      <w:pPr>
        <w:spacing w:line="520" w:lineRule="exact"/>
        <w:ind w:right="22" w:rightChars="7" w:firstLine="0" w:firstLineChars="0"/>
        <w:jc w:val="center"/>
        <w:rPr>
          <w:rFonts w:ascii="仿宋" w:hAnsi="仿宋" w:eastAsia="仿宋" w:cs="仿宋"/>
          <w:color w:val="auto"/>
          <w:szCs w:val="32"/>
          <w:highlight w:val="none"/>
        </w:rPr>
      </w:pPr>
      <w:r>
        <w:rPr>
          <w:rFonts w:hint="eastAsia" w:ascii="仿宋" w:hAnsi="仿宋" w:eastAsia="仿宋" w:cs="仿宋"/>
          <w:color w:val="auto"/>
          <w:szCs w:val="32"/>
          <w:highlight w:val="none"/>
        </w:rPr>
        <w:t xml:space="preserve">                         鄂尔多斯市生态环境局</w:t>
      </w:r>
    </w:p>
    <w:p>
      <w:pPr>
        <w:spacing w:line="520" w:lineRule="exact"/>
        <w:ind w:right="22" w:rightChars="7" w:firstLine="0" w:firstLineChars="0"/>
        <w:jc w:val="center"/>
        <w:rPr>
          <w:rFonts w:ascii="仿宋" w:hAnsi="仿宋" w:eastAsia="仿宋" w:cs="仿宋"/>
          <w:color w:val="auto"/>
          <w:szCs w:val="32"/>
          <w:highlight w:val="none"/>
        </w:rPr>
      </w:pPr>
      <w:r>
        <w:rPr>
          <w:rFonts w:hint="eastAsia" w:ascii="仿宋" w:hAnsi="仿宋" w:eastAsia="仿宋" w:cs="仿宋"/>
          <w:color w:val="auto"/>
          <w:szCs w:val="32"/>
          <w:highlight w:val="none"/>
        </w:rPr>
        <w:t xml:space="preserve">                        2023年3月9日</w:t>
      </w:r>
    </w:p>
    <w:p>
      <w:pPr>
        <w:pStyle w:val="3"/>
        <w:ind w:firstLine="0" w:firstLineChars="0"/>
        <w:rPr>
          <w:rFonts w:ascii="仿宋" w:hAnsi="仿宋" w:eastAsia="仿宋" w:cs="仿宋"/>
          <w:color w:val="auto"/>
          <w:szCs w:val="32"/>
          <w:highlight w:val="none"/>
        </w:rPr>
      </w:pPr>
    </w:p>
    <w:p>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ascii="仿宋" w:hAnsi="仿宋" w:eastAsia="仿宋" w:cs="仿宋"/>
          <w:color w:val="auto"/>
          <w:szCs w:val="32"/>
          <w:highlight w:val="none"/>
        </w:rPr>
      </w:pPr>
    </w:p>
    <w:p>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ascii="仿宋" w:hAnsi="仿宋" w:eastAsia="仿宋" w:cs="仿宋"/>
          <w:color w:val="auto"/>
          <w:szCs w:val="32"/>
          <w:highlight w:val="none"/>
        </w:rPr>
      </w:pPr>
    </w:p>
    <w:p>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ascii="仿宋" w:hAnsi="仿宋" w:eastAsia="仿宋" w:cs="仿宋"/>
          <w:color w:val="auto"/>
          <w:szCs w:val="32"/>
          <w:highlight w:val="none"/>
        </w:rPr>
      </w:pPr>
    </w:p>
    <w:p>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ascii="仿宋" w:hAnsi="仿宋" w:eastAsia="仿宋" w:cs="仿宋"/>
          <w:color w:val="auto"/>
          <w:szCs w:val="32"/>
          <w:highlight w:val="none"/>
        </w:rPr>
      </w:pPr>
    </w:p>
    <w:p>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ascii="仿宋" w:hAnsi="仿宋" w:eastAsia="仿宋" w:cs="仿宋"/>
          <w:color w:val="auto"/>
          <w:szCs w:val="32"/>
          <w:highlight w:val="none"/>
        </w:rPr>
      </w:pPr>
    </w:p>
    <w:p>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ascii="仿宋" w:hAnsi="仿宋" w:eastAsia="仿宋" w:cs="仿宋"/>
          <w:color w:val="auto"/>
          <w:szCs w:val="32"/>
          <w:highlight w:val="none"/>
        </w:rPr>
      </w:pPr>
    </w:p>
    <w:p>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ascii="仿宋" w:hAnsi="仿宋" w:eastAsia="仿宋" w:cs="仿宋"/>
          <w:color w:val="auto"/>
          <w:szCs w:val="32"/>
          <w:highlight w:val="none"/>
        </w:rPr>
      </w:pPr>
    </w:p>
    <w:p>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ascii="仿宋" w:hAnsi="仿宋" w:eastAsia="仿宋" w:cs="仿宋"/>
          <w:color w:val="auto"/>
          <w:szCs w:val="32"/>
          <w:highlight w:val="none"/>
        </w:rPr>
      </w:pPr>
    </w:p>
    <w:p>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ascii="仿宋" w:hAnsi="仿宋" w:eastAsia="仿宋" w:cs="仿宋"/>
          <w:color w:val="auto"/>
          <w:szCs w:val="32"/>
          <w:highlight w:val="none"/>
        </w:rPr>
      </w:pPr>
    </w:p>
    <w:p>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ascii="仿宋" w:hAnsi="仿宋" w:eastAsia="仿宋" w:cs="仿宋"/>
          <w:color w:val="auto"/>
          <w:szCs w:val="32"/>
          <w:highlight w:val="none"/>
        </w:rPr>
      </w:pPr>
    </w:p>
    <w:p>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ascii="仿宋" w:hAnsi="仿宋" w:eastAsia="仿宋" w:cs="仿宋"/>
          <w:color w:val="auto"/>
          <w:szCs w:val="32"/>
          <w:highlight w:val="none"/>
        </w:rPr>
      </w:pPr>
    </w:p>
    <w:p>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ascii="仿宋" w:hAnsi="仿宋" w:eastAsia="仿宋" w:cs="仿宋"/>
          <w:color w:val="auto"/>
          <w:szCs w:val="32"/>
          <w:highlight w:val="none"/>
        </w:rPr>
      </w:pPr>
    </w:p>
    <w:p>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ascii="仿宋" w:hAnsi="仿宋" w:eastAsia="仿宋" w:cs="仿宋"/>
          <w:color w:val="auto"/>
          <w:szCs w:val="32"/>
          <w:highlight w:val="none"/>
        </w:rPr>
      </w:pPr>
    </w:p>
    <w:p>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ascii="仿宋" w:hAnsi="仿宋" w:eastAsia="仿宋" w:cs="仿宋"/>
          <w:color w:val="auto"/>
          <w:szCs w:val="32"/>
          <w:highlight w:val="none"/>
        </w:rPr>
      </w:pP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pP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color w:val="auto"/>
          <w:highlight w:val="none"/>
        </w:rPr>
      </w:pPr>
    </w:p>
    <w:p>
      <w:pPr>
        <w:pStyle w:val="2"/>
        <w:keepNext w:val="0"/>
        <w:keepLines w:val="0"/>
        <w:pageBreakBefore w:val="0"/>
        <w:widowControl w:val="0"/>
        <w:kinsoku/>
        <w:wordWrap/>
        <w:overflowPunct/>
        <w:topLinePunct w:val="0"/>
        <w:autoSpaceDE/>
        <w:autoSpaceDN/>
        <w:bidi w:val="0"/>
        <w:adjustRightInd/>
        <w:snapToGrid/>
        <w:spacing w:line="600" w:lineRule="exact"/>
        <w:ind w:firstLine="480"/>
        <w:textAlignment w:val="auto"/>
        <w:rPr>
          <w:color w:val="auto"/>
          <w:highlight w:val="none"/>
        </w:rPr>
      </w:pP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color w:val="auto"/>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960" w:hanging="960" w:hangingChars="300"/>
        <w:textAlignment w:val="auto"/>
        <w:rPr>
          <w:rFonts w:ascii="仿宋" w:hAnsi="仿宋" w:eastAsia="仿宋" w:cs="仿宋"/>
          <w:color w:val="auto"/>
          <w:sz w:val="28"/>
          <w:szCs w:val="28"/>
          <w:highlight w:val="none"/>
        </w:rPr>
      </w:pPr>
      <w:r>
        <w:rPr>
          <w:rFonts w:hint="eastAsia" w:ascii="仿宋" w:hAnsi="仿宋" w:eastAsia="仿宋" w:cs="仿宋"/>
          <w:color w:val="auto"/>
          <w:szCs w:val="32"/>
          <w:highlight w:val="none"/>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5080</wp:posOffset>
                </wp:positionV>
                <wp:extent cx="5687695"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0.4pt;height:0pt;width:447.85pt;z-index:251659264;mso-width-relative:page;mso-height-relative:page;" filled="f" stroked="t" coordsize="21600,21600" o:gfxdata="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p6XMs0QAA&#10;AAIBAAAPAAAAAAAAAAEAIAAAACIAAABkcnMvZG93bnJldi54bWxQSwECFAAUAAAACACHTuJADsQM&#10;aOwBAADYAwAADgAAAAAAAAABACAAAAAgAQAAZHJzL2Uyb0RvYy54bWxQSwUGAAAAAAYABgBZAQAA&#10;fgUAAAAA&#10;">
                <v:fill on="f" focussize="0,0"/>
                <v:stroke color="#000000" joinstyle="round"/>
                <v:imagedata o:title=""/>
                <o:lock v:ext="edit" aspectratio="f"/>
              </v:line>
            </w:pict>
          </mc:Fallback>
        </mc:AlternateContent>
      </w:r>
      <w:r>
        <w:rPr>
          <w:rFonts w:hint="eastAsia" w:ascii="仿宋" w:hAnsi="仿宋" w:eastAsia="仿宋" w:cs="仿宋"/>
          <w:color w:val="auto"/>
          <w:szCs w:val="32"/>
          <w:highlight w:val="none"/>
        </w:rPr>
        <w:t xml:space="preserve"> </w:t>
      </w:r>
      <w:r>
        <w:rPr>
          <w:rFonts w:hint="eastAsia" w:ascii="仿宋" w:hAnsi="仿宋" w:eastAsia="仿宋" w:cs="仿宋"/>
          <w:color w:val="auto"/>
          <w:sz w:val="28"/>
          <w:szCs w:val="28"/>
          <w:highlight w:val="none"/>
        </w:rPr>
        <w:t>抄送：鄂尔多斯市生态环境局东胜区分局，市生态环境综合行政执法支队，内蒙古绿之垠环保科技发展有限公司，</w:t>
      </w:r>
      <w:r>
        <w:rPr>
          <w:rFonts w:ascii="Times New Roman" w:hAnsi="Times New Roman" w:eastAsia="仿宋"/>
          <w:color w:val="auto"/>
          <w:sz w:val="28"/>
          <w:szCs w:val="28"/>
          <w:highlight w:val="none"/>
        </w:rPr>
        <w:t>市生态环境局综合保障中心</w:t>
      </w:r>
      <w:r>
        <w:rPr>
          <w:rFonts w:hint="eastAsia" w:ascii="Times New Roman" w:hAnsi="Times New Roman" w:eastAsia="仿宋"/>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373380</wp:posOffset>
                </wp:positionV>
                <wp:extent cx="5687695"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65pt;margin-top:29.4pt;height:0pt;width:447.85pt;z-index:251661312;mso-width-relative:page;mso-height-relative:page;" filled="f" stroked="t" coordsize="21600,21600" o:gfxdata="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MwD7&#10;dNQAAAAHAQAADwAAAAAAAAABACAAAAAiAAAAZHJzL2Rvd25yZXYueG1sUEsBAhQAFAAAAAgAh07i&#10;QPNCdIrtAQAA2AMAAA4AAAAAAAAAAQAgAAAAIwEAAGRycy9lMm9Eb2MueG1sUEsFBgAAAAAGAAYA&#10;WQEAAIIFAAAAAA==&#10;">
                <v:fill on="f" focussize="0,0"/>
                <v:stroke color="#000000" joinstyle="round"/>
                <v:imagedata o:title=""/>
                <o:lock v:ext="edit" aspectratio="f"/>
              </v:line>
            </w:pict>
          </mc:Fallback>
        </mc:AlternateContent>
      </w:r>
      <w:r>
        <w:rPr>
          <w:rFonts w:hint="eastAsia" w:ascii="仿宋" w:hAnsi="仿宋" w:eastAsia="仿宋" w:cs="仿宋"/>
          <w:color w:val="auto"/>
          <w:sz w:val="28"/>
          <w:szCs w:val="28"/>
          <w:highlight w:val="none"/>
        </w:rPr>
        <w:t xml:space="preserve"> 鄂尔多斯市生态环境局                      2023年3月9日印发</w:t>
      </w:r>
      <w:r>
        <w:rPr>
          <w:rFonts w:hint="eastAsia" w:ascii="仿宋" w:hAnsi="仿宋" w:eastAsia="仿宋" w:cs="仿宋"/>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7620</wp:posOffset>
                </wp:positionV>
                <wp:extent cx="5687695"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0.6pt;height:0pt;width:447.85pt;z-index:251660288;mso-width-relative:page;mso-height-relative:page;" filled="f" stroked="t" coordsize="21600,21600" o:gfxdata="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C/bdn7S&#10;AAAABAEAAA8AAAAAAAAAAQAgAAAAIgAAAGRycy9kb3ducmV2LnhtbFBLAQIUABQAAAAIAIdO4kD7&#10;eaCq7QEAANgDAAAOAAAAAAAAAAEAIAAAACEBAABkcnMvZTJvRG9jLnhtbFBLBQYAAAAABgAGAFkB&#10;AACABQAAAAA=&#10;">
                <v:fill on="f" focussize="0,0"/>
                <v:stroke color="#000000" joinstyle="round"/>
                <v:imagedata o:title=""/>
                <o:lock v:ext="edit" aspectratio="f"/>
              </v:line>
            </w:pict>
          </mc:Fallback>
        </mc:AlternateConten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134" w:left="1588" w:header="851" w:footer="737" w:gutter="0"/>
      <w:pgNumType w:fmt="numberInDash"/>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lear" w:pos="4153"/>
        <w:tab w:val="clear" w:pos="8306"/>
      </w:tabs>
      <w:ind w:right="333" w:rightChars="104" w:firstLine="560"/>
      <w:jc w:val="right"/>
      <w:rPr>
        <w:rFonts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3 -</w:t>
    </w:r>
    <w:r>
      <w:rPr>
        <w:rFonts w:hint="eastAsia" w:ascii="宋体" w:eastAsia="宋体"/>
        <w:sz w:val="28"/>
        <w:szCs w:val="28"/>
      </w:rPr>
      <w:fldChar w:fldCharType="end"/>
    </w:r>
  </w:p>
  <w:p>
    <w:pPr>
      <w:pStyle w:val="7"/>
      <w:tabs>
        <w:tab w:val="clear" w:pos="4153"/>
        <w:tab w:val="clear" w:pos="8306"/>
      </w:tabs>
      <w:ind w:firstLine="560"/>
      <w:rPr>
        <w:rFonts w:ascii="宋体" w:eastAsia="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lear" w:pos="4153"/>
        <w:tab w:val="clear" w:pos="8306"/>
      </w:tabs>
      <w:ind w:firstLine="560"/>
      <w:rPr>
        <w:rFonts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4 -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lear" w:pos="4153"/>
        <w:tab w:val="clear" w:pos="8306"/>
      </w:tabs>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tabs>
        <w:tab w:val="left" w:pos="4200"/>
        <w:tab w:val="left" w:pos="4620"/>
        <w:tab w:val="left" w:pos="5040"/>
        <w:tab w:val="left" w:pos="5520"/>
        <w:tab w:val="clear" w:pos="4153"/>
        <w:tab w:val="clear" w:pos="8306"/>
      </w:tabs>
      <w:ind w:firstLine="360"/>
      <w:jc w:val="left"/>
    </w:pPr>
    <w:r>
      <w:tab/>
    </w:r>
    <w:r>
      <w:tab/>
    </w:r>
    <w:r>
      <w:tab/>
    </w: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5ZjkyNWM5NDA5YzI0MWZjNTA3MDA1ZjJiYmIxN2UifQ=="/>
  </w:docVars>
  <w:rsids>
    <w:rsidRoot w:val="6D997F63"/>
    <w:rsid w:val="001E6505"/>
    <w:rsid w:val="001F4380"/>
    <w:rsid w:val="002F068A"/>
    <w:rsid w:val="00D30B23"/>
    <w:rsid w:val="00E178AA"/>
    <w:rsid w:val="00FF1FB5"/>
    <w:rsid w:val="0EFC21E2"/>
    <w:rsid w:val="10447ADC"/>
    <w:rsid w:val="211F5986"/>
    <w:rsid w:val="2545404C"/>
    <w:rsid w:val="3EF55A14"/>
    <w:rsid w:val="42C61437"/>
    <w:rsid w:val="482C1060"/>
    <w:rsid w:val="50160829"/>
    <w:rsid w:val="5C195165"/>
    <w:rsid w:val="6D997F63"/>
    <w:rsid w:val="78B061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Calibri" w:hAnsi="Calibri" w:eastAsia="仿宋_GB2312" w:cs="Times New Roman"/>
      <w:kern w:val="2"/>
      <w:sz w:val="32"/>
      <w:szCs w:val="24"/>
      <w:lang w:val="en-US" w:eastAsia="zh-CN" w:bidi="ar-SA"/>
    </w:rPr>
  </w:style>
  <w:style w:type="paragraph" w:styleId="6">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spacing w:line="360" w:lineRule="auto"/>
    </w:pPr>
    <w:rPr>
      <w:rFonts w:cs="宋体"/>
      <w:sz w:val="24"/>
    </w:rPr>
  </w:style>
  <w:style w:type="paragraph" w:styleId="3">
    <w:name w:val="Normal Indent"/>
    <w:basedOn w:val="1"/>
    <w:next w:val="4"/>
    <w:uiPriority w:val="0"/>
  </w:style>
  <w:style w:type="paragraph" w:styleId="4">
    <w:name w:val="Body Text First Indent 2"/>
    <w:basedOn w:val="5"/>
    <w:next w:val="1"/>
    <w:qFormat/>
    <w:uiPriority w:val="0"/>
    <w:pPr>
      <w:widowControl/>
      <w:ind w:firstLine="420"/>
    </w:pPr>
  </w:style>
  <w:style w:type="paragraph" w:styleId="5">
    <w:name w:val="Body Text Indent"/>
    <w:basedOn w:val="1"/>
    <w:next w:val="1"/>
    <w:semiHidden/>
    <w:qFormat/>
    <w:uiPriority w:val="0"/>
    <w:pPr>
      <w:spacing w:after="120"/>
      <w:ind w:left="420" w:leftChars="200"/>
    </w:p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next w:val="9"/>
    <w:qFormat/>
    <w:uiPriority w:val="0"/>
    <w:pPr>
      <w:pBdr>
        <w:bottom w:val="single" w:color="auto" w:sz="6" w:space="1"/>
      </w:pBdr>
      <w:tabs>
        <w:tab w:val="center" w:pos="4153"/>
        <w:tab w:val="right" w:pos="8306"/>
      </w:tabs>
      <w:snapToGrid w:val="0"/>
      <w:jc w:val="center"/>
    </w:pPr>
    <w:rPr>
      <w:sz w:val="18"/>
      <w:szCs w:val="18"/>
    </w:rPr>
  </w:style>
  <w:style w:type="paragraph" w:customStyle="1" w:styleId="9">
    <w:name w:val="样式5"/>
    <w:basedOn w:val="10"/>
    <w:qFormat/>
    <w:uiPriority w:val="0"/>
    <w:pPr>
      <w:snapToGrid w:val="0"/>
      <w:spacing w:after="62" w:afterLines="20" w:line="360" w:lineRule="auto"/>
      <w:ind w:firstLine="510" w:firstLineChars="0"/>
      <w:jc w:val="center"/>
    </w:pPr>
    <w:rPr>
      <w:sz w:val="24"/>
    </w:rPr>
  </w:style>
  <w:style w:type="paragraph" w:customStyle="1" w:styleId="10">
    <w:name w:val="正文1"/>
    <w:basedOn w:val="1"/>
    <w:next w:val="1"/>
    <w:qFormat/>
    <w:uiPriority w:val="0"/>
    <w:pPr>
      <w:ind w:firstLine="420"/>
    </w:pPr>
    <w:rPr>
      <w:rFonts w:ascii="仿宋_GB2312" w:hAnsi="仿宋_GB2312" w:cs="宋体"/>
      <w:szCs w:val="20"/>
    </w:rPr>
  </w:style>
  <w:style w:type="paragraph" w:customStyle="1" w:styleId="13">
    <w:name w:val="[1]正文"/>
    <w:basedOn w:val="1"/>
    <w:qFormat/>
    <w:uiPriority w:val="0"/>
    <w:pPr>
      <w:autoSpaceDE w:val="0"/>
      <w:autoSpaceDN w:val="0"/>
    </w:pPr>
    <w:rPr>
      <w:rFonts w:ascii="Times New Roman" w:hAnsi="Times New Roman"/>
      <w:color w:val="000000"/>
      <w:kern w:val="0"/>
      <w:lang w:val="zh-CN"/>
    </w:rPr>
  </w:style>
  <w:style w:type="paragraph" w:customStyle="1" w:styleId="14">
    <w:name w:val="111111正文"/>
    <w:basedOn w:val="1"/>
    <w:qFormat/>
    <w:uiPriority w:val="0"/>
    <w:pPr>
      <w:spacing w:line="360" w:lineRule="auto"/>
    </w:pPr>
    <w:rPr>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1266</Words>
  <Characters>1328</Characters>
  <Lines>10</Lines>
  <Paragraphs>2</Paragraphs>
  <TotalTime>11</TotalTime>
  <ScaleCrop>false</ScaleCrop>
  <LinksUpToDate>false</LinksUpToDate>
  <CharactersWithSpaces>1401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2023-03-15T01:54:00Z</dcterms:created>
  <dc:creator>Administrator</dc:creator>
  <cp:lastModifiedBy>Administrator</cp:lastModifiedBy>
  <cp:lastPrinted>2022-04-07T07:12:00Z</cp:lastPrinted>
  <dcterms:modified xsi:type="dcterms:W3CDTF">2023-04-17T07:50:50Z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34A55FCC5E734AE78BC91653A7429245_13</vt:lpwstr>
  </property>
</Properties>
</file>