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60" w:lineRule="exact"/>
        <w:ind w:right="26" w:firstLine="0" w:firstLineChars="0"/>
        <w:jc w:val="right"/>
        <w:rPr>
          <w:rFonts w:hint="eastAsia" w:eastAsia="仿宋"/>
        </w:rPr>
      </w:pPr>
    </w:p>
    <w:p>
      <w:pPr>
        <w:tabs>
          <w:tab w:val="left" w:pos="8280"/>
        </w:tabs>
        <w:spacing w:line="560" w:lineRule="exact"/>
        <w:ind w:right="26" w:firstLine="0" w:firstLineChars="0"/>
        <w:jc w:val="right"/>
        <w:rPr>
          <w:rFonts w:eastAsia="仿宋"/>
        </w:rPr>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pStyle w:val="4"/>
        <w:spacing w:line="560" w:lineRule="exact"/>
        <w:ind w:firstLine="0" w:firstLineChars="0"/>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tabs>
          <w:tab w:val="left" w:pos="8280"/>
        </w:tabs>
        <w:spacing w:line="560" w:lineRule="exact"/>
        <w:ind w:right="26" w:firstLine="0" w:firstLineChars="0"/>
        <w:jc w:val="center"/>
      </w:pPr>
    </w:p>
    <w:p>
      <w:pPr>
        <w:pStyle w:val="4"/>
        <w:spacing w:line="560" w:lineRule="exact"/>
        <w:ind w:firstLine="640"/>
      </w:pPr>
    </w:p>
    <w:p>
      <w:pPr>
        <w:tabs>
          <w:tab w:val="left" w:pos="8280"/>
        </w:tabs>
        <w:spacing w:line="560" w:lineRule="exact"/>
        <w:ind w:right="26" w:firstLine="0" w:firstLineChars="0"/>
        <w:jc w:val="center"/>
        <w:rPr>
          <w:highlight w:val="none"/>
        </w:rPr>
      </w:pPr>
    </w:p>
    <w:p>
      <w:pPr>
        <w:tabs>
          <w:tab w:val="left" w:pos="8280"/>
        </w:tabs>
        <w:spacing w:line="560" w:lineRule="exact"/>
        <w:ind w:right="26" w:firstLine="0" w:firstLineChars="0"/>
        <w:jc w:val="center"/>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24</w:t>
      </w:r>
      <w:r>
        <w:rPr>
          <w:highlight w:val="none"/>
        </w:rPr>
        <w:t>号</w:t>
      </w:r>
    </w:p>
    <w:p>
      <w:pPr>
        <w:pStyle w:val="2"/>
        <w:ind w:left="0" w:leftChars="0" w:firstLine="0" w:firstLineChars="0"/>
      </w:pPr>
    </w:p>
    <w:p>
      <w:pPr>
        <w:spacing w:line="560" w:lineRule="exact"/>
        <w:ind w:firstLine="0" w:firstLineChars="0"/>
        <w:jc w:val="center"/>
        <w:rPr>
          <w:rFonts w:ascii="Times New Roman" w:hAnsi="Times New Roman" w:eastAsia="宋体" w:cs="Times New Roman"/>
          <w:b/>
          <w:w w:val="95"/>
          <w:sz w:val="44"/>
          <w:szCs w:val="44"/>
        </w:rPr>
      </w:pPr>
      <w:r>
        <w:rPr>
          <w:rFonts w:eastAsia="宋体"/>
          <w:b/>
          <w:w w:val="95"/>
          <w:sz w:val="44"/>
          <w:szCs w:val="44"/>
        </w:rPr>
        <w:t>鄂尔多斯市生态环境局</w:t>
      </w:r>
      <w:r>
        <w:rPr>
          <w:rFonts w:ascii="Times New Roman" w:hAnsi="Times New Roman" w:eastAsia="宋体" w:cs="Times New Roman"/>
          <w:b/>
          <w:w w:val="95"/>
          <w:sz w:val="44"/>
          <w:szCs w:val="44"/>
        </w:rPr>
        <w:t>关于</w:t>
      </w:r>
    </w:p>
    <w:p>
      <w:pPr>
        <w:spacing w:line="560" w:lineRule="exact"/>
        <w:ind w:firstLine="0" w:firstLineChars="0"/>
        <w:jc w:val="center"/>
        <w:rPr>
          <w:rFonts w:hint="eastAsia" w:ascii="Times New Roman" w:hAnsi="Times New Roman" w:eastAsia="宋体" w:cs="Times New Roman"/>
          <w:b/>
          <w:w w:val="95"/>
          <w:sz w:val="44"/>
          <w:szCs w:val="44"/>
        </w:rPr>
      </w:pPr>
      <w:r>
        <w:rPr>
          <w:rFonts w:hint="default" w:ascii="Times New Roman" w:hAnsi="Times New Roman" w:eastAsia="宋体" w:cs="Times New Roman"/>
          <w:b/>
          <w:w w:val="95"/>
          <w:sz w:val="44"/>
          <w:szCs w:val="44"/>
        </w:rPr>
        <w:t>乌审旗同源能源有限责任公司溶解乙炔生产及氧气、氩气、二氧化碳气体充装项目</w:t>
      </w:r>
    </w:p>
    <w:p>
      <w:pPr>
        <w:spacing w:line="560" w:lineRule="exact"/>
        <w:ind w:firstLine="0" w:firstLineChars="0"/>
        <w:jc w:val="center"/>
        <w:rPr>
          <w:rFonts w:hint="eastAsia" w:eastAsia="宋体"/>
          <w:b/>
          <w:w w:val="95"/>
          <w:sz w:val="44"/>
          <w:szCs w:val="44"/>
        </w:rPr>
      </w:pPr>
      <w:r>
        <w:rPr>
          <w:rFonts w:hint="eastAsia" w:eastAsia="宋体"/>
          <w:b/>
          <w:w w:val="95"/>
          <w:sz w:val="44"/>
          <w:szCs w:val="44"/>
        </w:rPr>
        <w:t>环境影响报告书的批复</w:t>
      </w:r>
    </w:p>
    <w:p>
      <w:pPr>
        <w:spacing w:line="560" w:lineRule="exact"/>
        <w:ind w:firstLine="723"/>
        <w:jc w:val="center"/>
        <w:rPr>
          <w:rFonts w:eastAsia="仿宋"/>
          <w:b/>
          <w:sz w:val="36"/>
          <w:szCs w:val="36"/>
        </w:rPr>
      </w:pPr>
    </w:p>
    <w:p>
      <w:pPr>
        <w:adjustRightInd w:val="0"/>
        <w:snapToGrid w:val="0"/>
        <w:spacing w:line="560" w:lineRule="exact"/>
        <w:ind w:firstLine="0" w:firstLineChars="0"/>
        <w:rPr>
          <w:rFonts w:hint="eastAsia" w:ascii="仿宋_GB2312" w:hAnsi="仿宋_GB2312" w:cs="仿宋_GB2312"/>
          <w:color w:val="000000"/>
          <w:szCs w:val="32"/>
        </w:rPr>
      </w:pPr>
      <w:r>
        <w:rPr>
          <w:rFonts w:hint="default" w:ascii="仿宋_GB2312" w:hAnsi="仿宋_GB2312" w:cs="仿宋_GB2312"/>
          <w:color w:val="000000"/>
          <w:szCs w:val="32"/>
        </w:rPr>
        <w:t>乌审旗同源能源有限责任公司</w:t>
      </w:r>
      <w:r>
        <w:rPr>
          <w:rFonts w:hint="eastAsia" w:ascii="仿宋_GB2312" w:hAnsi="仿宋_GB2312" w:cs="仿宋_GB2312"/>
          <w:color w:val="000000"/>
          <w:szCs w:val="32"/>
        </w:rPr>
        <w:t>：</w:t>
      </w:r>
    </w:p>
    <w:p>
      <w:pPr>
        <w:keepNext w:val="0"/>
        <w:keepLines w:val="0"/>
        <w:pageBreakBefore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cs="仿宋_GB2312"/>
          <w:color w:val="000000"/>
          <w:szCs w:val="32"/>
        </w:rPr>
      </w:pPr>
      <w:r>
        <w:rPr>
          <w:rFonts w:hint="eastAsia" w:ascii="仿宋_GB2312" w:hAnsi="仿宋_GB2312" w:cs="仿宋_GB2312"/>
          <w:color w:val="000000"/>
          <w:szCs w:val="32"/>
        </w:rPr>
        <w:t>你公司报送的由</w:t>
      </w:r>
      <w:r>
        <w:rPr>
          <w:rFonts w:hint="default" w:ascii="Times New Roman" w:hAnsi="Times New Roman" w:eastAsia="仿宋_GB2312" w:cs="Times New Roman"/>
          <w:color w:val="auto"/>
          <w:sz w:val="32"/>
          <w:szCs w:val="32"/>
          <w:highlight w:val="none"/>
        </w:rPr>
        <w:t>内蒙古信中生态环境技术有限公司</w:t>
      </w:r>
      <w:r>
        <w:rPr>
          <w:rFonts w:hint="eastAsia" w:ascii="仿宋_GB2312" w:hAnsi="仿宋_GB2312" w:cs="仿宋_GB2312"/>
          <w:color w:val="000000"/>
          <w:szCs w:val="32"/>
        </w:rPr>
        <w:t>编制的《</w:t>
      </w:r>
      <w:r>
        <w:rPr>
          <w:rFonts w:hint="default" w:ascii="Times New Roman" w:hAnsi="Times New Roman" w:eastAsia="仿宋_GB2312" w:cs="Times New Roman"/>
          <w:color w:val="auto"/>
          <w:sz w:val="32"/>
          <w:szCs w:val="32"/>
          <w:highlight w:val="none"/>
        </w:rPr>
        <w:t>乌审旗同源能源有限责任公司溶解乙炔生产及氧气、氩气、二氧化碳气体充装项目</w:t>
      </w:r>
      <w:r>
        <w:rPr>
          <w:rFonts w:hint="eastAsia" w:eastAsia="仿宋_GB2312"/>
          <w:kern w:val="0"/>
          <w:sz w:val="32"/>
          <w:szCs w:val="32"/>
        </w:rPr>
        <w:t>环境影响报告书</w:t>
      </w:r>
      <w:r>
        <w:rPr>
          <w:rFonts w:hint="eastAsia" w:ascii="仿宋_GB2312" w:hAnsi="仿宋_GB2312" w:cs="仿宋_GB2312"/>
          <w:color w:val="000000"/>
          <w:szCs w:val="32"/>
        </w:rPr>
        <w:t>》（以下简称《报告书》）收悉，我局综合保障中心组织专家对该项目进行了技术评估，并形成了技术评估报告，根据《报告书》和《技术评估报告》，经研究，现批复如下：</w:t>
      </w:r>
    </w:p>
    <w:p>
      <w:pPr>
        <w:pStyle w:val="4"/>
        <w:keepNext w:val="0"/>
        <w:keepLines w:val="0"/>
        <w:pageBreakBefore w:val="0"/>
        <w:widowControl/>
        <w:kinsoku/>
        <w:wordWrap/>
        <w:overflowPunct/>
        <w:topLinePunct w:val="0"/>
        <w:autoSpaceDE/>
        <w:autoSpaceDN/>
        <w:bidi w:val="0"/>
        <w:spacing w:line="560" w:lineRule="exact"/>
        <w:ind w:firstLine="64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lang w:val="en-US" w:eastAsia="zh-CN" w:bidi="ar-SA"/>
        </w:rPr>
        <w:t>一、项目位于</w:t>
      </w:r>
      <w:r>
        <w:rPr>
          <w:rFonts w:hint="default" w:ascii="仿宋_GB2312" w:hAnsi="仿宋_GB2312" w:eastAsia="仿宋_GB2312" w:cs="仿宋_GB2312"/>
          <w:color w:val="000000"/>
          <w:kern w:val="2"/>
          <w:sz w:val="32"/>
          <w:szCs w:val="32"/>
          <w:lang w:val="zh-CN" w:eastAsia="zh-CN" w:bidi="ar-SA"/>
        </w:rPr>
        <w:t>鄂尔多斯市苏里格经济开发区乌审旗图克工业项目区</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zh-CN" w:eastAsia="zh-CN" w:bidi="ar-SA"/>
        </w:rPr>
        <w:t>年产溶解乙炔8万瓶、年充装氧气18万瓶、年充装氩气8万瓶、年充装二氧化碳8万瓶、年充装丙烷5万瓶。</w:t>
      </w:r>
      <w:r>
        <w:rPr>
          <w:rFonts w:hint="eastAsia" w:ascii="仿宋_GB2312" w:hAnsi="仿宋_GB2312" w:eastAsia="仿宋_GB2312" w:cs="仿宋_GB2312"/>
          <w:color w:val="000000"/>
          <w:kern w:val="2"/>
          <w:sz w:val="32"/>
          <w:szCs w:val="32"/>
          <w:lang w:val="en-US" w:eastAsia="zh-CN" w:bidi="ar-SA"/>
        </w:rPr>
        <w:t>主要建设内容包括乙炔车间、气体充装车间、乙炔产品间、罐区及其他公辅环保设施。</w:t>
      </w: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eastAsia="zh-CN"/>
        </w:rPr>
        <w:t>总投资</w:t>
      </w:r>
      <w:r>
        <w:rPr>
          <w:rFonts w:hint="eastAsia" w:ascii="仿宋_GB2312" w:hAnsi="仿宋_GB2312" w:cs="仿宋_GB2312"/>
          <w:color w:val="000000"/>
          <w:sz w:val="32"/>
          <w:szCs w:val="32"/>
          <w:lang w:val="en-US" w:eastAsia="zh-CN"/>
        </w:rPr>
        <w:t>1</w:t>
      </w:r>
      <w:r>
        <w:rPr>
          <w:rFonts w:hint="eastAsia" w:ascii="仿宋_GB2312" w:hAnsi="仿宋_GB2312" w:eastAsia="仿宋_GB2312" w:cs="仿宋_GB2312"/>
          <w:color w:val="000000"/>
          <w:sz w:val="32"/>
          <w:szCs w:val="32"/>
        </w:rPr>
        <w:t>000万元，其中环保投资</w:t>
      </w:r>
      <w:bookmarkStart w:id="0" w:name="_GoBack"/>
      <w:r>
        <w:rPr>
          <w:rFonts w:hint="eastAsia" w:ascii="仿宋_GB2312" w:hAnsi="仿宋_GB2312" w:cs="仿宋_GB2312"/>
          <w:color w:val="000000"/>
          <w:sz w:val="32"/>
          <w:szCs w:val="32"/>
          <w:lang w:val="en-US" w:eastAsia="zh-CN"/>
        </w:rPr>
        <w:t>94</w:t>
      </w:r>
      <w:bookmarkEnd w:id="0"/>
      <w:r>
        <w:rPr>
          <w:rFonts w:hint="eastAsia" w:ascii="仿宋_GB2312" w:hAnsi="仿宋_GB2312" w:eastAsia="仿宋_GB2312" w:cs="仿宋_GB2312"/>
          <w:color w:val="000000"/>
          <w:sz w:val="32"/>
          <w:szCs w:val="32"/>
        </w:rPr>
        <w:t>万元。</w:t>
      </w:r>
    </w:p>
    <w:p>
      <w:pPr>
        <w:keepNext w:val="0"/>
        <w:keepLines w:val="0"/>
        <w:pageBreakBefore w:val="0"/>
        <w:kinsoku/>
        <w:wordWrap/>
        <w:overflowPunct/>
        <w:topLinePunct w:val="0"/>
        <w:autoSpaceDE/>
        <w:autoSpaceDN/>
        <w:bidi w:val="0"/>
        <w:adjustRightInd w:val="0"/>
        <w:snapToGrid w:val="0"/>
        <w:spacing w:line="560" w:lineRule="exact"/>
        <w:ind w:firstLine="640"/>
        <w:textAlignment w:val="auto"/>
        <w:rPr>
          <w:rFonts w:hint="eastAsia" w:ascii="仿宋_GB2312" w:hAnsi="仿宋_GB2312" w:cs="仿宋_GB2312"/>
          <w:color w:val="000000"/>
          <w:szCs w:val="32"/>
        </w:rPr>
      </w:pPr>
      <w:r>
        <w:rPr>
          <w:rFonts w:hint="eastAsia" w:ascii="仿宋_GB2312" w:hAnsi="仿宋_GB2312" w:cs="仿宋_GB2312"/>
          <w:color w:val="000000"/>
          <w:szCs w:val="32"/>
        </w:rPr>
        <w:t>《报告书》和《技术评估报告》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adjustRightInd w:val="0"/>
        <w:snapToGrid w:val="0"/>
        <w:spacing w:line="560" w:lineRule="exact"/>
        <w:ind w:firstLine="640"/>
        <w:rPr>
          <w:rFonts w:ascii="仿宋_GB2312" w:hAnsi="仿宋_GB2312" w:cs="仿宋_GB2312"/>
          <w:color w:val="000000"/>
          <w:szCs w:val="32"/>
        </w:rPr>
      </w:pPr>
      <w:r>
        <w:rPr>
          <w:rFonts w:hint="eastAsia" w:ascii="仿宋_GB2312" w:hAnsi="仿宋_GB2312" w:cs="仿宋_GB2312"/>
          <w:color w:val="000000"/>
          <w:szCs w:val="32"/>
        </w:rPr>
        <w:t>二、项目建设与运行管理中应重点做好的工作：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cs="仿宋_GB2312"/>
          <w:color w:val="000000"/>
          <w:szCs w:val="32"/>
          <w:highlight w:val="none"/>
        </w:rPr>
      </w:pPr>
      <w:r>
        <w:rPr>
          <w:rFonts w:ascii="仿宋_GB2312" w:hAnsi="仿宋_GB2312" w:cs="仿宋_GB2312"/>
          <w:color w:val="000000"/>
          <w:szCs w:val="32"/>
        </w:rPr>
        <w:t>1.</w:t>
      </w:r>
      <w:r>
        <w:rPr>
          <w:rFonts w:hint="eastAsia" w:ascii="仿宋_GB2312" w:hAnsi="仿宋_GB2312" w:cs="仿宋_GB2312"/>
          <w:color w:val="000000"/>
          <w:szCs w:val="32"/>
        </w:rPr>
        <w:t>加强施工期环境管理。</w:t>
      </w:r>
      <w:r>
        <w:rPr>
          <w:rFonts w:hint="eastAsia" w:ascii="仿宋_GB2312" w:hAnsi="仿宋_GB2312" w:cs="仿宋_GB2312"/>
          <w:color w:val="000000"/>
          <w:szCs w:val="32"/>
          <w:lang w:eastAsia="zh-CN"/>
        </w:rPr>
        <w:t>通过</w:t>
      </w:r>
      <w:r>
        <w:rPr>
          <w:rFonts w:hint="default" w:ascii="Times New Roman" w:hAnsi="Times New Roman" w:eastAsia="仿宋_GB2312" w:cs="Times New Roman"/>
          <w:color w:val="auto"/>
          <w:sz w:val="32"/>
          <w:szCs w:val="32"/>
          <w:highlight w:val="none"/>
        </w:rPr>
        <w:t>在施工工地设置硬质围挡，并采取覆盖、分段作业、择时施工、洒水抑尘、冲洗地面和车辆等防尘降尘措施。</w:t>
      </w:r>
      <w:r>
        <w:rPr>
          <w:rFonts w:hint="eastAsia" w:ascii="仿宋_GB2312" w:hAnsi="仿宋_GB2312" w:eastAsia="仿宋_GB2312" w:cs="仿宋_GB2312"/>
          <w:sz w:val="32"/>
          <w:szCs w:val="32"/>
        </w:rPr>
        <w:t>施工</w:t>
      </w:r>
      <w:r>
        <w:rPr>
          <w:rFonts w:hint="eastAsia" w:ascii="仿宋_GB2312" w:hAnsi="仿宋_GB2312" w:cs="仿宋_GB2312"/>
          <w:sz w:val="32"/>
          <w:szCs w:val="32"/>
          <w:lang w:eastAsia="zh-CN"/>
        </w:rPr>
        <w:t>废水分类分质处理后回用</w:t>
      </w:r>
      <w:r>
        <w:rPr>
          <w:rFonts w:hint="eastAsia" w:ascii="仿宋_GB2312" w:hAnsi="仿宋_GB2312" w:cs="仿宋_GB2312"/>
          <w:color w:val="000000"/>
          <w:szCs w:val="32"/>
        </w:rPr>
        <w:t>。</w:t>
      </w:r>
      <w:r>
        <w:rPr>
          <w:rFonts w:hint="eastAsia" w:ascii="仿宋_GB2312" w:hAnsi="仿宋_GB2312" w:cs="仿宋_GB2312"/>
          <w:color w:val="000000"/>
          <w:szCs w:val="32"/>
          <w:lang w:eastAsia="zh-CN"/>
        </w:rPr>
        <w:t>通过</w:t>
      </w:r>
      <w:r>
        <w:rPr>
          <w:rFonts w:hint="eastAsia" w:ascii="仿宋_GB2312" w:hAnsi="仿宋_GB2312" w:cs="仿宋_GB2312"/>
          <w:color w:val="000000"/>
          <w:szCs w:val="32"/>
          <w:highlight w:val="none"/>
        </w:rPr>
        <w:t>加强施工管理，</w:t>
      </w:r>
      <w:r>
        <w:rPr>
          <w:rFonts w:hint="eastAsia" w:ascii="仿宋_GB2312" w:hAnsi="仿宋_GB2312" w:eastAsia="仿宋_GB2312" w:cs="仿宋_GB2312"/>
          <w:bCs/>
          <w:sz w:val="32"/>
          <w:szCs w:val="32"/>
          <w:highlight w:val="none"/>
        </w:rPr>
        <w:t>合理安排施工时间</w:t>
      </w:r>
      <w:r>
        <w:rPr>
          <w:rFonts w:hint="eastAsia" w:ascii="仿宋_GB2312" w:hAnsi="仿宋_GB2312" w:cs="仿宋_GB2312"/>
          <w:bCs/>
          <w:sz w:val="32"/>
          <w:szCs w:val="32"/>
          <w:highlight w:val="none"/>
          <w:lang w:eastAsia="zh-CN"/>
        </w:rPr>
        <w:t>，</w:t>
      </w:r>
      <w:r>
        <w:rPr>
          <w:rFonts w:hint="eastAsia" w:ascii="仿宋_GB2312" w:hAnsi="仿宋_GB2312" w:eastAsia="仿宋_GB2312" w:cs="仿宋_GB2312"/>
          <w:bCs/>
          <w:sz w:val="32"/>
          <w:szCs w:val="32"/>
          <w:highlight w:val="none"/>
        </w:rPr>
        <w:t>使用低噪声机械设备</w:t>
      </w:r>
      <w:r>
        <w:rPr>
          <w:rFonts w:hint="eastAsia" w:ascii="仿宋_GB2312" w:hAnsi="仿宋_GB2312" w:cs="仿宋_GB2312"/>
          <w:bCs/>
          <w:sz w:val="32"/>
          <w:szCs w:val="32"/>
          <w:highlight w:val="none"/>
          <w:lang w:eastAsia="zh-CN"/>
        </w:rPr>
        <w:t>等措施</w:t>
      </w:r>
      <w:r>
        <w:rPr>
          <w:rFonts w:hint="eastAsia" w:ascii="仿宋_GB2312" w:hAnsi="仿宋_GB2312" w:eastAsia="仿宋_GB2312" w:cs="仿宋_GB2312"/>
          <w:bCs/>
          <w:sz w:val="32"/>
          <w:szCs w:val="32"/>
          <w:highlight w:val="none"/>
        </w:rPr>
        <w:t>，</w:t>
      </w:r>
      <w:r>
        <w:rPr>
          <w:rFonts w:hint="eastAsia" w:ascii="仿宋_GB2312" w:hAnsi="仿宋_GB2312" w:cs="仿宋_GB2312"/>
          <w:bCs/>
          <w:sz w:val="32"/>
          <w:szCs w:val="32"/>
          <w:highlight w:val="none"/>
          <w:lang w:eastAsia="zh-CN"/>
        </w:rPr>
        <w:t>减小施工期噪声的影响</w:t>
      </w:r>
      <w:r>
        <w:rPr>
          <w:rFonts w:hint="eastAsia" w:ascii="仿宋_GB2312" w:hAnsi="仿宋_GB2312" w:cs="仿宋_GB2312"/>
          <w:color w:val="000000"/>
          <w:szCs w:val="32"/>
          <w:highlight w:val="none"/>
          <w:lang w:eastAsia="zh-CN"/>
        </w:rPr>
        <w:t>。</w:t>
      </w:r>
      <w:r>
        <w:rPr>
          <w:rFonts w:hint="eastAsia" w:ascii="仿宋_GB2312" w:eastAsia="仿宋_GB2312"/>
          <w:sz w:val="32"/>
        </w:rPr>
        <w:t>施工建筑垃圾和施工人员生</w:t>
      </w:r>
      <w:r>
        <w:rPr>
          <w:rFonts w:hint="eastAsia" w:ascii="仿宋_GB2312" w:hAnsi="仿宋_GB2312" w:cs="仿宋_GB2312"/>
          <w:color w:val="000000"/>
          <w:szCs w:val="32"/>
          <w:highlight w:val="none"/>
        </w:rPr>
        <w:t>活垃圾由</w:t>
      </w:r>
      <w:r>
        <w:rPr>
          <w:rFonts w:hint="default" w:ascii="仿宋_GB2312" w:hAnsi="仿宋_GB2312" w:cs="仿宋_GB2312"/>
          <w:color w:val="000000"/>
          <w:szCs w:val="32"/>
          <w:highlight w:val="none"/>
        </w:rPr>
        <w:t>园区环卫部门统一处理。</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2.</w:t>
      </w:r>
      <w:r>
        <w:rPr>
          <w:rFonts w:hint="eastAsia" w:ascii="仿宋_GB2312" w:hAnsi="仿宋_GB2312" w:cs="仿宋_GB2312"/>
          <w:color w:val="000000"/>
          <w:szCs w:val="32"/>
          <w:highlight w:val="none"/>
        </w:rPr>
        <w:t>认真落实《报告书》和《技术评估报告》中提出的大气污染防治措施。</w:t>
      </w:r>
      <w:r>
        <w:rPr>
          <w:rFonts w:hint="eastAsia" w:ascii="仿宋_GB2312" w:hAnsi="仿宋_GB2312" w:cs="仿宋_GB2312"/>
          <w:color w:val="000000"/>
          <w:szCs w:val="32"/>
          <w:highlight w:val="none"/>
          <w:lang w:val="en-US" w:eastAsia="zh-CN"/>
        </w:rPr>
        <w:t>电石破碎后由密闭皮带输送至乙炔发生器上料口，</w:t>
      </w:r>
      <w:r>
        <w:rPr>
          <w:rFonts w:hint="eastAsia" w:ascii="仿宋_GB2312" w:hAnsi="仿宋_GB2312" w:cs="仿宋_GB2312"/>
          <w:color w:val="000000"/>
          <w:szCs w:val="32"/>
          <w:highlight w:val="none"/>
        </w:rPr>
        <w:t>电石破碎</w:t>
      </w:r>
      <w:r>
        <w:rPr>
          <w:rFonts w:hint="eastAsia" w:ascii="仿宋_GB2312" w:hAnsi="仿宋_GB2312" w:cs="仿宋_GB2312"/>
          <w:color w:val="000000"/>
          <w:szCs w:val="32"/>
          <w:highlight w:val="none"/>
          <w:lang w:val="en-US" w:eastAsia="zh-CN"/>
        </w:rPr>
        <w:t>机上料及破碎</w:t>
      </w:r>
      <w:r>
        <w:rPr>
          <w:rFonts w:hint="eastAsia" w:ascii="仿宋_GB2312" w:hAnsi="仿宋_GB2312" w:cs="仿宋_GB2312"/>
          <w:color w:val="000000"/>
          <w:szCs w:val="32"/>
          <w:highlight w:val="none"/>
        </w:rPr>
        <w:t>过程中产生的</w:t>
      </w:r>
      <w:r>
        <w:rPr>
          <w:rFonts w:hint="eastAsia" w:ascii="仿宋_GB2312" w:hAnsi="仿宋_GB2312" w:cs="仿宋_GB2312"/>
          <w:color w:val="000000"/>
          <w:szCs w:val="32"/>
          <w:highlight w:val="none"/>
          <w:lang w:val="en-US" w:eastAsia="zh-CN"/>
        </w:rPr>
        <w:t>粉尘</w:t>
      </w:r>
      <w:r>
        <w:rPr>
          <w:rFonts w:hint="eastAsia" w:ascii="仿宋_GB2312" w:hAnsi="仿宋_GB2312" w:cs="仿宋_GB2312"/>
          <w:color w:val="000000"/>
          <w:szCs w:val="32"/>
          <w:highlight w:val="none"/>
        </w:rPr>
        <w:t>采用</w:t>
      </w:r>
      <w:r>
        <w:rPr>
          <w:rFonts w:hint="eastAsia" w:ascii="仿宋_GB2312" w:hAnsi="仿宋_GB2312" w:cs="仿宋_GB2312"/>
          <w:color w:val="000000"/>
          <w:szCs w:val="32"/>
          <w:highlight w:val="none"/>
          <w:lang w:val="en-US" w:eastAsia="zh-CN"/>
        </w:rPr>
        <w:t>集气罩+</w:t>
      </w:r>
      <w:r>
        <w:rPr>
          <w:rFonts w:hint="eastAsia" w:ascii="仿宋_GB2312" w:hAnsi="仿宋_GB2312" w:cs="仿宋_GB2312"/>
          <w:color w:val="000000"/>
          <w:szCs w:val="32"/>
          <w:highlight w:val="none"/>
        </w:rPr>
        <w:t>布袋除尘处理装置进行净化处理</w:t>
      </w:r>
      <w:r>
        <w:rPr>
          <w:rFonts w:hint="eastAsia" w:ascii="仿宋_GB2312" w:hAnsi="仿宋_GB2312" w:cs="仿宋_GB2312"/>
          <w:color w:val="000000"/>
          <w:szCs w:val="32"/>
          <w:highlight w:val="none"/>
          <w:lang w:eastAsia="zh-CN"/>
        </w:rPr>
        <w:t>，颗粒物</w:t>
      </w:r>
      <w:r>
        <w:rPr>
          <w:rFonts w:hint="eastAsia" w:ascii="仿宋_GB2312" w:hAnsi="仿宋_GB2312" w:cs="仿宋_GB2312"/>
          <w:color w:val="000000"/>
          <w:szCs w:val="32"/>
          <w:highlight w:val="none"/>
        </w:rPr>
        <w:t>排放浓度及排放速率满足《大气污染物综合排放标准》（GB16297-1996）</w:t>
      </w:r>
      <w:r>
        <w:rPr>
          <w:rFonts w:hint="eastAsia" w:ascii="仿宋_GB2312" w:hAnsi="仿宋_GB2312" w:cs="仿宋_GB2312"/>
          <w:color w:val="000000"/>
          <w:szCs w:val="32"/>
          <w:highlight w:val="none"/>
          <w:lang w:val="en-US" w:eastAsia="zh-CN"/>
        </w:rPr>
        <w:t>表2要求</w:t>
      </w:r>
      <w:r>
        <w:rPr>
          <w:rFonts w:hint="eastAsia" w:ascii="仿宋_GB2312" w:hAnsi="仿宋_GB2312" w:cs="仿宋_GB2312"/>
          <w:color w:val="000000"/>
          <w:szCs w:val="32"/>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无组织废气防治措施</w:t>
      </w:r>
      <w:r>
        <w:rPr>
          <w:rFonts w:hint="eastAsia" w:ascii="Times New Roman" w:hAnsi="Times New Roman" w:cs="Times New Roman"/>
          <w:color w:val="auto"/>
          <w:kern w:val="2"/>
          <w:sz w:val="32"/>
          <w:szCs w:val="32"/>
          <w:highlight w:val="none"/>
          <w:lang w:val="en-US" w:eastAsia="zh-CN" w:bidi="ar-SA"/>
        </w:rPr>
        <w:t>包括</w:t>
      </w:r>
      <w:r>
        <w:rPr>
          <w:rFonts w:hint="default" w:ascii="Times New Roman" w:hAnsi="Times New Roman" w:eastAsia="仿宋_GB2312" w:cs="Times New Roman"/>
          <w:color w:val="auto"/>
          <w:kern w:val="2"/>
          <w:sz w:val="32"/>
          <w:szCs w:val="32"/>
          <w:highlight w:val="none"/>
          <w:lang w:val="en-US" w:eastAsia="zh-CN" w:bidi="ar-SA"/>
        </w:rPr>
        <w:t>选用密封性能优良的管道、接头和阀门</w:t>
      </w:r>
      <w:r>
        <w:rPr>
          <w:rFonts w:hint="eastAsia"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每年对设备及相关附属管线、阀门等进行检查，做到气密性符合要求</w:t>
      </w:r>
      <w:r>
        <w:rPr>
          <w:rFonts w:hint="eastAsia"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充装车间设置可燃气体检测报警装置</w:t>
      </w:r>
      <w:r>
        <w:rPr>
          <w:rFonts w:hint="eastAsia" w:ascii="Times New Roman" w:hAnsi="Times New Roman" w:cs="Times New Roman"/>
          <w:color w:val="auto"/>
          <w:kern w:val="2"/>
          <w:sz w:val="32"/>
          <w:szCs w:val="32"/>
          <w:highlight w:val="none"/>
          <w:lang w:val="en-US" w:eastAsia="zh-CN" w:bidi="ar-SA"/>
        </w:rPr>
        <w:t>等，确保厂界</w:t>
      </w:r>
      <w:r>
        <w:rPr>
          <w:rFonts w:hint="default" w:ascii="Times New Roman" w:hAnsi="Times New Roman" w:eastAsia="仿宋_GB2312" w:cs="Times New Roman"/>
          <w:color w:val="auto"/>
          <w:kern w:val="2"/>
          <w:sz w:val="32"/>
          <w:szCs w:val="32"/>
          <w:highlight w:val="none"/>
          <w:lang w:val="en-US" w:eastAsia="zh-CN" w:bidi="ar-SA"/>
        </w:rPr>
        <w:t>颗粒物</w:t>
      </w:r>
      <w:r>
        <w:rPr>
          <w:rFonts w:hint="eastAsia" w:ascii="Times New Roman" w:hAnsi="Times New Roman" w:cs="Times New Roman"/>
          <w:color w:val="auto"/>
          <w:kern w:val="2"/>
          <w:sz w:val="32"/>
          <w:szCs w:val="32"/>
          <w:highlight w:val="none"/>
          <w:lang w:val="en-US" w:eastAsia="zh-CN" w:bidi="ar-SA"/>
        </w:rPr>
        <w:t>、非甲烷总烃满足</w:t>
      </w:r>
      <w:r>
        <w:rPr>
          <w:rFonts w:hint="default" w:ascii="Times New Roman" w:hAnsi="Times New Roman" w:eastAsia="仿宋_GB2312" w:cs="Times New Roman"/>
          <w:color w:val="auto"/>
          <w:kern w:val="2"/>
          <w:sz w:val="32"/>
          <w:szCs w:val="32"/>
          <w:highlight w:val="none"/>
          <w:lang w:val="en-US" w:eastAsia="zh-CN" w:bidi="ar-SA"/>
        </w:rPr>
        <w:t>《大气污染物综合排放标准》（GB16297-1996）中表2无组织排放监控浓度限值要求</w:t>
      </w:r>
      <w:r>
        <w:rPr>
          <w:rFonts w:hint="eastAsia" w:cs="Times New Roman"/>
          <w:color w:val="auto"/>
          <w:kern w:val="2"/>
          <w:sz w:val="32"/>
          <w:szCs w:val="32"/>
          <w:highlight w:val="none"/>
          <w:lang w:val="en-US" w:eastAsia="zh-CN" w:bidi="ar-SA"/>
        </w:rPr>
        <w:t>，</w:t>
      </w:r>
      <w:r>
        <w:rPr>
          <w:rFonts w:hint="eastAsia" w:ascii="Times New Roman" w:hAnsi="Times New Roman" w:cs="Times New Roman"/>
          <w:color w:val="auto"/>
          <w:kern w:val="2"/>
          <w:sz w:val="32"/>
          <w:szCs w:val="32"/>
          <w:highlight w:val="none"/>
          <w:lang w:val="en-US" w:eastAsia="zh-CN" w:bidi="ar-SA"/>
        </w:rPr>
        <w:t>硫化氢满足</w:t>
      </w:r>
      <w:r>
        <w:rPr>
          <w:rFonts w:hint="default" w:ascii="Times New Roman" w:hAnsi="Times New Roman" w:eastAsia="仿宋_GB2312" w:cs="Times New Roman"/>
          <w:color w:val="auto"/>
          <w:kern w:val="2"/>
          <w:sz w:val="32"/>
          <w:szCs w:val="32"/>
          <w:highlight w:val="none"/>
          <w:lang w:val="en-US" w:eastAsia="zh-CN" w:bidi="ar-SA"/>
        </w:rPr>
        <w:t>《恶臭污染物排放标准》(GB14554-93)表</w:t>
      </w:r>
      <w:r>
        <w:rPr>
          <w:rFonts w:hint="eastAsia"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恶臭污染物</w:t>
      </w:r>
      <w:r>
        <w:rPr>
          <w:rFonts w:hint="eastAsia" w:ascii="Times New Roman" w:hAnsi="Times New Roman" w:eastAsia="仿宋_GB2312" w:cs="Times New Roman"/>
          <w:color w:val="auto"/>
          <w:kern w:val="2"/>
          <w:sz w:val="32"/>
          <w:szCs w:val="32"/>
          <w:highlight w:val="none"/>
          <w:lang w:val="en-US" w:eastAsia="zh-CN" w:bidi="ar-SA"/>
        </w:rPr>
        <w:t>厂界标准</w:t>
      </w:r>
      <w:r>
        <w:rPr>
          <w:rFonts w:hint="default" w:ascii="Times New Roman" w:hAnsi="Times New Roman" w:eastAsia="仿宋_GB2312" w:cs="Times New Roman"/>
          <w:color w:val="auto"/>
          <w:kern w:val="2"/>
          <w:sz w:val="32"/>
          <w:szCs w:val="32"/>
          <w:highlight w:val="none"/>
          <w:lang w:val="en-US" w:eastAsia="zh-CN" w:bidi="ar-SA"/>
        </w:rPr>
        <w:t>值</w:t>
      </w:r>
      <w:r>
        <w:rPr>
          <w:rFonts w:hint="eastAsia" w:ascii="Times New Roman" w:hAnsi="Times New Roman" w:eastAsia="仿宋_GB2312" w:cs="Times New Roman"/>
          <w:color w:val="auto"/>
          <w:kern w:val="2"/>
          <w:sz w:val="32"/>
          <w:szCs w:val="32"/>
          <w:highlight w:val="none"/>
          <w:lang w:val="en-US" w:eastAsia="zh-CN" w:bidi="ar-SA"/>
        </w:rPr>
        <w:t>。</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强化废水处理与回用，实行雨污分流、清污分流。乙炔汽化废水、净化废水、中和废水和干燥废水排入沉渣池与电石渣浆一起进行沉淀后输送至乙炔发生装置回用；电石渣压滤滤液产生后直接送至乙炔发生装置进行回用；生活</w:t>
      </w:r>
      <w:r>
        <w:rPr>
          <w:rFonts w:hint="eastAsia" w:ascii="Times New Roman" w:hAnsi="Times New Roman" w:cs="Times New Roman"/>
          <w:color w:val="auto"/>
          <w:kern w:val="2"/>
          <w:sz w:val="32"/>
          <w:szCs w:val="32"/>
          <w:highlight w:val="none"/>
          <w:lang w:val="en-US" w:eastAsia="zh-CN" w:bidi="ar-SA"/>
        </w:rPr>
        <w:t>污水</w:t>
      </w:r>
      <w:r>
        <w:rPr>
          <w:rFonts w:hint="eastAsia" w:ascii="Times New Roman" w:hAnsi="Times New Roman" w:eastAsia="仿宋_GB2312" w:cs="Times New Roman"/>
          <w:color w:val="auto"/>
          <w:kern w:val="2"/>
          <w:sz w:val="32"/>
          <w:szCs w:val="32"/>
          <w:highlight w:val="none"/>
          <w:lang w:val="en-US" w:eastAsia="zh-CN" w:bidi="ar-SA"/>
        </w:rPr>
        <w:t>经化粪池收集后定期拉运至乌审旗圣源水务有限责任公司</w:t>
      </w:r>
      <w:r>
        <w:rPr>
          <w:rFonts w:hint="eastAsia" w:ascii="Times New Roman" w:hAnsi="Times New Roman" w:cs="Times New Roman"/>
          <w:color w:val="auto"/>
          <w:kern w:val="2"/>
          <w:sz w:val="32"/>
          <w:szCs w:val="32"/>
          <w:highlight w:val="none"/>
          <w:lang w:val="en-US" w:eastAsia="zh-CN" w:bidi="ar-SA"/>
        </w:rPr>
        <w:t>处置</w:t>
      </w:r>
      <w:r>
        <w:rPr>
          <w:rFonts w:hint="eastAsia" w:ascii="Times New Roman" w:hAnsi="Times New Roman" w:eastAsia="仿宋_GB2312" w:cs="Times New Roman"/>
          <w:color w:val="auto"/>
          <w:kern w:val="2"/>
          <w:sz w:val="32"/>
          <w:szCs w:val="32"/>
          <w:highlight w:val="none"/>
          <w:lang w:val="en-US" w:eastAsia="zh-CN" w:bidi="ar-SA"/>
        </w:rPr>
        <w:t>；循环废水间断排放，产生后排入厂内废水罐中，</w:t>
      </w:r>
      <w:r>
        <w:rPr>
          <w:rFonts w:hint="eastAsia" w:ascii="Times New Roman" w:hAnsi="Times New Roman" w:eastAsia="仿宋_GB2312" w:cs="Times New Roman"/>
          <w:color w:val="000000"/>
          <w:kern w:val="2"/>
          <w:sz w:val="32"/>
          <w:szCs w:val="32"/>
          <w:lang w:val="en-US" w:eastAsia="zh-CN" w:bidi="ar-SA"/>
        </w:rPr>
        <w:t>定期由罐车拉运至乌审旗圣源水务有限责任公司处置。</w:t>
      </w:r>
    </w:p>
    <w:p>
      <w:pPr>
        <w:keepNext/>
        <w:keepLines/>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cs="仿宋_GB2312"/>
          <w:color w:val="000000"/>
          <w:szCs w:val="32"/>
        </w:rPr>
      </w:pPr>
      <w:r>
        <w:rPr>
          <w:rFonts w:hint="eastAsia" w:ascii="Times New Roman" w:hAnsi="Times New Roman" w:eastAsia="仿宋_GB2312" w:cs="Times New Roman"/>
          <w:color w:val="000000"/>
          <w:kern w:val="2"/>
          <w:sz w:val="32"/>
          <w:szCs w:val="32"/>
          <w:lang w:val="en-US" w:eastAsia="zh-CN" w:bidi="ar-SA"/>
        </w:rPr>
        <w:t>4.通过合理布局，选用低噪声设备，加强基础减振等</w:t>
      </w:r>
      <w:r>
        <w:rPr>
          <w:rFonts w:hint="eastAsia" w:cs="Times New Roman"/>
          <w:color w:val="000000"/>
          <w:kern w:val="2"/>
          <w:sz w:val="32"/>
          <w:szCs w:val="32"/>
          <w:lang w:val="en-US" w:eastAsia="zh-CN" w:bidi="ar-SA"/>
        </w:rPr>
        <w:t>，</w:t>
      </w:r>
      <w:r>
        <w:rPr>
          <w:rFonts w:hint="eastAsia" w:ascii="Times New Roman" w:hAnsi="Times New Roman" w:eastAsia="仿宋_GB2312" w:cs="Times New Roman"/>
          <w:color w:val="000000"/>
          <w:kern w:val="2"/>
          <w:sz w:val="32"/>
          <w:szCs w:val="32"/>
          <w:lang w:val="en-US" w:eastAsia="zh-CN" w:bidi="ar-SA"/>
        </w:rPr>
        <w:t>确保厂界噪声值满足《工业企业厂界环境噪声排放标准》（GB12348-2008）中3类限值要求。</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jc w:val="both"/>
        <w:textAlignment w:val="auto"/>
        <w:rPr>
          <w:rFonts w:hint="default" w:ascii="Times New Roman" w:hAnsi="Times New Roman" w:cs="Times New Roman"/>
          <w:color w:val="000000"/>
          <w:sz w:val="32"/>
          <w:szCs w:val="32"/>
        </w:rPr>
      </w:pPr>
      <w:r>
        <w:rPr>
          <w:rFonts w:hint="eastAsia" w:ascii="仿宋_GB2312" w:hAnsi="仿宋_GB2312" w:eastAsia="仿宋_GB2312" w:cs="仿宋_GB2312"/>
          <w:color w:val="000000"/>
          <w:kern w:val="2"/>
          <w:sz w:val="32"/>
          <w:szCs w:val="32"/>
          <w:lang w:val="en-US" w:eastAsia="zh-CN" w:bidi="ar-SA"/>
        </w:rPr>
        <w:t>5.</w:t>
      </w:r>
      <w:r>
        <w:rPr>
          <w:rFonts w:hint="default" w:ascii="Times New Roman" w:hAnsi="Times New Roman" w:cs="Times New Roman"/>
          <w:color w:val="000000"/>
          <w:sz w:val="32"/>
          <w:szCs w:val="32"/>
          <w:lang w:val="en-US" w:eastAsia="zh-CN"/>
        </w:rPr>
        <w:t>建设单位</w:t>
      </w:r>
      <w:r>
        <w:rPr>
          <w:rFonts w:hint="default" w:ascii="Times New Roman" w:hAnsi="Times New Roman" w:cs="Times New Roman"/>
          <w:color w:val="000000"/>
          <w:sz w:val="32"/>
          <w:szCs w:val="32"/>
        </w:rPr>
        <w:t>须</w:t>
      </w:r>
      <w:r>
        <w:rPr>
          <w:rFonts w:hint="default" w:ascii="Times New Roman" w:hAnsi="Times New Roman" w:cs="Times New Roman"/>
          <w:color w:val="000000"/>
          <w:sz w:val="32"/>
          <w:szCs w:val="32"/>
          <w:lang w:val="en-US" w:eastAsia="zh-CN"/>
        </w:rPr>
        <w:t>严</w:t>
      </w:r>
      <w:r>
        <w:rPr>
          <w:rFonts w:hint="default" w:ascii="Times New Roman" w:hAnsi="Times New Roman" w:cs="Times New Roman"/>
          <w:color w:val="000000"/>
          <w:sz w:val="32"/>
          <w:szCs w:val="32"/>
        </w:rPr>
        <w:t>格按照《一般工业固体废物贮存和填埋污染控制标准》</w:t>
      </w:r>
      <w:r>
        <w:rPr>
          <w:rFonts w:hint="default" w:ascii="仿宋_GB2312" w:hAnsi="仿宋_GB2312" w:eastAsia="仿宋_GB2312" w:cs="仿宋_GB2312"/>
          <w:color w:val="auto"/>
          <w:kern w:val="2"/>
          <w:sz w:val="32"/>
          <w:szCs w:val="32"/>
          <w:lang w:val="en-US" w:eastAsia="zh-CN" w:bidi="ar-SA"/>
        </w:rPr>
        <w:t>（GB18599-2020）</w:t>
      </w:r>
      <w:r>
        <w:rPr>
          <w:rFonts w:hint="default" w:ascii="Times New Roman" w:hAnsi="Times New Roman" w:cs="Times New Roman"/>
          <w:color w:val="000000"/>
          <w:sz w:val="32"/>
          <w:szCs w:val="32"/>
        </w:rPr>
        <w:t>及《危险废物贮存污染控制标准》</w:t>
      </w:r>
      <w:r>
        <w:rPr>
          <w:rFonts w:hint="default" w:ascii="仿宋_GB2312" w:hAnsi="仿宋_GB2312" w:eastAsia="仿宋_GB2312" w:cs="仿宋_GB2312"/>
          <w:color w:val="auto"/>
          <w:kern w:val="2"/>
          <w:sz w:val="32"/>
          <w:szCs w:val="32"/>
          <w:lang w:val="en-US" w:eastAsia="zh-CN" w:bidi="ar-SA"/>
        </w:rPr>
        <w:t>（GB18597-2001）</w:t>
      </w:r>
      <w:r>
        <w:rPr>
          <w:rFonts w:hint="default" w:ascii="Times New Roman" w:hAnsi="Times New Roman" w:cs="Times New Roman"/>
          <w:color w:val="000000"/>
          <w:sz w:val="32"/>
          <w:szCs w:val="32"/>
        </w:rPr>
        <w:t>（及其修改单）要求对一般固废和危险废物进行处置。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40"/>
        <w:jc w:val="both"/>
        <w:textAlignment w:val="auto"/>
        <w:rPr>
          <w:rFonts w:hint="eastAsia" w:ascii="Times New Roman" w:hAnsi="Times New Roman" w:cs="Times New Roman"/>
          <w:color w:val="000000"/>
          <w:sz w:val="32"/>
          <w:szCs w:val="32"/>
        </w:rPr>
      </w:pPr>
      <w:r>
        <w:rPr>
          <w:rFonts w:hint="eastAsia" w:ascii="Times New Roman" w:hAnsi="Times New Roman" w:cs="Times New Roman"/>
          <w:color w:val="000000"/>
          <w:sz w:val="32"/>
          <w:szCs w:val="32"/>
          <w:lang w:val="en-US" w:eastAsia="zh-CN"/>
        </w:rPr>
        <w:t>6.</w:t>
      </w:r>
      <w:r>
        <w:rPr>
          <w:rFonts w:hint="eastAsia" w:ascii="Times New Roman" w:hAnsi="Times New Roman" w:cs="Times New Roman"/>
          <w:color w:val="000000"/>
          <w:sz w:val="32"/>
          <w:szCs w:val="32"/>
        </w:rPr>
        <w:t>切实落实土壤和地下水污染防治措施。严格按照《</w:t>
      </w:r>
      <w:r>
        <w:rPr>
          <w:rFonts w:hint="eastAsia" w:ascii="Times New Roman" w:hAnsi="Times New Roman" w:cs="Times New Roman"/>
          <w:color w:val="000000"/>
          <w:sz w:val="32"/>
          <w:szCs w:val="32"/>
          <w:lang w:eastAsia="zh-CN"/>
        </w:rPr>
        <w:t>环境影响评价技术导则</w:t>
      </w:r>
      <w:r>
        <w:rPr>
          <w:rFonts w:hint="eastAsia" w:ascii="Times New Roman" w:hAnsi="Times New Roman" w:cs="Times New Roman"/>
          <w:color w:val="000000"/>
          <w:sz w:val="32"/>
          <w:szCs w:val="32"/>
          <w:lang w:val="en-US" w:eastAsia="zh-CN"/>
        </w:rPr>
        <w:t xml:space="preserve"> 地下水</w:t>
      </w:r>
      <w:r>
        <w:rPr>
          <w:rFonts w:hint="eastAsia" w:ascii="Times New Roman" w:hAnsi="Times New Roman" w:cs="Times New Roman"/>
          <w:color w:val="000000"/>
          <w:sz w:val="32"/>
          <w:szCs w:val="32"/>
        </w:rPr>
        <w:t>》</w:t>
      </w:r>
      <w:r>
        <w:rPr>
          <w:rFonts w:hint="eastAsia" w:ascii="Times New Roman" w:hAnsi="Times New Roman" w:cs="Times New Roman"/>
          <w:color w:val="000000"/>
          <w:sz w:val="32"/>
          <w:szCs w:val="32"/>
          <w:lang w:eastAsia="zh-CN"/>
        </w:rPr>
        <w:t>（</w:t>
      </w:r>
      <w:r>
        <w:rPr>
          <w:rFonts w:hint="eastAsia" w:ascii="Times New Roman" w:hAnsi="Times New Roman" w:cs="Times New Roman"/>
          <w:color w:val="000000"/>
          <w:sz w:val="32"/>
          <w:szCs w:val="32"/>
          <w:lang w:val="en-US" w:eastAsia="zh-CN"/>
        </w:rPr>
        <w:t>HJ 610</w:t>
      </w:r>
      <w:r>
        <w:rPr>
          <w:rFonts w:hint="eastAsia" w:ascii="Times New Roman" w:hAnsi="Times New Roman" w:cs="Times New Roman"/>
          <w:color w:val="000000"/>
          <w:sz w:val="32"/>
          <w:szCs w:val="32"/>
        </w:rPr>
        <w:t>-201</w:t>
      </w:r>
      <w:r>
        <w:rPr>
          <w:rFonts w:hint="eastAsia" w:ascii="Times New Roman" w:hAnsi="Times New Roman" w:cs="Times New Roman"/>
          <w:color w:val="000000"/>
          <w:sz w:val="32"/>
          <w:szCs w:val="32"/>
          <w:lang w:val="en-US" w:eastAsia="zh-CN"/>
        </w:rPr>
        <w:t>6</w:t>
      </w:r>
      <w:r>
        <w:rPr>
          <w:rFonts w:hint="eastAsia" w:ascii="Times New Roman" w:hAnsi="Times New Roman" w:cs="Times New Roman"/>
          <w:color w:val="000000"/>
          <w:sz w:val="32"/>
          <w:szCs w:val="32"/>
          <w:lang w:eastAsia="zh-CN"/>
        </w:rPr>
        <w:t>）</w:t>
      </w:r>
      <w:r>
        <w:rPr>
          <w:rFonts w:hint="eastAsia" w:ascii="Times New Roman" w:hAnsi="Times New Roman" w:cs="Times New Roman"/>
          <w:color w:val="000000"/>
          <w:sz w:val="32"/>
          <w:szCs w:val="32"/>
        </w:rPr>
        <w:t>等要求，对</w:t>
      </w:r>
      <w:r>
        <w:rPr>
          <w:rFonts w:hint="eastAsia" w:ascii="Times New Roman" w:hAnsi="Times New Roman" w:cs="Times New Roman"/>
          <w:color w:val="000000"/>
          <w:sz w:val="32"/>
          <w:szCs w:val="32"/>
          <w:lang w:eastAsia="zh-CN"/>
        </w:rPr>
        <w:t>厂区</w:t>
      </w:r>
      <w:r>
        <w:rPr>
          <w:rFonts w:hint="eastAsia" w:ascii="Times New Roman" w:hAnsi="Times New Roman" w:cs="Times New Roman"/>
          <w:color w:val="000000"/>
          <w:sz w:val="32"/>
          <w:szCs w:val="32"/>
        </w:rPr>
        <w:t>采取分区防渗措施</w:t>
      </w:r>
      <w:r>
        <w:rPr>
          <w:rFonts w:hint="eastAsia" w:ascii="Times New Roman" w:hAnsi="Times New Roman" w:cs="Times New Roman"/>
          <w:color w:val="000000"/>
          <w:sz w:val="32"/>
          <w:szCs w:val="32"/>
          <w:lang w:eastAsia="zh-CN"/>
        </w:rPr>
        <w:t>，</w:t>
      </w:r>
      <w:r>
        <w:rPr>
          <w:rFonts w:hint="eastAsia" w:ascii="Times New Roman" w:hAnsi="Times New Roman" w:cs="Times New Roman"/>
          <w:color w:val="000000"/>
          <w:sz w:val="32"/>
          <w:szCs w:val="32"/>
        </w:rPr>
        <w:t>加强防渗设施的日常维护</w:t>
      </w:r>
      <w:r>
        <w:rPr>
          <w:rFonts w:hint="eastAsia" w:ascii="Times New Roman" w:hAnsi="Times New Roman" w:cs="Times New Roman"/>
          <w:color w:val="000000"/>
          <w:sz w:val="32"/>
          <w:szCs w:val="32"/>
          <w:lang w:eastAsia="zh-CN"/>
        </w:rPr>
        <w:t>，</w:t>
      </w:r>
      <w:r>
        <w:rPr>
          <w:rFonts w:hint="eastAsia" w:ascii="Times New Roman" w:hAnsi="Times New Roman" w:cs="Times New Roman"/>
          <w:color w:val="000000"/>
          <w:sz w:val="32"/>
          <w:szCs w:val="32"/>
        </w:rPr>
        <w:t>建立完善的土壤和地下水监测制度。</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cs="仿宋_GB2312"/>
          <w:color w:val="000000"/>
          <w:kern w:val="2"/>
          <w:sz w:val="32"/>
          <w:szCs w:val="32"/>
          <w:lang w:val="en-US" w:eastAsia="zh-CN" w:bidi="ar-SA"/>
        </w:rPr>
        <w:t>7</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cs="仿宋_GB2312"/>
          <w:color w:val="000000"/>
          <w:szCs w:val="32"/>
        </w:rPr>
        <w:t>强化环境风险防范。制定环境风险应急预案,落实环境风险事故防范措施，提高事故风险防范和污染控制能力。</w:t>
      </w:r>
    </w:p>
    <w:p>
      <w:pPr>
        <w:keepNext w:val="0"/>
        <w:keepLines w:val="0"/>
        <w:pageBreakBefore w:val="0"/>
        <w:widowControl w:val="0"/>
        <w:kinsoku/>
        <w:wordWrap/>
        <w:overflowPunct/>
        <w:topLinePunct w:val="0"/>
        <w:bidi w:val="0"/>
        <w:adjustRightInd w:val="0"/>
        <w:snapToGrid w:val="0"/>
        <w:spacing w:line="600" w:lineRule="exact"/>
        <w:ind w:firstLine="640"/>
        <w:textAlignment w:val="auto"/>
        <w:rPr>
          <w:rFonts w:hint="eastAsia" w:ascii="仿宋_GB2312" w:hAnsi="仿宋_GB2312" w:cs="仿宋_GB2312"/>
          <w:color w:val="000000"/>
          <w:szCs w:val="32"/>
        </w:rPr>
      </w:pPr>
      <w:r>
        <w:rPr>
          <w:rFonts w:hint="eastAsia" w:ascii="仿宋_GB2312" w:hAnsi="仿宋_GB2312" w:cs="仿宋_GB2312"/>
          <w:color w:val="000000"/>
          <w:szCs w:val="32"/>
        </w:rPr>
        <w:t>三、</w:t>
      </w:r>
      <w:r>
        <w:rPr>
          <w:rFonts w:hint="eastAsia" w:ascii="仿宋_GB2312" w:hAnsi="仿宋_GB2312" w:eastAsia="仿宋_GB2312" w:cs="仿宋_GB2312"/>
          <w:color w:val="auto"/>
        </w:rPr>
        <w:t>项目建设须严格执行环境保护“三同时”制度。项目竣工后，须按照规定程序实施竣工环境保护验收</w:t>
      </w:r>
      <w:r>
        <w:rPr>
          <w:rFonts w:hint="eastAsia" w:ascii="仿宋_GB2312" w:hAnsi="仿宋_GB2312" w:cs="仿宋_GB2312"/>
          <w:color w:val="auto"/>
          <w:highlight w:val="none"/>
          <w:lang w:val="en-US" w:eastAsia="zh-CN"/>
        </w:rPr>
        <w:t>。</w:t>
      </w:r>
    </w:p>
    <w:p>
      <w:pPr>
        <w:adjustRightInd w:val="0"/>
        <w:snapToGrid w:val="0"/>
        <w:spacing w:line="560" w:lineRule="exact"/>
        <w:ind w:firstLine="640"/>
        <w:rPr>
          <w:rFonts w:ascii="仿宋_GB2312" w:hAnsi="仿宋_GB2312" w:cs="仿宋_GB2312"/>
          <w:color w:val="000000"/>
          <w:szCs w:val="32"/>
        </w:rPr>
      </w:pPr>
      <w:r>
        <w:rPr>
          <w:rFonts w:hint="eastAsia" w:ascii="仿宋_GB2312" w:hAnsi="仿宋_GB2312" w:cs="仿宋_GB2312"/>
          <w:color w:val="000000"/>
          <w:szCs w:val="32"/>
        </w:rPr>
        <w:t>四、你公司应在收到本批复20日内，将《报告书》(报批版)及批复文件送至鄂尔多斯市生态环境局</w:t>
      </w:r>
      <w:r>
        <w:rPr>
          <w:rFonts w:hint="eastAsia" w:ascii="仿宋_GB2312" w:hAnsi="仿宋_GB2312" w:cs="仿宋_GB2312"/>
          <w:color w:val="000000"/>
          <w:szCs w:val="32"/>
          <w:lang w:eastAsia="zh-CN"/>
        </w:rPr>
        <w:t>乌审旗</w:t>
      </w:r>
      <w:r>
        <w:rPr>
          <w:rFonts w:hint="eastAsia" w:ascii="仿宋_GB2312" w:hAnsi="仿宋_GB2312" w:cs="仿宋_GB2312"/>
          <w:color w:val="000000"/>
          <w:szCs w:val="32"/>
        </w:rPr>
        <w:t>分局，我局委托鄂尔多斯市生态环境局</w:t>
      </w:r>
      <w:r>
        <w:rPr>
          <w:rFonts w:hint="eastAsia" w:ascii="仿宋_GB2312" w:hAnsi="仿宋_GB2312" w:cs="仿宋_GB2312"/>
          <w:color w:val="000000"/>
          <w:szCs w:val="32"/>
          <w:lang w:eastAsia="zh-CN"/>
        </w:rPr>
        <w:t>乌审旗</w:t>
      </w:r>
      <w:r>
        <w:rPr>
          <w:rFonts w:hint="eastAsia" w:ascii="仿宋_GB2312" w:hAnsi="仿宋_GB2312" w:cs="仿宋_GB2312"/>
          <w:color w:val="000000"/>
          <w:szCs w:val="32"/>
        </w:rPr>
        <w:t>分局负责该项目的日常监管工作。</w:t>
      </w:r>
    </w:p>
    <w:p>
      <w:pPr>
        <w:adjustRightInd w:val="0"/>
        <w:snapToGrid w:val="0"/>
        <w:spacing w:line="560" w:lineRule="exact"/>
        <w:ind w:firstLine="640"/>
        <w:rPr>
          <w:rFonts w:hint="eastAsia" w:ascii="仿宋_GB2312" w:hAnsi="仿宋_GB2312" w:cs="仿宋_GB2312"/>
          <w:color w:val="000000"/>
          <w:szCs w:val="32"/>
        </w:rPr>
      </w:pPr>
      <w:r>
        <w:rPr>
          <w:rFonts w:hint="eastAsia" w:ascii="仿宋_GB2312" w:hAnsi="仿宋_GB2312" w:cs="仿宋_GB2312"/>
          <w:color w:val="000000"/>
          <w:szCs w:val="32"/>
        </w:rPr>
        <w:t>五、该项目从批准之日起超过5年方决定开工建设，其环评文件应重新审核。如果建设地点、规模、防治污染和防止生态破坏的措施等发生重大变化时，需重新报批环评文件。</w:t>
      </w:r>
    </w:p>
    <w:p>
      <w:pPr>
        <w:adjustRightInd w:val="0"/>
        <w:snapToGrid w:val="0"/>
        <w:spacing w:line="560" w:lineRule="exact"/>
        <w:ind w:firstLine="640"/>
        <w:jc w:val="right"/>
        <w:rPr>
          <w:rFonts w:ascii="仿宋_GB2312" w:hAnsi="仿宋_GB2312" w:cs="仿宋_GB2312"/>
          <w:color w:val="000000"/>
          <w:szCs w:val="32"/>
        </w:rPr>
      </w:pPr>
    </w:p>
    <w:p>
      <w:pPr>
        <w:pStyle w:val="2"/>
        <w:ind w:left="0" w:leftChars="0" w:firstLine="0" w:firstLineChars="0"/>
        <w:rPr>
          <w:rFonts w:hint="eastAsia"/>
        </w:rPr>
      </w:pPr>
    </w:p>
    <w:p>
      <w:pPr>
        <w:adjustRightInd w:val="0"/>
        <w:snapToGrid w:val="0"/>
        <w:spacing w:line="560" w:lineRule="exact"/>
        <w:ind w:firstLine="640"/>
        <w:jc w:val="right"/>
        <w:rPr>
          <w:rFonts w:hint="eastAsia" w:ascii="仿宋_GB2312" w:hAnsi="仿宋_GB2312" w:cs="仿宋_GB2312"/>
          <w:color w:val="000000"/>
          <w:szCs w:val="32"/>
          <w:highlight w:val="none"/>
        </w:rPr>
      </w:pPr>
      <w:r>
        <w:rPr>
          <w:rFonts w:hint="eastAsia" w:ascii="仿宋_GB2312" w:hAnsi="仿宋_GB2312" w:cs="仿宋_GB2312"/>
          <w:color w:val="000000"/>
          <w:szCs w:val="32"/>
          <w:highlight w:val="none"/>
        </w:rPr>
        <w:t>鄂尔多斯市生态环境局</w:t>
      </w:r>
    </w:p>
    <w:p>
      <w:pPr>
        <w:adjustRightInd w:val="0"/>
        <w:snapToGrid w:val="0"/>
        <w:spacing w:line="560" w:lineRule="exact"/>
        <w:ind w:right="320" w:firstLine="640"/>
        <w:jc w:val="right"/>
        <w:rPr>
          <w:rFonts w:hint="eastAsia"/>
        </w:rPr>
      </w:pPr>
      <w:r>
        <w:rPr>
          <w:rFonts w:hint="eastAsia" w:ascii="仿宋_GB2312" w:hAnsi="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rPr>
        <w:t>202</w:t>
      </w:r>
      <w:r>
        <w:rPr>
          <w:rFonts w:hint="eastAsia" w:ascii="仿宋_GB2312" w:hAnsi="仿宋_GB2312" w:cs="仿宋_GB2312"/>
          <w:color w:val="000000"/>
          <w:szCs w:val="32"/>
          <w:highlight w:val="none"/>
          <w:lang w:val="en-US" w:eastAsia="zh-CN"/>
        </w:rPr>
        <w:t>3</w:t>
      </w:r>
      <w:r>
        <w:rPr>
          <w:rFonts w:hint="eastAsia" w:ascii="仿宋_GB2312" w:hAnsi="仿宋_GB2312" w:cs="仿宋_GB2312"/>
          <w:color w:val="000000"/>
          <w:szCs w:val="32"/>
          <w:highlight w:val="none"/>
        </w:rPr>
        <w:t>年</w:t>
      </w:r>
      <w:r>
        <w:rPr>
          <w:rFonts w:hint="eastAsia" w:ascii="仿宋_GB2312" w:hAnsi="仿宋_GB2312" w:cs="仿宋_GB2312"/>
          <w:color w:val="000000"/>
          <w:szCs w:val="32"/>
          <w:highlight w:val="none"/>
          <w:lang w:val="en-US" w:eastAsia="zh-CN"/>
        </w:rPr>
        <w:t>2</w:t>
      </w:r>
      <w:r>
        <w:rPr>
          <w:rFonts w:hint="eastAsia" w:ascii="仿宋_GB2312" w:hAnsi="仿宋_GB2312" w:cs="仿宋_GB2312"/>
          <w:color w:val="000000"/>
          <w:szCs w:val="32"/>
          <w:highlight w:val="none"/>
        </w:rPr>
        <w:t>月</w:t>
      </w:r>
      <w:r>
        <w:rPr>
          <w:rFonts w:hint="eastAsia" w:ascii="仿宋_GB2312" w:hAnsi="仿宋_GB2312" w:cs="仿宋_GB2312"/>
          <w:color w:val="000000"/>
          <w:szCs w:val="32"/>
          <w:highlight w:val="none"/>
          <w:lang w:val="en-US" w:eastAsia="zh-CN"/>
        </w:rPr>
        <w:t>10</w:t>
      </w:r>
      <w:r>
        <w:rPr>
          <w:rFonts w:hint="eastAsia" w:ascii="仿宋_GB2312" w:hAnsi="仿宋_GB2312" w:cs="仿宋_GB2312"/>
          <w:color w:val="000000"/>
          <w:szCs w:val="32"/>
          <w:highlight w:val="none"/>
        </w:rPr>
        <w:t>日</w:t>
      </w:r>
    </w:p>
    <w:p>
      <w:pPr>
        <w:rPr>
          <w:rFonts w:hint="eastAsia"/>
        </w:rPr>
      </w:pPr>
    </w:p>
    <w:p>
      <w:pPr>
        <w:rPr>
          <w:rFonts w:hint="eastAsia"/>
        </w:rPr>
      </w:pPr>
    </w:p>
    <w:tbl>
      <w:tblPr>
        <w:tblStyle w:val="18"/>
        <w:tblW w:w="8336" w:type="dxa"/>
        <w:tblInd w:w="0"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8336"/>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521" w:hRule="atLeast"/>
        </w:trPr>
        <w:tc>
          <w:tcPr>
            <w:tcW w:w="8336" w:type="dxa"/>
            <w:tcBorders>
              <w:top w:val="single" w:color="000000" w:sz="2" w:space="0"/>
              <w:bottom w:val="single" w:color="000000" w:sz="2" w:space="0"/>
            </w:tcBorders>
          </w:tcPr>
          <w:p>
            <w:pPr>
              <w:spacing w:line="440" w:lineRule="exact"/>
              <w:ind w:left="86" w:leftChars="27" w:firstLine="0" w:firstLineChars="0"/>
              <w:rPr>
                <w:rFonts w:hint="eastAsia" w:ascii="Times New Roman" w:hAnsi="Times New Roman" w:cs="Times New Roman"/>
                <w:snapToGrid w:val="0"/>
                <w:color w:val="auto"/>
                <w:sz w:val="28"/>
                <w:szCs w:val="28"/>
                <w:highlight w:val="none"/>
              </w:rPr>
            </w:pPr>
            <w:r>
              <w:rPr>
                <w:rFonts w:hint="eastAsia" w:ascii="Times New Roman" w:hAnsi="Times New Roman" w:cs="Times New Roman"/>
                <w:snapToGrid w:val="0"/>
                <w:color w:val="auto"/>
                <w:sz w:val="28"/>
                <w:szCs w:val="28"/>
                <w:highlight w:val="none"/>
              </w:rPr>
              <w:t>抄送：鄂尔多斯市生态环境局</w:t>
            </w:r>
            <w:r>
              <w:rPr>
                <w:rFonts w:hint="eastAsia" w:cs="Times New Roman"/>
                <w:snapToGrid w:val="0"/>
                <w:color w:val="auto"/>
                <w:sz w:val="28"/>
                <w:szCs w:val="28"/>
                <w:highlight w:val="none"/>
                <w:lang w:eastAsia="zh-CN"/>
              </w:rPr>
              <w:t>乌审旗</w:t>
            </w:r>
            <w:r>
              <w:rPr>
                <w:rFonts w:hint="eastAsia" w:ascii="Times New Roman" w:hAnsi="Times New Roman" w:cs="Times New Roman"/>
                <w:snapToGrid w:val="0"/>
                <w:color w:val="auto"/>
                <w:sz w:val="28"/>
                <w:szCs w:val="28"/>
                <w:highlight w:val="none"/>
              </w:rPr>
              <w:t>分局，内蒙古鄂尔多斯</w:t>
            </w:r>
            <w:r>
              <w:rPr>
                <w:rFonts w:hint="eastAsia" w:cs="Times New Roman"/>
                <w:snapToGrid w:val="0"/>
                <w:color w:val="auto"/>
                <w:sz w:val="28"/>
                <w:szCs w:val="28"/>
                <w:highlight w:val="none"/>
                <w:lang w:eastAsia="zh-CN"/>
              </w:rPr>
              <w:t>苏里格</w:t>
            </w:r>
            <w:r>
              <w:rPr>
                <w:rFonts w:hint="eastAsia" w:ascii="Times New Roman" w:hAnsi="Times New Roman" w:cs="Times New Roman"/>
                <w:snapToGrid w:val="0"/>
                <w:color w:val="auto"/>
                <w:sz w:val="28"/>
                <w:szCs w:val="28"/>
                <w:highlight w:val="none"/>
              </w:rPr>
              <w:t>经济开发区建设管理局</w:t>
            </w:r>
            <w:r>
              <w:rPr>
                <w:rFonts w:hint="eastAsia" w:cs="Times New Roman"/>
                <w:snapToGrid w:val="0"/>
                <w:color w:val="auto"/>
                <w:sz w:val="28"/>
                <w:szCs w:val="28"/>
                <w:highlight w:val="none"/>
                <w:lang w:eastAsia="zh-CN"/>
              </w:rPr>
              <w:t>（生态环境管理办公室）</w:t>
            </w:r>
            <w:r>
              <w:rPr>
                <w:rFonts w:hint="eastAsia" w:ascii="Times New Roman" w:hAnsi="Times New Roman" w:cs="Times New Roman"/>
                <w:snapToGrid w:val="0"/>
                <w:color w:val="auto"/>
                <w:sz w:val="28"/>
                <w:szCs w:val="28"/>
                <w:highlight w:val="none"/>
              </w:rPr>
              <w:t>，鄂尔多斯市生态环境综合行政执法支队，鄂尔多斯市生态环境局综合保障中心</w:t>
            </w:r>
            <w:r>
              <w:rPr>
                <w:rFonts w:hint="eastAsia" w:ascii="Times New Roman" w:hAnsi="Times New Roman" w:cs="Times New Roman"/>
                <w:snapToGrid w:val="0"/>
                <w:color w:val="auto"/>
                <w:sz w:val="28"/>
                <w:szCs w:val="28"/>
                <w:highlight w:val="none"/>
                <w:lang w:eastAsia="zh-CN"/>
              </w:rPr>
              <w:t>，</w:t>
            </w:r>
            <w:r>
              <w:rPr>
                <w:rFonts w:hint="default" w:ascii="Times New Roman" w:hAnsi="Times New Roman" w:cs="Times New Roman"/>
                <w:snapToGrid w:val="0"/>
                <w:color w:val="auto"/>
                <w:sz w:val="28"/>
                <w:szCs w:val="28"/>
                <w:highlight w:val="none"/>
              </w:rPr>
              <w:t>内蒙古信中生态环境技术有限公司</w:t>
            </w:r>
            <w:r>
              <w:rPr>
                <w:rFonts w:hint="eastAsia" w:ascii="Times New Roman" w:hAnsi="Times New Roman" w:cs="Times New Roman"/>
                <w:snapToGrid w:val="0"/>
                <w:color w:val="auto"/>
                <w:sz w:val="28"/>
                <w:szCs w:val="28"/>
                <w:highlight w:val="none"/>
              </w:rPr>
              <w:t>。</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83" w:hRule="atLeast"/>
        </w:trPr>
        <w:tc>
          <w:tcPr>
            <w:tcW w:w="8336" w:type="dxa"/>
            <w:tcBorders>
              <w:top w:val="single" w:color="000000" w:sz="2" w:space="0"/>
              <w:bottom w:val="single" w:color="000000" w:sz="2" w:space="0"/>
            </w:tcBorders>
          </w:tcPr>
          <w:p>
            <w:pPr>
              <w:spacing w:line="440" w:lineRule="exact"/>
              <w:ind w:left="86" w:leftChars="27" w:firstLine="0" w:firstLineChars="0"/>
              <w:rPr>
                <w:rFonts w:hint="eastAsia" w:ascii="Times New Roman" w:hAnsi="Times New Roman" w:cs="Times New Roman"/>
                <w:snapToGrid w:val="0"/>
                <w:color w:val="auto"/>
                <w:sz w:val="28"/>
                <w:szCs w:val="28"/>
                <w:highlight w:val="none"/>
              </w:rPr>
            </w:pPr>
            <w:r>
              <w:rPr>
                <w:rFonts w:hint="eastAsia" w:ascii="Times New Roman" w:hAnsi="Times New Roman" w:cs="Times New Roman"/>
                <w:snapToGrid w:val="0"/>
                <w:color w:val="auto"/>
                <w:sz w:val="28"/>
                <w:szCs w:val="28"/>
                <w:highlight w:val="none"/>
              </w:rPr>
              <w:t xml:space="preserve">鄂尔多斯市生态环境局                </w:t>
            </w:r>
            <w:r>
              <w:rPr>
                <w:rFonts w:hint="eastAsia" w:ascii="Times New Roman" w:hAnsi="Times New Roman" w:cs="Times New Roman"/>
                <w:snapToGrid w:val="0"/>
                <w:color w:val="auto"/>
                <w:sz w:val="28"/>
                <w:szCs w:val="28"/>
                <w:highlight w:val="none"/>
                <w:lang w:val="en-US" w:eastAsia="zh-CN"/>
              </w:rPr>
              <w:t xml:space="preserve">  </w:t>
            </w:r>
            <w:r>
              <w:rPr>
                <w:rFonts w:hint="eastAsia" w:ascii="Times New Roman" w:hAnsi="Times New Roman" w:cs="Times New Roman"/>
                <w:snapToGrid w:val="0"/>
                <w:color w:val="auto"/>
                <w:sz w:val="28"/>
                <w:szCs w:val="28"/>
                <w:highlight w:val="none"/>
              </w:rPr>
              <w:t xml:space="preserve"> 202</w:t>
            </w:r>
            <w:r>
              <w:rPr>
                <w:rFonts w:hint="eastAsia" w:ascii="Times New Roman" w:hAnsi="Times New Roman" w:cs="Times New Roman"/>
                <w:snapToGrid w:val="0"/>
                <w:color w:val="auto"/>
                <w:sz w:val="28"/>
                <w:szCs w:val="28"/>
                <w:highlight w:val="none"/>
                <w:lang w:val="en-US" w:eastAsia="zh-CN"/>
              </w:rPr>
              <w:t>3</w:t>
            </w:r>
            <w:r>
              <w:rPr>
                <w:rFonts w:hint="eastAsia" w:ascii="Times New Roman" w:hAnsi="Times New Roman" w:cs="Times New Roman"/>
                <w:snapToGrid w:val="0"/>
                <w:color w:val="auto"/>
                <w:sz w:val="28"/>
                <w:szCs w:val="28"/>
                <w:highlight w:val="none"/>
              </w:rPr>
              <w:t>年</w:t>
            </w:r>
            <w:r>
              <w:rPr>
                <w:rFonts w:hint="eastAsia" w:cs="Times New Roman"/>
                <w:snapToGrid w:val="0"/>
                <w:color w:val="auto"/>
                <w:sz w:val="28"/>
                <w:szCs w:val="28"/>
                <w:highlight w:val="none"/>
                <w:lang w:val="en-US" w:eastAsia="zh-CN"/>
              </w:rPr>
              <w:t>2</w:t>
            </w:r>
            <w:r>
              <w:rPr>
                <w:rFonts w:hint="eastAsia" w:ascii="Times New Roman" w:hAnsi="Times New Roman" w:cs="Times New Roman"/>
                <w:snapToGrid w:val="0"/>
                <w:color w:val="auto"/>
                <w:sz w:val="28"/>
                <w:szCs w:val="28"/>
                <w:highlight w:val="none"/>
              </w:rPr>
              <w:t>月</w:t>
            </w:r>
            <w:r>
              <w:rPr>
                <w:rFonts w:hint="eastAsia" w:cs="Times New Roman"/>
                <w:snapToGrid w:val="0"/>
                <w:color w:val="auto"/>
                <w:sz w:val="28"/>
                <w:szCs w:val="28"/>
                <w:highlight w:val="none"/>
                <w:lang w:val="en-US" w:eastAsia="zh-CN"/>
              </w:rPr>
              <w:t>10</w:t>
            </w:r>
            <w:r>
              <w:rPr>
                <w:rFonts w:hint="eastAsia" w:ascii="Times New Roman" w:hAnsi="Times New Roman" w:cs="Times New Roman"/>
                <w:snapToGrid w:val="0"/>
                <w:color w:val="auto"/>
                <w:sz w:val="28"/>
                <w:szCs w:val="28"/>
                <w:highlight w:val="none"/>
              </w:rPr>
              <w:t>日印发</w:t>
            </w:r>
          </w:p>
        </w:tc>
      </w:tr>
    </w:tbl>
    <w:p>
      <w:pPr>
        <w:ind w:left="0" w:leftChars="0" w:firstLine="0" w:firstLineChars="0"/>
        <w:jc w:val="both"/>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Q5OWQxM2NlNTU3ZjA0ZjkzODUyMmVlYWVlMDVjZmMifQ=="/>
  </w:docVars>
  <w:rsids>
    <w:rsidRoot w:val="00805F8E"/>
    <w:rsid w:val="002A5198"/>
    <w:rsid w:val="003160F5"/>
    <w:rsid w:val="00805F8E"/>
    <w:rsid w:val="00967D21"/>
    <w:rsid w:val="02F0072B"/>
    <w:rsid w:val="03D441BD"/>
    <w:rsid w:val="054134E6"/>
    <w:rsid w:val="0E2826F4"/>
    <w:rsid w:val="1CB73919"/>
    <w:rsid w:val="20B241EF"/>
    <w:rsid w:val="27EB9E2B"/>
    <w:rsid w:val="296A6FA2"/>
    <w:rsid w:val="2FF78B5C"/>
    <w:rsid w:val="30F66B62"/>
    <w:rsid w:val="3A38137E"/>
    <w:rsid w:val="3FDF8216"/>
    <w:rsid w:val="417C36D1"/>
    <w:rsid w:val="4604665E"/>
    <w:rsid w:val="4668577A"/>
    <w:rsid w:val="4A5F6E22"/>
    <w:rsid w:val="51DD5CA7"/>
    <w:rsid w:val="53352446"/>
    <w:rsid w:val="54D45DB6"/>
    <w:rsid w:val="56ED43AB"/>
    <w:rsid w:val="57F55A4A"/>
    <w:rsid w:val="5AB079A9"/>
    <w:rsid w:val="5FEF99C5"/>
    <w:rsid w:val="675555ED"/>
    <w:rsid w:val="6FCC5BB0"/>
    <w:rsid w:val="74A018B8"/>
    <w:rsid w:val="7AE6171D"/>
    <w:rsid w:val="7BF23095"/>
    <w:rsid w:val="C7FF11B0"/>
    <w:rsid w:val="ED7F64C0"/>
    <w:rsid w:val="EDFD058D"/>
    <w:rsid w:val="FA9F7D9D"/>
    <w:rsid w:val="FF4FDFE8"/>
    <w:rsid w:val="FF6E4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6"/>
    <w:semiHidden/>
    <w:unhideWhenUsed/>
    <w:qFormat/>
    <w:uiPriority w:val="99"/>
    <w:pPr>
      <w:ind w:firstLine="420"/>
    </w:pPr>
  </w:style>
  <w:style w:type="paragraph" w:styleId="3">
    <w:name w:val="Body Text Indent"/>
    <w:basedOn w:val="1"/>
    <w:next w:val="1"/>
    <w:link w:val="15"/>
    <w:semiHidden/>
    <w:unhideWhenUsed/>
    <w:qFormat/>
    <w:uiPriority w:val="99"/>
    <w:pPr>
      <w:spacing w:after="120"/>
      <w:ind w:left="420" w:leftChars="200"/>
    </w:pPr>
  </w:style>
  <w:style w:type="paragraph" w:styleId="4">
    <w:name w:val="Normal Indent"/>
    <w:basedOn w:val="1"/>
    <w:next w:val="2"/>
    <w:link w:val="14"/>
    <w:qFormat/>
    <w:uiPriority w:val="0"/>
    <w:rPr>
      <w:rFonts w:asciiTheme="minorHAnsi" w:hAnsiTheme="minorHAnsi" w:cstheme="minorBidi"/>
    </w:rPr>
  </w:style>
  <w:style w:type="paragraph" w:styleId="5">
    <w:name w:val="Body Text"/>
    <w:basedOn w:val="1"/>
    <w:qFormat/>
    <w:uiPriority w:val="0"/>
    <w:pPr>
      <w:spacing w:after="120" w:afterLines="0" w:afterAutospacing="0"/>
    </w:pPr>
    <w:rPr>
      <w:rFonts w:ascii="Times New Roman" w:hAnsi="Times New Roman" w:eastAsia="宋体" w:cs="Times New Roman"/>
    </w:rPr>
  </w:style>
  <w:style w:type="paragraph" w:styleId="6">
    <w:name w:val="Date"/>
    <w:basedOn w:val="1"/>
    <w:next w:val="1"/>
    <w:link w:val="17"/>
    <w:semiHidden/>
    <w:unhideWhenUsed/>
    <w:qFormat/>
    <w:uiPriority w:val="99"/>
    <w:pPr>
      <w:ind w:left="100" w:leftChars="2500"/>
    </w:pPr>
  </w:style>
  <w:style w:type="paragraph" w:styleId="7">
    <w:name w:val="footer"/>
    <w:basedOn w:val="1"/>
    <w:next w:val="1"/>
    <w:semiHidden/>
    <w:unhideWhenUsed/>
    <w:qFormat/>
    <w:uiPriority w:val="99"/>
    <w:pPr>
      <w:tabs>
        <w:tab w:val="center" w:pos="4153"/>
        <w:tab w:val="right" w:pos="8306"/>
      </w:tabs>
      <w:snapToGrid w:val="0"/>
      <w:jc w:val="left"/>
    </w:pPr>
    <w:rPr>
      <w:sz w:val="18"/>
    </w:rPr>
  </w:style>
  <w:style w:type="paragraph" w:styleId="8">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Body Text First Indent"/>
    <w:basedOn w:val="5"/>
    <w:next w:val="1"/>
    <w:qFormat/>
    <w:uiPriority w:val="0"/>
    <w:pPr>
      <w:ind w:firstLine="420" w:firstLineChars="100"/>
    </w:pPr>
  </w:style>
  <w:style w:type="paragraph" w:customStyle="1" w:styleId="13">
    <w:name w:val="样式 正文文本缩进 + 行距: 1.5 倍行距"/>
    <w:basedOn w:val="1"/>
    <w:qFormat/>
    <w:uiPriority w:val="0"/>
    <w:pPr>
      <w:spacing w:after="120" w:line="360" w:lineRule="auto"/>
      <w:ind w:left="90" w:leftChars="32" w:firstLine="560" w:firstLineChars="200"/>
    </w:pPr>
    <w:rPr>
      <w:rFonts w:cs="宋体"/>
    </w:rPr>
  </w:style>
  <w:style w:type="character" w:customStyle="1" w:styleId="14">
    <w:name w:val="正文缩进 字符"/>
    <w:link w:val="4"/>
    <w:qFormat/>
    <w:uiPriority w:val="0"/>
    <w:rPr>
      <w:rFonts w:eastAsia="仿宋_GB2312"/>
      <w:sz w:val="32"/>
      <w:szCs w:val="24"/>
    </w:rPr>
  </w:style>
  <w:style w:type="character" w:customStyle="1" w:styleId="15">
    <w:name w:val="正文文本缩进 字符"/>
    <w:basedOn w:val="12"/>
    <w:link w:val="3"/>
    <w:semiHidden/>
    <w:qFormat/>
    <w:uiPriority w:val="99"/>
    <w:rPr>
      <w:rFonts w:ascii="Times New Roman" w:hAnsi="Times New Roman" w:eastAsia="仿宋_GB2312" w:cs="Times New Roman"/>
      <w:sz w:val="32"/>
      <w:szCs w:val="24"/>
    </w:rPr>
  </w:style>
  <w:style w:type="character" w:customStyle="1" w:styleId="16">
    <w:name w:val="正文文本首行缩进 2 字符"/>
    <w:basedOn w:val="15"/>
    <w:link w:val="2"/>
    <w:semiHidden/>
    <w:qFormat/>
    <w:uiPriority w:val="99"/>
    <w:rPr>
      <w:rFonts w:ascii="Times New Roman" w:hAnsi="Times New Roman" w:eastAsia="仿宋_GB2312" w:cs="Times New Roman"/>
      <w:sz w:val="32"/>
      <w:szCs w:val="24"/>
    </w:rPr>
  </w:style>
  <w:style w:type="character" w:customStyle="1" w:styleId="17">
    <w:name w:val="日期 字符"/>
    <w:basedOn w:val="12"/>
    <w:link w:val="6"/>
    <w:semiHidden/>
    <w:qFormat/>
    <w:uiPriority w:val="99"/>
    <w:rPr>
      <w:rFonts w:ascii="Times New Roman" w:hAnsi="Times New Roman" w:eastAsia="仿宋_GB2312" w:cs="Times New Roman"/>
      <w:sz w:val="32"/>
      <w:szCs w:val="24"/>
    </w:rPr>
  </w:style>
  <w:style w:type="table" w:customStyle="1" w:styleId="18">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 w:type="paragraph" w:customStyle="1" w:styleId="19">
    <w:name w:val="111111正文"/>
    <w:basedOn w:val="1"/>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1727</Words>
  <Characters>1826</Characters>
  <Lines>14</Lines>
  <Paragraphs>4</Paragraphs>
  <TotalTime>13</TotalTime>
  <ScaleCrop>false</ScaleCrop>
  <LinksUpToDate>false</LinksUpToDate>
  <CharactersWithSpaces>1848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2022-09-08T17:22:00Z</dcterms:created>
  <dc:creator>微软用户</dc:creator>
  <cp:lastModifiedBy>Administrator</cp:lastModifiedBy>
  <cp:lastPrinted>2023-01-18T08:26:00Z</cp:lastPrinted>
  <dcterms:modified xsi:type="dcterms:W3CDTF">2023-03-16T07:19:43Z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EDC21A93219A440295523BC2D3A6A162</vt:lpwstr>
  </property>
</Properties>
</file>