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Lines w:val="0"/>
        <w:pageBreakBefore w:val="0"/>
        <w:widowControl w:val="0"/>
        <w:tabs>
          <w:tab w:val="left" w:pos="8280"/>
        </w:tabs>
        <w:kinsoku/>
        <w:wordWrap/>
        <w:overflowPunct/>
        <w:topLinePunct w:val="0"/>
        <w:autoSpaceDE/>
        <w:autoSpaceDN/>
        <w:bidi w:val="0"/>
        <w:adjustRightInd/>
        <w:snapToGrid/>
        <w:spacing w:line="600" w:lineRule="exact"/>
        <w:ind w:right="26" w:firstLine="0" w:firstLineChars="0"/>
        <w:jc w:val="right"/>
        <w:textAlignment w:val="auto"/>
        <w:rPr>
          <w:rFonts w:hint="default" w:ascii="Times New Roman" w:hAnsi="Times New Roman" w:eastAsia="仿宋" w:cs="Times New Roman"/>
          <w:color w:val="000000"/>
        </w:rPr>
      </w:pPr>
    </w:p>
    <w:p>
      <w:pPr>
        <w:pStyle w:val="2"/>
        <w:keepLines w:val="0"/>
        <w:pageBreakBefore w:val="0"/>
        <w:widowControl w:val="0"/>
        <w:kinsoku/>
        <w:wordWrap/>
        <w:overflowPunct/>
        <w:topLinePunct w:val="0"/>
        <w:autoSpaceDE/>
        <w:autoSpaceDN/>
        <w:bidi w:val="0"/>
        <w:adjustRightInd/>
        <w:snapToGrid/>
        <w:spacing w:line="600" w:lineRule="exact"/>
        <w:ind w:left="640"/>
        <w:textAlignment w:val="auto"/>
        <w:rPr>
          <w:rFonts w:hint="default" w:ascii="Times New Roman" w:hAnsi="Times New Roman" w:eastAsia="仿宋" w:cs="Times New Roman"/>
          <w:color w:val="000000"/>
        </w:rPr>
      </w:pPr>
    </w:p>
    <w:p>
      <w:pPr>
        <w:pStyle w:val="2"/>
        <w:keepLines w:val="0"/>
        <w:pageBreakBefore w:val="0"/>
        <w:widowControl w:val="0"/>
        <w:kinsoku/>
        <w:wordWrap/>
        <w:overflowPunct/>
        <w:topLinePunct w:val="0"/>
        <w:autoSpaceDE/>
        <w:autoSpaceDN/>
        <w:bidi w:val="0"/>
        <w:adjustRightInd/>
        <w:snapToGrid/>
        <w:spacing w:line="600" w:lineRule="exact"/>
        <w:ind w:left="640"/>
        <w:textAlignment w:val="auto"/>
        <w:rPr>
          <w:rFonts w:hint="default" w:ascii="Times New Roman" w:hAnsi="Times New Roman" w:eastAsia="仿宋" w:cs="Times New Roman"/>
          <w:color w:val="000000"/>
        </w:rPr>
      </w:pPr>
    </w:p>
    <w:p>
      <w:pPr>
        <w:pStyle w:val="2"/>
        <w:keepLines w:val="0"/>
        <w:pageBreakBefore w:val="0"/>
        <w:widowControl w:val="0"/>
        <w:kinsoku/>
        <w:wordWrap/>
        <w:overflowPunct/>
        <w:topLinePunct w:val="0"/>
        <w:autoSpaceDE/>
        <w:autoSpaceDN/>
        <w:bidi w:val="0"/>
        <w:adjustRightInd/>
        <w:snapToGrid/>
        <w:spacing w:line="600" w:lineRule="exact"/>
        <w:ind w:left="640"/>
        <w:textAlignment w:val="auto"/>
        <w:rPr>
          <w:rFonts w:hint="default" w:ascii="Times New Roman" w:hAnsi="Times New Roman" w:eastAsia="仿宋" w:cs="Times New Roman"/>
          <w:color w:val="000000"/>
        </w:rPr>
      </w:pPr>
    </w:p>
    <w:p>
      <w:pPr>
        <w:pStyle w:val="2"/>
        <w:keepLines w:val="0"/>
        <w:pageBreakBefore w:val="0"/>
        <w:widowControl w:val="0"/>
        <w:kinsoku/>
        <w:wordWrap/>
        <w:overflowPunct/>
        <w:topLinePunct w:val="0"/>
        <w:autoSpaceDE/>
        <w:autoSpaceDN/>
        <w:bidi w:val="0"/>
        <w:adjustRightInd/>
        <w:snapToGrid/>
        <w:spacing w:line="600" w:lineRule="exact"/>
        <w:ind w:left="640"/>
        <w:textAlignment w:val="auto"/>
        <w:rPr>
          <w:rFonts w:hint="default" w:ascii="Times New Roman" w:hAnsi="Times New Roman" w:eastAsia="仿宋" w:cs="Times New Roman"/>
          <w:color w:val="000000"/>
        </w:rPr>
      </w:pPr>
    </w:p>
    <w:p>
      <w:pPr>
        <w:pStyle w:val="2"/>
        <w:keepLines w:val="0"/>
        <w:pageBreakBefore w:val="0"/>
        <w:widowControl w:val="0"/>
        <w:kinsoku/>
        <w:wordWrap/>
        <w:overflowPunct/>
        <w:topLinePunct w:val="0"/>
        <w:autoSpaceDE/>
        <w:autoSpaceDN/>
        <w:bidi w:val="0"/>
        <w:adjustRightInd/>
        <w:snapToGrid/>
        <w:spacing w:line="600" w:lineRule="exact"/>
        <w:ind w:left="0" w:leftChars="0" w:firstLine="0" w:firstLineChars="0"/>
        <w:textAlignment w:val="auto"/>
        <w:rPr>
          <w:rFonts w:hint="default" w:ascii="Times New Roman" w:hAnsi="Times New Roman" w:eastAsia="仿宋" w:cs="Times New Roman"/>
          <w:color w:val="000000"/>
        </w:rPr>
      </w:pPr>
    </w:p>
    <w:p>
      <w:pPr>
        <w:pStyle w:val="4"/>
        <w:keepLines w:val="0"/>
        <w:pageBreakBefore w:val="0"/>
        <w:widowControl w:val="0"/>
        <w:kinsoku/>
        <w:wordWrap/>
        <w:overflowPunct/>
        <w:topLinePunct w:val="0"/>
        <w:autoSpaceDE/>
        <w:autoSpaceDN/>
        <w:bidi w:val="0"/>
        <w:adjustRightInd/>
        <w:snapToGrid/>
        <w:spacing w:line="600" w:lineRule="exact"/>
        <w:textAlignment w:val="auto"/>
        <w:rPr>
          <w:rFonts w:hint="default"/>
        </w:rPr>
      </w:pPr>
    </w:p>
    <w:p>
      <w:pPr>
        <w:pStyle w:val="2"/>
        <w:keepLines w:val="0"/>
        <w:pageBreakBefore w:val="0"/>
        <w:widowControl w:val="0"/>
        <w:kinsoku/>
        <w:wordWrap/>
        <w:overflowPunct/>
        <w:topLinePunct w:val="0"/>
        <w:autoSpaceDE/>
        <w:autoSpaceDN/>
        <w:bidi w:val="0"/>
        <w:adjustRightInd/>
        <w:snapToGrid/>
        <w:spacing w:after="0" w:line="600" w:lineRule="exact"/>
        <w:ind w:left="0" w:leftChars="0" w:firstLine="0" w:firstLineChars="0"/>
        <w:textAlignment w:val="auto"/>
        <w:rPr>
          <w:rFonts w:hint="default" w:ascii="Times New Roman" w:hAnsi="Times New Roman" w:eastAsia="仿宋" w:cs="Times New Roman"/>
          <w:color w:val="000000"/>
        </w:rPr>
      </w:pPr>
    </w:p>
    <w:p>
      <w:pPr>
        <w:tabs>
          <w:tab w:val="left" w:pos="8280"/>
        </w:tabs>
        <w:spacing w:line="560" w:lineRule="exact"/>
        <w:ind w:right="26" w:firstLine="0" w:firstLineChars="0"/>
        <w:jc w:val="center"/>
        <w:rPr>
          <w:rFonts w:hint="default" w:ascii="Times New Roman" w:hAnsi="Times New Roman" w:eastAsia="仿宋" w:cs="Times New Roman"/>
          <w:color w:val="000000"/>
          <w:highlight w:val="none"/>
        </w:rPr>
      </w:pPr>
      <w:r>
        <w:rPr>
          <w:rFonts w:hint="default" w:ascii="Times New Roman" w:hAnsi="Times New Roman" w:eastAsia="仿宋" w:cs="Times New Roman"/>
          <w:color w:val="000000"/>
          <w:highlight w:val="none"/>
        </w:rPr>
        <w:t>鄂环审字</w:t>
      </w:r>
      <w:bookmarkStart w:id="0" w:name="_Hlk110486633"/>
      <w:r>
        <w:rPr>
          <w:rFonts w:hint="default" w:ascii="Times New Roman" w:hAnsi="Times New Roman" w:eastAsia="仿宋" w:cs="Times New Roman"/>
          <w:color w:val="000000"/>
          <w:highlight w:val="none"/>
        </w:rPr>
        <w:t>〔202</w:t>
      </w:r>
      <w:r>
        <w:rPr>
          <w:rFonts w:hint="eastAsia" w:ascii="Times New Roman" w:hAnsi="Times New Roman" w:eastAsia="仿宋" w:cs="Times New Roman"/>
          <w:color w:val="000000"/>
          <w:highlight w:val="none"/>
          <w:lang w:val="en-US" w:eastAsia="zh-CN"/>
        </w:rPr>
        <w:t>3</w:t>
      </w:r>
      <w:r>
        <w:rPr>
          <w:rFonts w:hint="default" w:ascii="Times New Roman" w:hAnsi="Times New Roman" w:eastAsia="仿宋" w:cs="Times New Roman"/>
          <w:color w:val="000000"/>
          <w:highlight w:val="none"/>
        </w:rPr>
        <w:t>〕</w:t>
      </w:r>
      <w:bookmarkEnd w:id="0"/>
      <w:r>
        <w:rPr>
          <w:rFonts w:hint="eastAsia" w:ascii="Times New Roman" w:hAnsi="Times New Roman" w:eastAsia="仿宋" w:cs="Times New Roman"/>
          <w:color w:val="000000"/>
          <w:highlight w:val="none"/>
          <w:lang w:val="en-US" w:eastAsia="zh-CN"/>
        </w:rPr>
        <w:t>22</w:t>
      </w:r>
      <w:r>
        <w:rPr>
          <w:rFonts w:hint="default" w:ascii="Times New Roman" w:hAnsi="Times New Roman" w:eastAsia="仿宋" w:cs="Times New Roman"/>
          <w:color w:val="000000"/>
          <w:highlight w:val="none"/>
        </w:rPr>
        <w:t>号</w:t>
      </w:r>
    </w:p>
    <w:p>
      <w:pPr>
        <w:tabs>
          <w:tab w:val="left" w:pos="6780"/>
        </w:tabs>
        <w:spacing w:line="560" w:lineRule="exact"/>
        <w:ind w:firstLine="0" w:firstLineChars="0"/>
        <w:jc w:val="center"/>
        <w:rPr>
          <w:rFonts w:hint="default" w:ascii="Times New Roman" w:hAnsi="Times New Roman" w:eastAsia="仿宋" w:cs="Times New Roman"/>
          <w:b/>
          <w:color w:val="000000"/>
          <w:sz w:val="36"/>
          <w:szCs w:val="36"/>
        </w:rPr>
      </w:pPr>
    </w:p>
    <w:p>
      <w:pPr>
        <w:spacing w:line="560" w:lineRule="exact"/>
        <w:ind w:firstLine="0" w:firstLineChars="0"/>
        <w:jc w:val="center"/>
        <w:rPr>
          <w:rFonts w:hint="default" w:ascii="Times New Roman" w:hAnsi="Times New Roman" w:eastAsia="宋体" w:cs="Times New Roman"/>
          <w:b/>
          <w:color w:val="000000"/>
          <w:sz w:val="44"/>
          <w:szCs w:val="44"/>
        </w:rPr>
      </w:pPr>
      <w:r>
        <w:rPr>
          <w:rFonts w:hint="default" w:ascii="Times New Roman" w:hAnsi="Times New Roman" w:eastAsia="宋体" w:cs="Times New Roman"/>
          <w:b/>
          <w:color w:val="000000"/>
          <w:w w:val="95"/>
          <w:sz w:val="44"/>
          <w:szCs w:val="44"/>
        </w:rPr>
        <w:t>鄂尔多斯市生态环境局关</w:t>
      </w:r>
      <w:r>
        <w:rPr>
          <w:rFonts w:hint="default" w:ascii="Times New Roman" w:hAnsi="Times New Roman" w:eastAsia="宋体" w:cs="Times New Roman"/>
          <w:b/>
          <w:color w:val="000000"/>
          <w:sz w:val="44"/>
          <w:szCs w:val="44"/>
        </w:rPr>
        <w:t>于</w:t>
      </w:r>
    </w:p>
    <w:p>
      <w:pPr>
        <w:spacing w:line="560" w:lineRule="exact"/>
        <w:ind w:firstLine="0" w:firstLineChars="0"/>
        <w:jc w:val="center"/>
        <w:rPr>
          <w:rFonts w:hint="default" w:ascii="Times New Roman" w:hAnsi="Times New Roman" w:eastAsia="宋体" w:cs="Times New Roman"/>
          <w:b/>
          <w:color w:val="000000"/>
          <w:sz w:val="44"/>
          <w:szCs w:val="44"/>
        </w:rPr>
      </w:pPr>
      <w:r>
        <w:rPr>
          <w:rFonts w:hint="default" w:ascii="Times New Roman" w:hAnsi="Times New Roman" w:eastAsia="宋体" w:cs="Times New Roman"/>
          <w:b/>
          <w:color w:val="000000"/>
          <w:sz w:val="44"/>
          <w:szCs w:val="44"/>
        </w:rPr>
        <w:t>准格尔旗准格尔召乡碾房塔纳林沟煤矿</w:t>
      </w:r>
    </w:p>
    <w:p>
      <w:pPr>
        <w:spacing w:line="560" w:lineRule="exact"/>
        <w:ind w:firstLine="0" w:firstLineChars="0"/>
        <w:jc w:val="center"/>
        <w:rPr>
          <w:rFonts w:hint="default" w:ascii="Times New Roman" w:hAnsi="Times New Roman" w:eastAsia="宋体" w:cs="Times New Roman"/>
          <w:b/>
          <w:color w:val="000000"/>
          <w:sz w:val="44"/>
          <w:szCs w:val="44"/>
        </w:rPr>
      </w:pPr>
      <w:r>
        <w:rPr>
          <w:rFonts w:hint="default" w:ascii="Times New Roman" w:hAnsi="Times New Roman" w:eastAsia="宋体" w:cs="Times New Roman"/>
          <w:b/>
          <w:color w:val="000000"/>
          <w:sz w:val="44"/>
          <w:szCs w:val="44"/>
        </w:rPr>
        <w:t>有限公司露天煤矿（30万吨/年）整合工程</w:t>
      </w:r>
    </w:p>
    <w:p>
      <w:pPr>
        <w:spacing w:line="560" w:lineRule="exact"/>
        <w:ind w:firstLine="0" w:firstLineChars="0"/>
        <w:jc w:val="center"/>
        <w:rPr>
          <w:rFonts w:hint="default" w:ascii="Times New Roman" w:hAnsi="Times New Roman" w:eastAsia="宋体" w:cs="Times New Roman"/>
          <w:b/>
          <w:color w:val="000000"/>
          <w:w w:val="95"/>
          <w:sz w:val="44"/>
          <w:szCs w:val="44"/>
        </w:rPr>
      </w:pPr>
      <w:r>
        <w:rPr>
          <w:rFonts w:hint="default" w:ascii="Times New Roman" w:hAnsi="Times New Roman" w:eastAsia="宋体" w:cs="Times New Roman"/>
          <w:b/>
          <w:color w:val="000000"/>
          <w:sz w:val="44"/>
          <w:szCs w:val="44"/>
        </w:rPr>
        <w:t>变更环境影响报告书</w:t>
      </w:r>
      <w:r>
        <w:rPr>
          <w:rFonts w:hint="default" w:ascii="Times New Roman" w:hAnsi="Times New Roman" w:eastAsia="宋体" w:cs="Times New Roman"/>
          <w:b/>
          <w:color w:val="000000"/>
          <w:w w:val="95"/>
          <w:sz w:val="44"/>
          <w:szCs w:val="44"/>
        </w:rPr>
        <w:t>的批复</w:t>
      </w:r>
    </w:p>
    <w:p>
      <w:pPr>
        <w:spacing w:line="560" w:lineRule="exact"/>
        <w:ind w:firstLine="0" w:firstLineChars="0"/>
        <w:jc w:val="center"/>
        <w:rPr>
          <w:rFonts w:hint="default" w:ascii="Times New Roman" w:hAnsi="Times New Roman" w:eastAsia="宋体" w:cs="Times New Roman"/>
          <w:b/>
          <w:color w:val="000000"/>
          <w:w w:val="95"/>
          <w:sz w:val="44"/>
          <w:szCs w:val="44"/>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准格尔旗准格尔召乡碾房塔纳林沟煤矿有限公司：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szCs w:val="32"/>
        </w:rPr>
        <w:t>你</w:t>
      </w:r>
      <w:r>
        <w:rPr>
          <w:rFonts w:hint="default" w:ascii="Times New Roman" w:hAnsi="Times New Roman" w:eastAsia="仿宋_GB2312" w:cs="Times New Roman"/>
          <w:color w:val="000000"/>
          <w:szCs w:val="32"/>
          <w:lang w:eastAsia="zh-CN"/>
        </w:rPr>
        <w:t>单位</w:t>
      </w:r>
      <w:r>
        <w:rPr>
          <w:rFonts w:hint="default" w:ascii="Times New Roman" w:hAnsi="Times New Roman" w:eastAsia="仿宋_GB2312" w:cs="Times New Roman"/>
          <w:color w:val="000000"/>
          <w:szCs w:val="32"/>
        </w:rPr>
        <w:t>报送的由内蒙古新仕界项目管理有限公司编制的《</w:t>
      </w:r>
      <w:r>
        <w:rPr>
          <w:rFonts w:hint="eastAsia" w:ascii="Times New Roman" w:hAnsi="Times New Roman" w:eastAsia="仿宋_GB2312" w:cs="Times New Roman"/>
          <w:color w:val="auto"/>
          <w:kern w:val="0"/>
          <w:sz w:val="32"/>
          <w:szCs w:val="32"/>
        </w:rPr>
        <w:t>准格尔旗准格尔召乡碾房塔纳林沟煤矿有限公司露天煤矿（30万吨/年）整合工程变更环境影响报告书</w:t>
      </w:r>
      <w:r>
        <w:rPr>
          <w:rFonts w:hint="default" w:ascii="Times New Roman" w:hAnsi="Times New Roman" w:eastAsia="仿宋_GB2312" w:cs="Times New Roman"/>
          <w:color w:val="000000"/>
          <w:szCs w:val="32"/>
        </w:rPr>
        <w:t>》（以下简称《</w:t>
      </w:r>
      <w:r>
        <w:rPr>
          <w:rFonts w:hint="default" w:ascii="Times New Roman" w:hAnsi="Times New Roman" w:eastAsia="仿宋_GB2312" w:cs="Times New Roman"/>
          <w:color w:val="000000"/>
          <w:szCs w:val="32"/>
          <w:lang w:eastAsia="zh-CN"/>
        </w:rPr>
        <w:t>报告书</w:t>
      </w:r>
      <w:r>
        <w:rPr>
          <w:rFonts w:hint="default" w:ascii="Times New Roman" w:hAnsi="Times New Roman" w:eastAsia="仿宋_GB2312" w:cs="Times New Roman"/>
          <w:color w:val="000000"/>
          <w:szCs w:val="32"/>
        </w:rPr>
        <w:t>》）收悉。我局综合保障中心组织专家对该项目进行了技术评估，并形成了技术评估报告，根据《报告书》和《技术评估报告》，经研究，现批复如下：</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cs="Times New Roman"/>
          <w:color w:val="000000"/>
          <w:kern w:val="0"/>
          <w:sz w:val="32"/>
          <w:szCs w:val="32"/>
          <w:lang w:val="en-US" w:eastAsia="zh-CN"/>
        </w:rPr>
        <w:t>一、</w:t>
      </w:r>
      <w:r>
        <w:rPr>
          <w:rFonts w:hint="default" w:ascii="Times New Roman" w:hAnsi="Times New Roman" w:eastAsia="仿宋_GB2312" w:cs="Times New Roman"/>
          <w:color w:val="000000"/>
          <w:kern w:val="0"/>
          <w:sz w:val="32"/>
          <w:szCs w:val="32"/>
        </w:rPr>
        <w:t>本项目位于</w:t>
      </w:r>
      <w:r>
        <w:rPr>
          <w:rFonts w:hint="eastAsia" w:ascii="仿宋_GB2312" w:hAnsi="Times New Roman" w:eastAsia="仿宋_GB2312"/>
          <w:color w:val="auto"/>
          <w:kern w:val="0"/>
          <w:sz w:val="32"/>
          <w:szCs w:val="32"/>
          <w:lang w:val="en-US" w:eastAsia="zh-CN"/>
        </w:rPr>
        <w:t>鄂尔多斯市准格尔旗准格尔召镇</w:t>
      </w:r>
      <w:r>
        <w:rPr>
          <w:rFonts w:hint="eastAsia" w:ascii="Times New Roman" w:hAnsi="Times New Roman" w:cs="Times New Roman"/>
          <w:color w:val="000000"/>
          <w:kern w:val="0"/>
          <w:sz w:val="32"/>
          <w:szCs w:val="32"/>
          <w:lang w:eastAsia="zh-CN"/>
        </w:rPr>
        <w:t>。</w:t>
      </w:r>
      <w:r>
        <w:rPr>
          <w:rFonts w:hint="default" w:ascii="Times New Roman" w:hAnsi="Times New Roman" w:cs="Times New Roman"/>
          <w:color w:val="000000"/>
          <w:kern w:val="0"/>
          <w:sz w:val="32"/>
          <w:szCs w:val="32"/>
          <w:lang w:val="en-US" w:eastAsia="zh-CN"/>
        </w:rPr>
        <w:t>井田</w:t>
      </w:r>
      <w:r>
        <w:rPr>
          <w:rFonts w:hint="default" w:ascii="Times New Roman" w:hAnsi="Times New Roman" w:eastAsia="仿宋_GB2312" w:cs="Times New Roman"/>
          <w:color w:val="000000"/>
          <w:kern w:val="0"/>
          <w:sz w:val="32"/>
          <w:szCs w:val="32"/>
          <w:lang w:val="en-US" w:eastAsia="zh-CN"/>
        </w:rPr>
        <w:t>面积</w:t>
      </w:r>
      <w:r>
        <w:rPr>
          <w:rFonts w:hint="default" w:ascii="Times New Roman" w:hAnsi="Times New Roman" w:cs="Times New Roman"/>
          <w:color w:val="000000"/>
          <w:kern w:val="0"/>
          <w:sz w:val="32"/>
          <w:szCs w:val="32"/>
          <w:lang w:val="en-US" w:eastAsia="zh-CN"/>
        </w:rPr>
        <w:t>为5.3828</w:t>
      </w:r>
      <w:r>
        <w:rPr>
          <w:rFonts w:hint="default" w:ascii="Times New Roman" w:hAnsi="Times New Roman" w:eastAsia="仿宋_GB2312" w:cs="Times New Roman"/>
          <w:color w:val="000000"/>
          <w:kern w:val="0"/>
          <w:sz w:val="32"/>
          <w:szCs w:val="32"/>
          <w:lang w:val="en-US" w:eastAsia="zh-CN"/>
        </w:rPr>
        <w:t>平</w:t>
      </w:r>
      <w:r>
        <w:rPr>
          <w:rFonts w:hint="default" w:ascii="Times New Roman" w:hAnsi="Times New Roman" w:eastAsia="仿宋_GB2312" w:cs="Times New Roman"/>
          <w:color w:val="auto"/>
          <w:kern w:val="0"/>
          <w:sz w:val="32"/>
          <w:szCs w:val="32"/>
          <w:lang w:val="en-US" w:eastAsia="zh-CN"/>
        </w:rPr>
        <w:t>方</w:t>
      </w:r>
      <w:r>
        <w:rPr>
          <w:rFonts w:hint="eastAsia" w:ascii="Times New Roman" w:hAnsi="Times New Roman" w:cs="Times New Roman"/>
          <w:color w:val="auto"/>
          <w:kern w:val="0"/>
          <w:sz w:val="32"/>
          <w:szCs w:val="32"/>
          <w:lang w:val="en-US" w:eastAsia="zh-CN"/>
        </w:rPr>
        <w:t>千米</w:t>
      </w:r>
      <w:r>
        <w:rPr>
          <w:rFonts w:hint="default" w:ascii="Times New Roman" w:hAnsi="Times New Roman" w:eastAsia="仿宋_GB2312" w:cs="Times New Roman"/>
          <w:color w:val="auto"/>
          <w:kern w:val="0"/>
          <w:sz w:val="32"/>
          <w:szCs w:val="32"/>
          <w:lang w:val="en-US" w:eastAsia="zh-CN"/>
        </w:rPr>
        <w:t>，</w:t>
      </w:r>
      <w:r>
        <w:rPr>
          <w:rFonts w:hint="eastAsia" w:ascii="Times New Roman" w:hAnsi="Times New Roman" w:cs="Times New Roman"/>
          <w:color w:val="auto"/>
          <w:kern w:val="0"/>
          <w:sz w:val="32"/>
          <w:szCs w:val="32"/>
          <w:lang w:val="en-US" w:eastAsia="zh-CN"/>
        </w:rPr>
        <w:t>生产规模30万吨/年</w:t>
      </w:r>
      <w:r>
        <w:rPr>
          <w:rFonts w:hint="eastAsia" w:ascii="仿宋_GB2312" w:hAnsi="Times New Roman" w:eastAsia="仿宋_GB2312"/>
          <w:color w:val="auto"/>
          <w:kern w:val="0"/>
          <w:sz w:val="32"/>
          <w:szCs w:val="32"/>
          <w:shd w:val="clear" w:color="auto" w:fill="auto"/>
          <w:lang w:val="en-US" w:eastAsia="zh-CN"/>
        </w:rPr>
        <w:t>采用单斗-汽车开采工艺。</w:t>
      </w:r>
      <w:r>
        <w:rPr>
          <w:rFonts w:hint="default" w:ascii="Times New Roman" w:hAnsi="Times New Roman" w:eastAsia="仿宋_GB2312" w:cs="Times New Roman"/>
          <w:color w:val="000000"/>
          <w:kern w:val="0"/>
          <w:sz w:val="32"/>
          <w:szCs w:val="32"/>
          <w:lang w:val="en-US" w:eastAsia="zh-CN"/>
        </w:rPr>
        <w:t>原内蒙古自治区环境保护局</w:t>
      </w:r>
      <w:r>
        <w:rPr>
          <w:rFonts w:hint="eastAsia" w:ascii="Times New Roman" w:hAnsi="Times New Roman" w:cs="Times New Roman"/>
          <w:color w:val="000000"/>
          <w:kern w:val="0"/>
          <w:sz w:val="32"/>
          <w:szCs w:val="32"/>
          <w:lang w:val="en-US" w:eastAsia="zh-CN"/>
        </w:rPr>
        <w:t>于</w:t>
      </w:r>
      <w:r>
        <w:rPr>
          <w:rFonts w:hint="default" w:ascii="Times New Roman" w:hAnsi="Times New Roman" w:eastAsia="仿宋_GB2312" w:cs="Times New Roman"/>
          <w:color w:val="000000"/>
          <w:kern w:val="0"/>
          <w:sz w:val="32"/>
          <w:szCs w:val="32"/>
          <w:lang w:val="en-US" w:eastAsia="zh-CN"/>
        </w:rPr>
        <w:t>200</w:t>
      </w:r>
      <w:r>
        <w:rPr>
          <w:rFonts w:hint="eastAsia" w:ascii="Times New Roman" w:hAnsi="Times New Roman" w:cs="Times New Roman"/>
          <w:color w:val="000000"/>
          <w:kern w:val="0"/>
          <w:sz w:val="32"/>
          <w:szCs w:val="32"/>
          <w:lang w:val="en-US" w:eastAsia="zh-CN"/>
        </w:rPr>
        <w:t>7</w:t>
      </w:r>
      <w:r>
        <w:rPr>
          <w:rFonts w:hint="default" w:ascii="Times New Roman" w:hAnsi="Times New Roman" w:eastAsia="仿宋_GB2312" w:cs="Times New Roman"/>
          <w:color w:val="000000"/>
          <w:kern w:val="0"/>
          <w:sz w:val="32"/>
          <w:szCs w:val="32"/>
          <w:lang w:val="en-US" w:eastAsia="zh-CN"/>
        </w:rPr>
        <w:t>年</w:t>
      </w:r>
      <w:r>
        <w:rPr>
          <w:rFonts w:hint="eastAsia" w:ascii="Times New Roman" w:hAnsi="Times New Roman" w:cs="Times New Roman"/>
          <w:color w:val="000000"/>
          <w:kern w:val="0"/>
          <w:sz w:val="32"/>
          <w:szCs w:val="32"/>
          <w:lang w:val="en-US" w:eastAsia="zh-CN"/>
        </w:rPr>
        <w:t>2</w:t>
      </w:r>
      <w:r>
        <w:rPr>
          <w:rFonts w:hint="default" w:ascii="Times New Roman" w:hAnsi="Times New Roman" w:eastAsia="仿宋_GB2312" w:cs="Times New Roman"/>
          <w:color w:val="000000"/>
          <w:kern w:val="0"/>
          <w:sz w:val="32"/>
          <w:szCs w:val="32"/>
          <w:lang w:val="en-US" w:eastAsia="zh-CN"/>
        </w:rPr>
        <w:t>月</w:t>
      </w:r>
      <w:r>
        <w:rPr>
          <w:rFonts w:hint="eastAsia" w:ascii="Times New Roman" w:hAnsi="Times New Roman" w:cs="Times New Roman"/>
          <w:color w:val="000000"/>
          <w:kern w:val="0"/>
          <w:sz w:val="32"/>
          <w:szCs w:val="32"/>
          <w:lang w:val="en-US" w:eastAsia="zh-CN"/>
        </w:rPr>
        <w:t>以</w:t>
      </w:r>
      <w:r>
        <w:rPr>
          <w:rFonts w:hint="default" w:ascii="Times New Roman" w:hAnsi="Times New Roman" w:eastAsia="仿宋_GB2312" w:cs="Times New Roman"/>
          <w:color w:val="000000"/>
          <w:kern w:val="0"/>
          <w:sz w:val="32"/>
          <w:szCs w:val="32"/>
          <w:lang w:val="en-US" w:eastAsia="zh-CN"/>
        </w:rPr>
        <w:t>内环字</w:t>
      </w:r>
      <w:r>
        <w:rPr>
          <w:rFonts w:hint="default" w:ascii="Times New Roman" w:hAnsi="Times New Roman" w:eastAsia="仿宋_GB2312" w:cs="Times New Roman"/>
          <w:color w:val="000000"/>
          <w:sz w:val="32"/>
          <w:szCs w:val="32"/>
        </w:rPr>
        <w:t>〔20</w:t>
      </w:r>
      <w:r>
        <w:rPr>
          <w:rFonts w:hint="default" w:ascii="Times New Roman" w:hAnsi="Times New Roman" w:eastAsia="仿宋_GB2312" w:cs="Times New Roman"/>
          <w:color w:val="000000"/>
          <w:sz w:val="32"/>
          <w:szCs w:val="32"/>
          <w:lang w:val="en-US" w:eastAsia="zh-CN"/>
        </w:rPr>
        <w:t>0</w:t>
      </w:r>
      <w:r>
        <w:rPr>
          <w:rFonts w:hint="eastAsia" w:ascii="Times New Roman" w:hAnsi="Times New Roman" w:cs="Times New Roman"/>
          <w:color w:val="000000"/>
          <w:sz w:val="32"/>
          <w:szCs w:val="32"/>
          <w:lang w:val="en-US" w:eastAsia="zh-CN"/>
        </w:rPr>
        <w:t>7</w:t>
      </w:r>
      <w:r>
        <w:rPr>
          <w:rFonts w:hint="default" w:ascii="Times New Roman" w:hAnsi="Times New Roman" w:eastAsia="仿宋_GB2312" w:cs="Times New Roman"/>
          <w:color w:val="000000"/>
          <w:sz w:val="32"/>
          <w:szCs w:val="32"/>
        </w:rPr>
        <w:t>〕</w:t>
      </w:r>
      <w:r>
        <w:rPr>
          <w:rFonts w:hint="eastAsia" w:ascii="Times New Roman" w:hAnsi="Times New Roman" w:cs="Times New Roman"/>
          <w:color w:val="000000"/>
          <w:kern w:val="0"/>
          <w:sz w:val="32"/>
          <w:szCs w:val="32"/>
          <w:lang w:val="en-US" w:eastAsia="zh-CN"/>
        </w:rPr>
        <w:t>61</w:t>
      </w:r>
      <w:r>
        <w:rPr>
          <w:rFonts w:hint="default" w:ascii="Times New Roman" w:hAnsi="Times New Roman" w:eastAsia="仿宋_GB2312" w:cs="Times New Roman"/>
          <w:color w:val="000000"/>
          <w:kern w:val="0"/>
          <w:sz w:val="32"/>
          <w:szCs w:val="32"/>
          <w:lang w:val="en-US" w:eastAsia="zh-CN"/>
        </w:rPr>
        <w:t>号</w:t>
      </w:r>
      <w:r>
        <w:rPr>
          <w:rFonts w:hint="eastAsia" w:ascii="Times New Roman" w:hAnsi="Times New Roman" w:cs="Times New Roman"/>
          <w:color w:val="000000"/>
          <w:kern w:val="0"/>
          <w:sz w:val="32"/>
          <w:szCs w:val="32"/>
          <w:lang w:val="en-US" w:eastAsia="zh-CN"/>
        </w:rPr>
        <w:t>文件批复了</w:t>
      </w:r>
      <w:r>
        <w:rPr>
          <w:rFonts w:hint="eastAsia" w:ascii="仿宋_GB2312" w:hAnsi="Times New Roman" w:eastAsia="仿宋_GB2312"/>
          <w:kern w:val="0"/>
          <w:sz w:val="32"/>
          <w:szCs w:val="32"/>
        </w:rPr>
        <w:t>《</w:t>
      </w:r>
      <w:r>
        <w:rPr>
          <w:rFonts w:hint="eastAsia" w:ascii="仿宋_GB2312" w:hAnsi="Times New Roman" w:eastAsia="仿宋_GB2312"/>
          <w:kern w:val="0"/>
          <w:sz w:val="32"/>
          <w:szCs w:val="32"/>
          <w:lang w:val="en-US" w:eastAsia="zh-CN"/>
        </w:rPr>
        <w:t>准格尔召乡碾房塔纳林沟煤矿有限责任公司30万吨露天煤矿整合项目环境影响报告书</w:t>
      </w:r>
      <w:r>
        <w:rPr>
          <w:rFonts w:hint="eastAsia" w:ascii="仿宋_GB2312" w:hAnsi="Times New Roman" w:eastAsia="仿宋_GB2312"/>
          <w:kern w:val="0"/>
          <w:sz w:val="32"/>
          <w:szCs w:val="32"/>
        </w:rPr>
        <w:t>》</w:t>
      </w:r>
      <w:r>
        <w:rPr>
          <w:rFonts w:hint="eastAsia" w:ascii="仿宋_GB2312" w:hAnsi="Times New Roman"/>
          <w:kern w:val="0"/>
          <w:sz w:val="32"/>
          <w:szCs w:val="32"/>
          <w:lang w:eastAsia="zh-CN"/>
        </w:rPr>
        <w:t>。</w:t>
      </w:r>
    </w:p>
    <w:p>
      <w:pPr>
        <w:pStyle w:val="11"/>
        <w:keepNext w:val="0"/>
        <w:keepLines w:val="0"/>
        <w:pageBreakBefore w:val="0"/>
        <w:widowControl w:val="0"/>
        <w:kinsoku/>
        <w:wordWrap/>
        <w:overflowPunct/>
        <w:topLinePunct w:val="0"/>
        <w:autoSpaceDE/>
        <w:autoSpaceDN/>
        <w:bidi w:val="0"/>
        <w:adjustRightInd/>
        <w:snapToGrid/>
        <w:spacing w:line="600" w:lineRule="exact"/>
        <w:ind w:firstLine="480"/>
        <w:textAlignment w:val="auto"/>
        <w:rPr>
          <w:rFonts w:hint="eastAsia" w:ascii="仿宋_GB2312" w:hAnsi="Times New Roman" w:eastAsia="仿宋_GB2312"/>
          <w:kern w:val="0"/>
          <w:sz w:val="32"/>
          <w:szCs w:val="32"/>
        </w:rPr>
      </w:pPr>
      <w:r>
        <w:rPr>
          <w:rFonts w:hint="eastAsia" w:ascii="仿宋_GB2312" w:hAnsi="Times New Roman" w:eastAsia="仿宋_GB2312"/>
          <w:color w:val="auto"/>
          <w:kern w:val="0"/>
          <w:sz w:val="32"/>
          <w:szCs w:val="32"/>
          <w:shd w:val="clear" w:color="auto" w:fill="auto"/>
          <w:lang w:val="en-US" w:eastAsia="zh-CN"/>
        </w:rPr>
        <w:t>2009年2月，原内蒙古自治区煤炭工业局对《准格尔旗碾房塔纳林沟煤矿有限责任公司煤矿灭火专项初步设计》进行了批复（内煤</w:t>
      </w:r>
      <w:r>
        <w:rPr>
          <w:rFonts w:hint="eastAsia" w:ascii="仿宋_GB2312" w:hAnsi="Times New Roman" w:eastAsia="仿宋_GB2312" w:cs="Times New Roman"/>
          <w:color w:val="auto"/>
          <w:kern w:val="0"/>
          <w:sz w:val="32"/>
          <w:szCs w:val="32"/>
          <w:shd w:val="clear" w:color="auto" w:fill="auto"/>
          <w:lang w:val="en-US" w:eastAsia="zh-CN"/>
        </w:rPr>
        <w:t>局字〔2009〕62号）。</w:t>
      </w:r>
      <w:r>
        <w:rPr>
          <w:rFonts w:hint="eastAsia" w:ascii="仿宋_GB2312" w:hAnsi="Times New Roman" w:eastAsia="仿宋_GB2312"/>
          <w:kern w:val="0"/>
          <w:sz w:val="32"/>
          <w:szCs w:val="32"/>
          <w:lang w:val="en-US" w:eastAsia="zh-CN"/>
        </w:rPr>
        <w:t>2010年7月，原鄂尔多斯市煤炭局对《准格尔旗准格尔召乡碾房塔纳林沟煤矿有限责任公司露天煤矿初步设计（变更）》进行了批复（鄂煤局字〔2010〕115号）,煤矿继续对矿田内浅部的3号煤层实施开采，但露天矿设计移交工程一直未建成。</w:t>
      </w:r>
    </w:p>
    <w:p>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40"/>
        <w:jc w:val="left"/>
        <w:textAlignment w:val="auto"/>
        <w:rPr>
          <w:rFonts w:hint="eastAsia" w:ascii="仿宋_GB2312" w:hAnsi="Times New Roman"/>
          <w:color w:val="auto"/>
          <w:kern w:val="0"/>
          <w:sz w:val="32"/>
          <w:szCs w:val="32"/>
          <w:lang w:val="en-US" w:eastAsia="zh-CN"/>
        </w:rPr>
      </w:pPr>
      <w:r>
        <w:rPr>
          <w:rFonts w:hint="eastAsia" w:ascii="仿宋_GB2312" w:hAnsi="Times New Roman" w:eastAsia="仿宋_GB2312"/>
          <w:color w:val="auto"/>
          <w:sz w:val="32"/>
          <w:szCs w:val="32"/>
          <w:highlight w:val="none"/>
          <w:lang w:val="en-US" w:eastAsia="zh-CN"/>
        </w:rPr>
        <w:t>2022年6月，鄂尔多斯市能源局出具了《关于准格尔旗碾房塔纳林沟煤矿有限公司技术改造有关事宜的复函》，原则同意该矿按照30万吨/年露天开采进行技术改造。2022年8月，鄂尔多斯市能源局对《准格尔旗准格尔召乡碾房塔纳林沟煤矿有限公司修改初步设计》进行了批复（鄂能局审批发</w:t>
      </w:r>
      <w:r>
        <w:rPr>
          <w:rFonts w:hint="eastAsia" w:ascii="仿宋_GB2312" w:hAnsi="Times New Roman" w:eastAsia="仿宋_GB2312" w:cs="Times New Roman"/>
          <w:color w:val="auto"/>
          <w:kern w:val="2"/>
          <w:sz w:val="32"/>
          <w:szCs w:val="32"/>
          <w:lang w:val="en-US" w:eastAsia="zh-CN" w:bidi="ar-SA"/>
        </w:rPr>
        <w:t>〔2022〕35号</w:t>
      </w:r>
      <w:r>
        <w:rPr>
          <w:rFonts w:hint="eastAsia" w:ascii="仿宋_GB2312" w:hAnsi="Times New Roman" w:eastAsia="仿宋_GB2312"/>
          <w:color w:val="auto"/>
          <w:sz w:val="32"/>
          <w:szCs w:val="32"/>
          <w:highlight w:val="none"/>
          <w:lang w:val="en-US" w:eastAsia="zh-CN"/>
        </w:rPr>
        <w:t>）</w:t>
      </w:r>
      <w:r>
        <w:rPr>
          <w:rFonts w:hint="eastAsia" w:ascii="仿宋_GB2312" w:hAnsi="Times New Roman"/>
          <w:color w:val="auto"/>
          <w:sz w:val="32"/>
          <w:szCs w:val="32"/>
          <w:highlight w:val="none"/>
          <w:lang w:val="en-US" w:eastAsia="zh-CN"/>
        </w:rPr>
        <w:t>。</w:t>
      </w:r>
      <w:r>
        <w:rPr>
          <w:rFonts w:hint="default" w:ascii="仿宋_GB2312" w:hAnsi="Times New Roman" w:eastAsia="仿宋_GB2312" w:cs="Times New Roman"/>
          <w:color w:val="auto"/>
          <w:kern w:val="0"/>
          <w:sz w:val="32"/>
          <w:szCs w:val="32"/>
          <w:lang w:val="en-US" w:eastAsia="zh-CN"/>
        </w:rPr>
        <w:t>本次变更主要包括露天开采境界、采区划分、开采煤层、储量和服务年限、拉</w:t>
      </w:r>
      <w:r>
        <w:rPr>
          <w:rFonts w:hint="eastAsia" w:ascii="仿宋_GB2312" w:hAnsi="Times New Roman" w:cs="Times New Roman"/>
          <w:color w:val="auto"/>
          <w:kern w:val="0"/>
          <w:sz w:val="32"/>
          <w:szCs w:val="32"/>
          <w:lang w:val="en-US" w:eastAsia="zh-CN"/>
        </w:rPr>
        <w:t>沟</w:t>
      </w:r>
      <w:r>
        <w:rPr>
          <w:rFonts w:hint="default" w:ascii="仿宋_GB2312" w:hAnsi="Times New Roman" w:eastAsia="仿宋_GB2312" w:cs="Times New Roman"/>
          <w:color w:val="auto"/>
          <w:kern w:val="0"/>
          <w:sz w:val="32"/>
          <w:szCs w:val="32"/>
          <w:lang w:val="en-US" w:eastAsia="zh-CN"/>
        </w:rPr>
        <w:t>位置等，</w:t>
      </w:r>
      <w:r>
        <w:rPr>
          <w:rFonts w:hint="eastAsia" w:ascii="仿宋_GB2312" w:hAnsi="Times New Roman" w:eastAsia="仿宋_GB2312" w:cs="Times New Roman"/>
          <w:color w:val="auto"/>
          <w:kern w:val="0"/>
          <w:sz w:val="32"/>
          <w:szCs w:val="32"/>
          <w:lang w:val="en-US" w:eastAsia="zh-CN"/>
        </w:rPr>
        <w:t>变更完成后，生</w:t>
      </w:r>
      <w:r>
        <w:rPr>
          <w:rFonts w:hint="eastAsia" w:ascii="仿宋_GB2312" w:hAnsi="Times New Roman" w:eastAsia="仿宋_GB2312"/>
          <w:color w:val="auto"/>
          <w:kern w:val="0"/>
          <w:sz w:val="32"/>
          <w:szCs w:val="32"/>
          <w:lang w:val="en-US" w:eastAsia="zh-CN"/>
        </w:rPr>
        <w:t>产能力仍为30万吨/年，开采煤层变更为3、4、5、6号煤层，剩余服务年限63.1年，采用单斗-汽车开采工艺</w:t>
      </w:r>
      <w:r>
        <w:rPr>
          <w:rFonts w:hint="eastAsia" w:ascii="仿宋_GB2312" w:hAnsi="Times New Roman"/>
          <w:color w:val="auto"/>
          <w:kern w:val="0"/>
          <w:sz w:val="32"/>
          <w:szCs w:val="32"/>
          <w:lang w:val="en-US" w:eastAsia="zh-CN"/>
        </w:rPr>
        <w:t>。</w:t>
      </w:r>
      <w:r>
        <w:rPr>
          <w:rFonts w:hint="eastAsia" w:ascii="仿宋_GB2312" w:hAnsi="Times New Roman" w:eastAsia="仿宋_GB2312"/>
          <w:color w:val="auto"/>
          <w:kern w:val="0"/>
          <w:sz w:val="32"/>
          <w:szCs w:val="32"/>
          <w:lang w:val="en-US" w:eastAsia="zh-CN"/>
        </w:rPr>
        <w:t>本项目总投资7676.11万元，环保投资为1177.3万元</w:t>
      </w:r>
      <w:r>
        <w:rPr>
          <w:rFonts w:hint="eastAsia" w:ascii="仿宋_GB2312" w:hAnsi="Times New Roman"/>
          <w:color w:val="auto"/>
          <w:kern w:val="0"/>
          <w:sz w:val="32"/>
          <w:szCs w:val="32"/>
          <w:lang w:val="en-US" w:eastAsia="zh-CN"/>
        </w:rPr>
        <w:t>。</w:t>
      </w:r>
    </w:p>
    <w:p>
      <w:pPr>
        <w:pStyle w:val="12"/>
        <w:keepNext w:val="0"/>
        <w:keepLines w:val="0"/>
        <w:pageBreakBefore w:val="0"/>
        <w:widowControl w:val="0"/>
        <w:kinsoku/>
        <w:wordWrap/>
        <w:overflowPunct/>
        <w:topLinePunct w:val="0"/>
        <w:autoSpaceDE/>
        <w:autoSpaceDN/>
        <w:bidi w:val="0"/>
        <w:adjustRightInd/>
        <w:snapToGrid/>
        <w:spacing w:line="600" w:lineRule="exact"/>
        <w:ind w:left="0" w:leftChars="0" w:firstLine="640"/>
        <w:jc w:val="left"/>
        <w:textAlignment w:val="auto"/>
        <w:rPr>
          <w:rFonts w:hint="default" w:ascii="仿宋_GB2312" w:hAnsi="Times New Roman" w:eastAsia="仿宋_GB2312" w:cs="Times New Roman"/>
          <w:color w:val="auto"/>
          <w:kern w:val="0"/>
          <w:sz w:val="32"/>
          <w:szCs w:val="32"/>
          <w:lang w:val="en-US" w:eastAsia="zh-CN"/>
        </w:rPr>
      </w:pPr>
      <w:r>
        <w:rPr>
          <w:rFonts w:hint="default" w:ascii="仿宋_GB2312" w:hAnsi="Times New Roman" w:eastAsia="仿宋_GB2312" w:cs="Times New Roman"/>
          <w:color w:val="auto"/>
          <w:kern w:val="0"/>
          <w:sz w:val="32"/>
          <w:szCs w:val="32"/>
          <w:lang w:val="en-US" w:eastAsia="zh-CN"/>
        </w:rPr>
        <w:t>《报告书》和《技术评估报告》认为，在全面落实各项生态保护和 污染防治措施的前提下，项目建设对生态环境的不利影响能够得到一定的缓解和控制。因此，我局原则同意本项目按照《报告书》和《技术评估报告》 所列的建设项目性质、规模和拟采取的生态环境保护措施及下述要求进行建设。</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rPr>
      </w:pPr>
      <w:r>
        <w:rPr>
          <w:rFonts w:hint="default" w:ascii="Times New Roman" w:hAnsi="Times New Roman" w:eastAsia="仿宋_GB2312" w:cs="Times New Roman"/>
          <w:color w:val="000000"/>
          <w:kern w:val="0"/>
          <w:sz w:val="32"/>
          <w:szCs w:val="32"/>
          <w:lang w:val="en-US" w:eastAsia="zh-CN"/>
        </w:rPr>
        <w:t>二、项目在设计、建设和运营过程中还应做好以下工作。</w:t>
      </w:r>
    </w:p>
    <w:p>
      <w:pPr>
        <w:keepNext w:val="0"/>
        <w:keepLines w:val="0"/>
        <w:pageBreakBefore w:val="0"/>
        <w:widowControl w:val="0"/>
        <w:kinsoku/>
        <w:wordWrap/>
        <w:overflowPunct/>
        <w:topLinePunct w:val="0"/>
        <w:bidi w:val="0"/>
        <w:spacing w:line="600" w:lineRule="exact"/>
        <w:ind w:firstLine="642"/>
        <w:textAlignment w:val="auto"/>
        <w:rPr>
          <w:rFonts w:hint="default" w:ascii="Times New Roman" w:hAnsi="Times New Roman" w:eastAsia="仿宋_GB2312" w:cs="Times New Roman"/>
          <w:color w:val="000000"/>
          <w:szCs w:val="32"/>
          <w:highlight w:val="none"/>
        </w:rPr>
      </w:pPr>
      <w:r>
        <w:rPr>
          <w:rFonts w:hint="eastAsia" w:ascii="Times New Roman" w:hAnsi="Times New Roman" w:eastAsia="仿宋_GB2312" w:cs="Times New Roman"/>
          <w:color w:val="000000"/>
          <w:szCs w:val="32"/>
          <w:lang w:val="en-US" w:eastAsia="zh-CN"/>
        </w:rPr>
        <w:t>1</w:t>
      </w:r>
      <w:r>
        <w:rPr>
          <w:rFonts w:hint="default" w:ascii="Times New Roman" w:hAnsi="Times New Roman" w:eastAsia="仿宋_GB2312" w:cs="Times New Roman"/>
          <w:color w:val="000000"/>
          <w:szCs w:val="32"/>
        </w:rPr>
        <w:t>.认真开展生态环境保护与恢复。</w:t>
      </w:r>
      <w:r>
        <w:rPr>
          <w:rFonts w:hint="default" w:ascii="Times New Roman" w:hAnsi="Times New Roman" w:eastAsia="仿宋_GB2312" w:cs="Times New Roman"/>
          <w:color w:val="000000"/>
          <w:szCs w:val="32"/>
          <w:lang w:val="en-US" w:eastAsia="zh-CN"/>
        </w:rPr>
        <w:t>采掘场工程在开采破坏表土层前，对表土进行剥</w:t>
      </w:r>
      <w:r>
        <w:rPr>
          <w:rFonts w:hint="default" w:ascii="Times New Roman" w:hAnsi="Times New Roman" w:eastAsia="仿宋_GB2312" w:cs="Times New Roman"/>
          <w:color w:val="000000"/>
          <w:szCs w:val="32"/>
          <w:highlight w:val="none"/>
          <w:lang w:val="en-US" w:eastAsia="zh-CN"/>
        </w:rPr>
        <w:t>离，单独堆存，堆土表面采用密目网苫盖，撒播草籽临时绿化；</w:t>
      </w:r>
      <w:r>
        <w:rPr>
          <w:rFonts w:hint="eastAsia" w:ascii="仿宋_GB2312" w:hAnsi="Times New Roman" w:eastAsia="仿宋_GB2312"/>
          <w:sz w:val="32"/>
          <w:highlight w:val="none"/>
        </w:rPr>
        <w:t>按照“边开采、边恢复”的原则，</w:t>
      </w:r>
      <w:r>
        <w:rPr>
          <w:rFonts w:hint="eastAsia" w:ascii="仿宋_GB2312" w:hAnsi="Times New Roman" w:eastAsia="仿宋_GB2312"/>
          <w:sz w:val="32"/>
          <w:highlight w:val="none"/>
          <w:lang w:val="en-US" w:eastAsia="zh-CN"/>
        </w:rPr>
        <w:t>对排土场形成的台阶平台进行植被恢复，在平台外围设置挡水围埂，围埂顶部及边坡种植沙柳，平台草籽选用紫花苜蓿和沙打旺，植被覆盖度为45%；露天煤矿开采结束后，最终形成一个矿坑，位于采区西北部，采坑内覆土至无积水后再覆盖0.5米厚的表土，然后对坑底种植紫花苜蓿和草木樨等植物恢复植被。</w:t>
      </w:r>
    </w:p>
    <w:p>
      <w:pPr>
        <w:pStyle w:val="6"/>
        <w:keepNext w:val="0"/>
        <w:keepLines w:val="0"/>
        <w:pageBreakBefore w:val="0"/>
        <w:widowControl w:val="0"/>
        <w:kinsoku/>
        <w:wordWrap/>
        <w:overflowPunct/>
        <w:topLinePunct w:val="0"/>
        <w:autoSpaceDE/>
        <w:autoSpaceDN/>
        <w:bidi w:val="0"/>
        <w:adjustRightInd/>
        <w:spacing w:line="600" w:lineRule="exact"/>
        <w:ind w:firstLine="640" w:firstLineChars="0"/>
        <w:textAlignment w:val="auto"/>
        <w:rPr>
          <w:rFonts w:hint="default" w:ascii="Times New Roman" w:hAnsi="Times New Roman" w:eastAsia="仿宋_GB2312" w:cs="Times New Roman"/>
          <w:color w:val="000000"/>
        </w:rPr>
      </w:pPr>
      <w:r>
        <w:rPr>
          <w:rFonts w:hint="eastAsia" w:ascii="Times New Roman" w:hAnsi="Times New Roman" w:cs="Times New Roman"/>
          <w:color w:val="000000"/>
          <w:szCs w:val="32"/>
          <w:lang w:val="en-US" w:eastAsia="zh-CN"/>
        </w:rPr>
        <w:t>2</w:t>
      </w:r>
      <w:r>
        <w:rPr>
          <w:rFonts w:hint="default" w:ascii="Times New Roman" w:hAnsi="Times New Roman" w:eastAsia="仿宋_GB2312" w:cs="Times New Roman"/>
          <w:color w:val="000000"/>
          <w:szCs w:val="32"/>
        </w:rPr>
        <w:t>.认真落实《报告书》中提出的</w:t>
      </w:r>
      <w:r>
        <w:rPr>
          <w:rFonts w:hint="eastAsia" w:ascii="Times New Roman" w:hAnsi="Times New Roman" w:cs="Times New Roman"/>
          <w:color w:val="000000"/>
          <w:szCs w:val="32"/>
          <w:lang w:val="en-US" w:eastAsia="zh-CN"/>
        </w:rPr>
        <w:t>各类</w:t>
      </w:r>
      <w:r>
        <w:rPr>
          <w:rFonts w:hint="default" w:ascii="Times New Roman" w:hAnsi="Times New Roman" w:eastAsia="仿宋_GB2312" w:cs="Times New Roman"/>
          <w:color w:val="000000"/>
          <w:szCs w:val="32"/>
        </w:rPr>
        <w:t>污染防治措施。规范</w:t>
      </w:r>
      <w:r>
        <w:rPr>
          <w:rFonts w:hint="eastAsia" w:ascii="仿宋_GB2312" w:hAnsi="Times New Roman" w:eastAsia="仿宋_GB2312"/>
          <w:sz w:val="32"/>
        </w:rPr>
        <w:t>工业场地、采掘场</w:t>
      </w:r>
      <w:r>
        <w:rPr>
          <w:rFonts w:hint="eastAsia" w:ascii="仿宋_GB2312" w:hAnsi="Times New Roman"/>
          <w:sz w:val="32"/>
          <w:lang w:val="en-US" w:eastAsia="zh-CN"/>
        </w:rPr>
        <w:t>和</w:t>
      </w:r>
      <w:r>
        <w:rPr>
          <w:rFonts w:hint="eastAsia" w:ascii="仿宋_GB2312" w:hAnsi="Times New Roman" w:eastAsia="仿宋_GB2312"/>
          <w:sz w:val="32"/>
        </w:rPr>
        <w:t>排土场</w:t>
      </w:r>
      <w:r>
        <w:rPr>
          <w:rFonts w:hint="default" w:ascii="Times New Roman" w:hAnsi="Times New Roman" w:eastAsia="仿宋_GB2312" w:cs="Times New Roman"/>
          <w:color w:val="000000"/>
          <w:szCs w:val="32"/>
        </w:rPr>
        <w:t>洒水抑尘设施建设，确保矿区粉尘排放满足《煤炭工业污染物排放标准》</w:t>
      </w:r>
      <w:r>
        <w:rPr>
          <w:rFonts w:hint="default" w:ascii="Times New Roman" w:hAnsi="Times New Roman" w:eastAsia="仿宋_GB2312" w:cs="Times New Roman"/>
          <w:color w:val="000000"/>
          <w:szCs w:val="32"/>
          <w:lang w:eastAsia="zh-CN"/>
        </w:rPr>
        <w:t>（</w:t>
      </w:r>
      <w:r>
        <w:rPr>
          <w:rFonts w:hint="default" w:ascii="Times New Roman" w:hAnsi="Times New Roman" w:eastAsia="仿宋_GB2312" w:cs="Times New Roman"/>
          <w:color w:val="000000"/>
          <w:szCs w:val="32"/>
        </w:rPr>
        <w:t>GB20426-2006</w:t>
      </w:r>
      <w:r>
        <w:rPr>
          <w:rFonts w:hint="default" w:ascii="Times New Roman" w:hAnsi="Times New Roman" w:eastAsia="仿宋_GB2312" w:cs="Times New Roman"/>
          <w:color w:val="000000"/>
          <w:szCs w:val="32"/>
          <w:lang w:eastAsia="zh-CN"/>
        </w:rPr>
        <w:t>）</w:t>
      </w:r>
      <w:r>
        <w:rPr>
          <w:rFonts w:hint="default" w:ascii="Times New Roman" w:hAnsi="Times New Roman" w:eastAsia="仿宋_GB2312" w:cs="Times New Roman"/>
          <w:color w:val="000000"/>
          <w:szCs w:val="32"/>
        </w:rPr>
        <w:t>限值要求</w:t>
      </w:r>
      <w:r>
        <w:rPr>
          <w:rFonts w:hint="default" w:ascii="Times New Roman" w:hAnsi="Times New Roman" w:eastAsia="仿宋_GB2312" w:cs="Times New Roman"/>
          <w:color w:val="000000"/>
          <w:szCs w:val="32"/>
          <w:lang w:eastAsia="zh-CN"/>
        </w:rPr>
        <w:t>。建设单位须按照相关要求在可视范围内设置视频监控点位系统，保证监控区域无死角和监控画质高清晰，并与鄂尔多斯市环境网格化监管平台联网。</w:t>
      </w:r>
      <w:r>
        <w:rPr>
          <w:rFonts w:hint="eastAsia" w:ascii="仿宋_GB2312" w:hAnsi="Times New Roman" w:eastAsia="仿宋_GB2312"/>
          <w:color w:val="auto"/>
          <w:sz w:val="32"/>
          <w:lang w:val="en-US" w:eastAsia="zh-CN"/>
        </w:rPr>
        <w:t>生活污水经化粪池收集后送当地城镇污水处理厂进行处理</w:t>
      </w:r>
      <w:r>
        <w:rPr>
          <w:rFonts w:hint="eastAsia" w:ascii="仿宋_GB2312" w:hAnsi="Times New Roman" w:eastAsia="仿宋_GB2312"/>
          <w:sz w:val="32"/>
        </w:rPr>
        <w:t>；</w:t>
      </w:r>
      <w:r>
        <w:rPr>
          <w:rFonts w:hint="eastAsia" w:ascii="仿宋_GB2312" w:hAnsi="Times New Roman" w:eastAsia="仿宋_GB2312"/>
          <w:color w:val="auto"/>
          <w:sz w:val="32"/>
          <w:lang w:val="en-US" w:eastAsia="zh-CN"/>
        </w:rPr>
        <w:t>矿坑水经絮凝-沉淀处理后，达到《煤炭工业污染物排放标准》（GB20426-2006）表2新建（扩、改）生产线采煤废水污染物排放限值要求和《城市污水再生利用 城市杂用水水质》（GB/T18920-2020）中城市绿化、道路清扫、消防、建筑施工用水水质标准要求后用于矿区抑尘、绿化洒水</w:t>
      </w:r>
      <w:r>
        <w:rPr>
          <w:rFonts w:hint="default" w:ascii="Times New Roman" w:hAnsi="Times New Roman" w:eastAsia="仿宋_GB2312" w:cs="Times New Roman"/>
          <w:color w:val="000000"/>
        </w:rPr>
        <w:t>。厂界噪声须满足《工业企业厂界环境噪声排放标准》（GB12348-2008）</w:t>
      </w:r>
      <w:r>
        <w:rPr>
          <w:rFonts w:hint="eastAsia" w:ascii="Times New Roman" w:hAnsi="Times New Roman" w:cs="Times New Roman"/>
          <w:color w:val="000000"/>
          <w:lang w:val="en-US" w:eastAsia="zh-CN"/>
        </w:rPr>
        <w:t>2</w:t>
      </w:r>
      <w:r>
        <w:rPr>
          <w:rFonts w:hint="default" w:ascii="Times New Roman" w:hAnsi="Times New Roman" w:eastAsia="仿宋_GB2312" w:cs="Times New Roman"/>
          <w:color w:val="000000"/>
        </w:rPr>
        <w:t>类标准限值要求</w:t>
      </w:r>
      <w:r>
        <w:rPr>
          <w:rFonts w:hint="eastAsia" w:ascii="Times New Roman" w:hAnsi="Times New Roman" w:cs="Times New Roman"/>
          <w:color w:val="000000"/>
          <w:lang w:eastAsia="zh-CN"/>
        </w:rPr>
        <w:t>。</w:t>
      </w:r>
      <w:r>
        <w:rPr>
          <w:rFonts w:hint="default" w:ascii="Times New Roman" w:hAnsi="Times New Roman" w:eastAsia="仿宋_GB2312" w:cs="Times New Roman"/>
          <w:color w:val="000000"/>
        </w:rPr>
        <w:t>建设单位须严格按照《一般工业固体废物贮存和填埋污染控制标准》（GB18599-2020）及《危险废物贮存污染控制标准》（GB18597-2001）（及其修改单）要求对一般固废和危险废物进行处置，各类固废均不得乱弃。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lang w:val="en-US" w:eastAsia="zh-CN"/>
        </w:rPr>
      </w:pPr>
      <w:r>
        <w:rPr>
          <w:rFonts w:hint="default" w:ascii="Times New Roman" w:hAnsi="Times New Roman" w:eastAsia="仿宋_GB2312" w:cs="Times New Roman"/>
          <w:color w:val="000000"/>
          <w:kern w:val="0"/>
          <w:sz w:val="32"/>
          <w:szCs w:val="32"/>
          <w:lang w:val="en-US" w:eastAsia="zh-CN"/>
        </w:rPr>
        <w:t>对厂区内重点污染防治区、一般污染防治区等采取分区防渗措施，同时按照要求布设地下水观测井和土壤跟踪监测点，做好地下水和土壤跟踪监测工作，定期对地下水和土壤进行跟踪监测，加强日常管理与巡查，以免造成地下水和土壤污染。</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cs="Times New Roman"/>
          <w:color w:val="000000"/>
          <w:kern w:val="0"/>
          <w:sz w:val="32"/>
          <w:szCs w:val="32"/>
          <w:lang w:val="en-US" w:eastAsia="zh-CN"/>
        </w:rPr>
        <w:t>3.</w:t>
      </w:r>
      <w:r>
        <w:rPr>
          <w:rFonts w:hint="default" w:ascii="Times New Roman" w:hAnsi="Times New Roman" w:eastAsia="仿宋_GB2312" w:cs="Times New Roman"/>
          <w:color w:val="000000"/>
          <w:kern w:val="0"/>
          <w:sz w:val="32"/>
          <w:szCs w:val="32"/>
          <w:lang w:val="en-US" w:eastAsia="zh-CN"/>
        </w:rPr>
        <w:t>建设单位须强化环境风险防范。制定环境风险应急预案，落实环境风险事故防范措施，提高事故风险防范和污染控制能力。</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三、项目建设</w:t>
      </w:r>
      <w:r>
        <w:rPr>
          <w:rFonts w:hint="eastAsia" w:ascii="Times New Roman" w:hAnsi="Times New Roman" w:cs="Times New Roman"/>
          <w:color w:val="000000"/>
          <w:kern w:val="0"/>
          <w:sz w:val="32"/>
          <w:szCs w:val="32"/>
          <w:lang w:val="en-US" w:eastAsia="zh-CN"/>
        </w:rPr>
        <w:t>必须严格执行配套的环境保护设施与主体工程同时设计、同时施工、同时投产使用的环境保护“三同时”制度。严格落实生态环保措施专项设计要求。应将优化和细化后的各项生态环保措施及概算纳入设计及施工等招标文件及合同，并明确责任，按照规定程序实施竣工环境保护验收。项目验收后满5年，应组织开展环境影响后评价，按要求开展生态环境保护措施安全风险评估和隐患排查治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四、你公司应在收到本批复20日内，将《报告书》（报批版）及批复文件送至鄂尔多斯市生态环境局</w:t>
      </w:r>
      <w:r>
        <w:rPr>
          <w:rFonts w:hint="eastAsia" w:ascii="Times New Roman" w:hAnsi="Times New Roman" w:cs="Times New Roman"/>
          <w:color w:val="000000"/>
          <w:kern w:val="0"/>
          <w:sz w:val="32"/>
          <w:szCs w:val="32"/>
          <w:lang w:val="en-US" w:eastAsia="zh-CN"/>
        </w:rPr>
        <w:t>准格尔旗</w:t>
      </w:r>
      <w:r>
        <w:rPr>
          <w:rFonts w:hint="default" w:ascii="Times New Roman" w:hAnsi="Times New Roman" w:eastAsia="仿宋_GB2312" w:cs="Times New Roman"/>
          <w:color w:val="000000"/>
          <w:kern w:val="0"/>
          <w:sz w:val="32"/>
          <w:szCs w:val="32"/>
          <w:lang w:val="en-US" w:eastAsia="zh-CN"/>
        </w:rPr>
        <w:t>分局，我局委托鄂尔多斯市生态环境局</w:t>
      </w:r>
      <w:r>
        <w:rPr>
          <w:rFonts w:hint="eastAsia" w:ascii="Times New Roman" w:hAnsi="Times New Roman" w:cs="Times New Roman"/>
          <w:color w:val="000000"/>
          <w:kern w:val="0"/>
          <w:sz w:val="32"/>
          <w:szCs w:val="32"/>
          <w:lang w:val="en-US" w:eastAsia="zh-CN"/>
        </w:rPr>
        <w:t>准格尔旗</w:t>
      </w:r>
      <w:r>
        <w:rPr>
          <w:rFonts w:hint="default" w:ascii="Times New Roman" w:hAnsi="Times New Roman" w:eastAsia="仿宋_GB2312" w:cs="Times New Roman"/>
          <w:color w:val="000000"/>
          <w:kern w:val="0"/>
          <w:sz w:val="32"/>
          <w:szCs w:val="32"/>
          <w:lang w:val="en-US" w:eastAsia="zh-CN"/>
        </w:rPr>
        <w:t>分局负责该项目的日常监管工作。</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eastAsia" w:ascii="仿宋" w:hAnsi="仿宋" w:eastAsia="仿宋" w:cs="仿宋"/>
          <w:color w:val="000000"/>
          <w:szCs w:val="32"/>
        </w:rPr>
        <w:t>五、该项目从批准之日起超过5年方决定开工建设，其环评文件应重新审核。如果建设地点、规模、防治污染和防止生态破坏的措施等发生重大变化时，需重新报批环评文件。</w:t>
      </w:r>
    </w:p>
    <w:p>
      <w:pPr>
        <w:pStyle w:val="6"/>
        <w:ind w:left="0" w:leftChars="0" w:firstLine="0" w:firstLineChars="0"/>
        <w:rPr>
          <w:rFonts w:hint="default"/>
        </w:rPr>
      </w:pPr>
    </w:p>
    <w:p>
      <w:pPr>
        <w:pStyle w:val="2"/>
        <w:rPr>
          <w:rFonts w:hint="default"/>
        </w:rPr>
      </w:pPr>
    </w:p>
    <w:p>
      <w:pPr>
        <w:pStyle w:val="4"/>
        <w:rPr>
          <w:rFonts w:hint="default"/>
        </w:rPr>
      </w:pPr>
    </w:p>
    <w:p>
      <w:pPr>
        <w:pStyle w:val="7"/>
        <w:rPr>
          <w:rFonts w:hint="default" w:ascii="Times New Roman" w:hAnsi="Times New Roman" w:eastAsia="仿宋_GB2312" w:cs="Times New Roman"/>
          <w:color w:val="000000"/>
        </w:rPr>
      </w:pPr>
    </w:p>
    <w:p>
      <w:pPr>
        <w:spacing w:line="560" w:lineRule="exact"/>
        <w:ind w:firstLine="4800" w:firstLineChars="1500"/>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鄂尔多斯市生态环境局</w:t>
      </w:r>
    </w:p>
    <w:p>
      <w:pPr>
        <w:wordWrap w:val="0"/>
        <w:spacing w:line="560" w:lineRule="exact"/>
        <w:ind w:right="320" w:firstLine="0" w:firstLineChars="0"/>
        <w:jc w:val="center"/>
        <w:rPr>
          <w:rFonts w:hint="default" w:ascii="Times New Roman" w:hAnsi="Times New Roman" w:eastAsia="仿宋_GB2312" w:cs="Times New Roman"/>
          <w:color w:val="000000"/>
          <w:szCs w:val="32"/>
        </w:rPr>
      </w:pPr>
      <w:r>
        <w:rPr>
          <w:rFonts w:hint="default" w:ascii="Times New Roman" w:hAnsi="Times New Roman" w:eastAsia="仿宋_GB2312" w:cs="Times New Roman"/>
          <w:color w:val="000000"/>
          <w:szCs w:val="32"/>
        </w:rPr>
        <w:t xml:space="preserve">                            202</w:t>
      </w:r>
      <w:r>
        <w:rPr>
          <w:rFonts w:hint="eastAsia" w:ascii="Times New Roman" w:hAnsi="Times New Roman" w:cs="Times New Roman"/>
          <w:color w:val="000000"/>
          <w:szCs w:val="32"/>
          <w:lang w:val="en-US" w:eastAsia="zh-CN"/>
        </w:rPr>
        <w:t>3</w:t>
      </w:r>
      <w:r>
        <w:rPr>
          <w:rFonts w:hint="default" w:ascii="Times New Roman" w:hAnsi="Times New Roman" w:eastAsia="仿宋_GB2312" w:cs="Times New Roman"/>
          <w:color w:val="000000"/>
          <w:szCs w:val="32"/>
        </w:rPr>
        <w:t>年</w:t>
      </w:r>
      <w:r>
        <w:rPr>
          <w:rFonts w:hint="eastAsia" w:ascii="Times New Roman" w:hAnsi="Times New Roman" w:cs="Times New Roman"/>
          <w:color w:val="000000"/>
          <w:szCs w:val="32"/>
          <w:lang w:val="en-US" w:eastAsia="zh-CN"/>
        </w:rPr>
        <w:t>2</w:t>
      </w:r>
      <w:r>
        <w:rPr>
          <w:rFonts w:hint="default" w:ascii="Times New Roman" w:hAnsi="Times New Roman" w:eastAsia="仿宋_GB2312" w:cs="Times New Roman"/>
          <w:color w:val="000000"/>
          <w:szCs w:val="32"/>
        </w:rPr>
        <w:t>月</w:t>
      </w:r>
      <w:r>
        <w:rPr>
          <w:rFonts w:hint="eastAsia" w:ascii="Times New Roman" w:hAnsi="Times New Roman" w:cs="Times New Roman"/>
          <w:color w:val="000000"/>
          <w:szCs w:val="32"/>
          <w:lang w:val="en-US" w:eastAsia="zh-CN"/>
        </w:rPr>
        <w:t>9</w:t>
      </w:r>
      <w:r>
        <w:rPr>
          <w:rFonts w:hint="default" w:ascii="Times New Roman" w:hAnsi="Times New Roman" w:eastAsia="仿宋_GB2312" w:cs="Times New Roman"/>
          <w:color w:val="000000"/>
          <w:szCs w:val="32"/>
        </w:rPr>
        <w:t>日</w:t>
      </w:r>
    </w:p>
    <w:p>
      <w:pPr>
        <w:spacing w:line="560" w:lineRule="exact"/>
        <w:ind w:right="320" w:firstLine="0" w:firstLineChars="0"/>
        <w:jc w:val="right"/>
        <w:rPr>
          <w:rFonts w:hint="default" w:ascii="Times New Roman" w:hAnsi="Times New Roman" w:eastAsia="仿宋" w:cs="Times New Roman"/>
          <w:color w:val="000000"/>
          <w:szCs w:val="32"/>
        </w:rPr>
      </w:pPr>
    </w:p>
    <w:p>
      <w:pPr>
        <w:spacing w:line="500" w:lineRule="exact"/>
        <w:ind w:right="320" w:firstLine="0" w:firstLineChars="0"/>
        <w:jc w:val="right"/>
        <w:rPr>
          <w:rFonts w:hint="default" w:ascii="Times New Roman" w:hAnsi="Times New Roman" w:eastAsia="仿宋" w:cs="Times New Roman"/>
          <w:color w:val="000000"/>
          <w:szCs w:val="32"/>
        </w:rPr>
      </w:pPr>
    </w:p>
    <w:p>
      <w:pPr>
        <w:pStyle w:val="7"/>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7"/>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7"/>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7"/>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7"/>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7"/>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7"/>
        <w:rPr>
          <w:rFonts w:hint="default" w:ascii="Times New Roman" w:hAnsi="Times New Roman" w:eastAsia="仿宋" w:cs="Times New Roman"/>
          <w:color w:val="000000"/>
          <w:szCs w:val="32"/>
        </w:rPr>
      </w:pPr>
    </w:p>
    <w:p>
      <w:pPr>
        <w:rPr>
          <w:rFonts w:hint="default" w:ascii="Times New Roman" w:hAnsi="Times New Roman" w:eastAsia="仿宋" w:cs="Times New Roman"/>
          <w:color w:val="000000"/>
          <w:szCs w:val="32"/>
        </w:rPr>
      </w:pPr>
    </w:p>
    <w:p>
      <w:pPr>
        <w:pStyle w:val="7"/>
        <w:rPr>
          <w:rFonts w:hint="default" w:ascii="Times New Roman" w:hAnsi="Times New Roman" w:cs="Times New Roman"/>
          <w:color w:val="000000"/>
        </w:rPr>
      </w:pPr>
    </w:p>
    <w:p>
      <w:pPr>
        <w:spacing w:line="500" w:lineRule="exact"/>
        <w:ind w:right="320" w:firstLine="0" w:firstLineChars="0"/>
        <w:rPr>
          <w:rFonts w:hint="default" w:ascii="Times New Roman" w:hAnsi="Times New Roman" w:eastAsia="仿宋" w:cs="Times New Roman"/>
          <w:color w:val="000000"/>
          <w:szCs w:val="32"/>
        </w:rPr>
      </w:pPr>
    </w:p>
    <w:p>
      <w:pPr>
        <w:pStyle w:val="6"/>
        <w:rPr>
          <w:rFonts w:hint="default" w:ascii="Times New Roman" w:hAnsi="Times New Roman" w:eastAsia="仿宋" w:cs="Times New Roman"/>
          <w:color w:val="000000"/>
          <w:szCs w:val="32"/>
        </w:rPr>
      </w:pPr>
    </w:p>
    <w:p>
      <w:pPr>
        <w:pStyle w:val="2"/>
        <w:rPr>
          <w:rFonts w:hint="default" w:ascii="Times New Roman" w:hAnsi="Times New Roman" w:eastAsia="仿宋" w:cs="Times New Roman"/>
          <w:color w:val="000000"/>
          <w:szCs w:val="32"/>
        </w:rPr>
      </w:pPr>
    </w:p>
    <w:p>
      <w:pPr>
        <w:ind w:left="0" w:leftChars="0" w:firstLine="0" w:firstLineChars="0"/>
        <w:rPr>
          <w:rFonts w:hint="default"/>
        </w:rPr>
      </w:pPr>
    </w:p>
    <w:p>
      <w:pPr>
        <w:pStyle w:val="2"/>
        <w:rPr>
          <w:rFonts w:hint="default"/>
        </w:rPr>
      </w:pPr>
    </w:p>
    <w:p>
      <w:pPr>
        <w:pStyle w:val="2"/>
        <w:rPr>
          <w:rFonts w:hint="default"/>
        </w:rPr>
      </w:pPr>
    </w:p>
    <w:p>
      <w:pPr>
        <w:pStyle w:val="4"/>
        <w:ind w:left="0" w:leftChars="0" w:firstLine="0" w:firstLineChars="0"/>
        <w:rPr>
          <w:rFonts w:hint="default"/>
        </w:rPr>
      </w:pPr>
    </w:p>
    <w:p>
      <w:pPr>
        <w:rPr>
          <w:rFonts w:hint="default"/>
        </w:rPr>
      </w:pPr>
    </w:p>
    <w:p>
      <w:pPr>
        <w:pStyle w:val="2"/>
        <w:rPr>
          <w:rFonts w:hint="default"/>
        </w:rPr>
      </w:pPr>
    </w:p>
    <w:p>
      <w:pPr>
        <w:pStyle w:val="4"/>
        <w:rPr>
          <w:rFonts w:hint="default"/>
        </w:rPr>
      </w:pPr>
    </w:p>
    <w:p>
      <w:pPr>
        <w:rPr>
          <w:rFonts w:hint="default"/>
        </w:rPr>
      </w:pPr>
    </w:p>
    <w:p>
      <w:pPr>
        <w:ind w:left="0" w:leftChars="0" w:firstLine="0" w:firstLineChars="0"/>
        <w:rPr>
          <w:rFonts w:hint="default"/>
        </w:rPr>
      </w:pPr>
    </w:p>
    <w:p>
      <w:pPr>
        <w:spacing w:line="440" w:lineRule="exact"/>
        <w:ind w:left="980" w:hanging="980" w:hangingChars="350"/>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14605</wp:posOffset>
                </wp:positionV>
                <wp:extent cx="5615940" cy="0"/>
                <wp:effectExtent l="0" t="0" r="0" b="0"/>
                <wp:wrapNone/>
                <wp:docPr id="4" name="直接连接符 4"/>
                <wp:cNvGraphicFramePr/>
                <a:graphic xmlns:a="http://schemas.openxmlformats.org/drawingml/2006/main">
                  <a:graphicData uri="http://schemas.microsoft.com/office/word/2010/wordprocessingShape">
                    <wps:wsp>
                      <wps:cNvSp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15pt;height:0pt;width:442.2pt;z-index:251658240;mso-width-relative:page;mso-height-relative:page;" filled="f" stroked="t" coordsize="21600,21600" o:gfxdata="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L3EtMNIAAAAEAQAADwAAAAAAAAABACAA&#10;AAAiAAAAZHJzL2Rvd25yZXYueG1sUEsBAhQAFAAAAAgAh07iQLlj/C/aAQAAlgMAAA4AAAAAAAAA&#10;AQAgAAAAIQEAAGRycy9lMm9Eb2MueG1sUEsFBgAAAAAGAAYAWQEAAG0FAAAAAA==&#10;">
                <v:path arrowok="t"/>
                <v:fill on="f" focussize="0,0"/>
                <v:stroke/>
                <v:imagedata o:title=""/>
                <o:lock v:ext="edit" aspectratio="f"/>
              </v:line>
            </w:pict>
          </mc:Fallback>
        </mc:AlternateContent>
      </w:r>
      <w:r>
        <w:rPr>
          <w:rFonts w:hint="default" w:ascii="Times New Roman" w:hAnsi="Times New Roman" w:eastAsia="仿宋_GB2312" w:cs="Times New Roman"/>
          <w:color w:val="000000"/>
          <w:sz w:val="28"/>
          <w:szCs w:val="28"/>
        </w:rPr>
        <w:t>抄送：鄂尔多斯市生态环境局</w:t>
      </w:r>
      <w:r>
        <w:rPr>
          <w:rFonts w:hint="eastAsia" w:ascii="Times New Roman" w:hAnsi="Times New Roman" w:cs="Times New Roman"/>
          <w:color w:val="000000"/>
          <w:sz w:val="28"/>
          <w:szCs w:val="28"/>
          <w:lang w:val="en-US" w:eastAsia="zh-CN"/>
        </w:rPr>
        <w:t>准格尔旗</w:t>
      </w:r>
      <w:r>
        <w:rPr>
          <w:rFonts w:hint="default" w:ascii="Times New Roman" w:hAnsi="Times New Roman" w:eastAsia="仿宋_GB2312" w:cs="Times New Roman"/>
          <w:color w:val="000000"/>
          <w:sz w:val="28"/>
          <w:szCs w:val="28"/>
        </w:rPr>
        <w:t>分局，市生态环境综合行政执法支队，内蒙古新仕界项目管理有限公司</w:t>
      </w:r>
      <w:r>
        <w:rPr>
          <w:rFonts w:hint="default" w:ascii="Times New Roman" w:hAnsi="Times New Roman" w:eastAsia="仿宋_GB2312" w:cs="Times New Roman"/>
          <w:color w:val="000000"/>
          <w:sz w:val="28"/>
          <w:szCs w:val="28"/>
          <w:lang w:eastAsia="zh-CN"/>
        </w:rPr>
        <w:t>，市生态环境综合保障中心</w:t>
      </w:r>
      <w:r>
        <w:rPr>
          <w:rFonts w:hint="default" w:ascii="Times New Roman" w:hAnsi="Times New Roman" w:eastAsia="仿宋_GB2312" w:cs="Times New Roman"/>
          <w:color w:val="000000"/>
          <w:sz w:val="28"/>
          <w:szCs w:val="28"/>
        </w:rPr>
        <w:t>。</w:t>
      </w:r>
    </w:p>
    <w:p>
      <w:pPr>
        <w:spacing w:line="440" w:lineRule="exact"/>
        <w:ind w:firstLine="0" w:firstLineChars="0"/>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mc:AlternateContent>
          <mc:Choice Requires="wps">
            <w:drawing>
              <wp:anchor distT="0" distB="0" distL="114300" distR="114300" simplePos="0" relativeHeight="251660288" behindDoc="0" locked="0" layoutInCell="1" allowOverlap="1">
                <wp:simplePos x="0" y="0"/>
                <wp:positionH relativeFrom="column">
                  <wp:posOffset>20955</wp:posOffset>
                </wp:positionH>
                <wp:positionV relativeFrom="paragraph">
                  <wp:posOffset>297180</wp:posOffset>
                </wp:positionV>
                <wp:extent cx="5615940" cy="0"/>
                <wp:effectExtent l="0" t="0" r="0" b="0"/>
                <wp:wrapNone/>
                <wp:docPr id="2" name="直接连接符 2"/>
                <wp:cNvGraphicFramePr/>
                <a:graphic xmlns:a="http://schemas.openxmlformats.org/drawingml/2006/main">
                  <a:graphicData uri="http://schemas.microsoft.com/office/word/2010/wordprocessingShape">
                    <wps:wsp>
                      <wps:cNvSp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65pt;margin-top:23.4pt;height:0pt;width:442.2pt;z-index:251660288;mso-width-relative:page;mso-height-relative:page;" filled="f" stroked="t" coordsize="21600,21600" o:gfxdata="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kp/0rtUAAAAHAQAADwAAAAAAAAAB&#10;ACAAAAAiAAAAZHJzL2Rvd25yZXYueG1sUEsBAhQAFAAAAAgAh07iQJ4f1JvaAQAAlgMAAA4AAAAA&#10;AAAAAQAgAAAAJAEAAGRycy9lMm9Eb2MueG1sUEsFBgAAAAAGAAYAWQEAAHAFAAAAAA==&#10;">
                <v:path arrowok="t"/>
                <v:fill on="f" focussize="0,0"/>
                <v:stroke/>
                <v:imagedata o:title=""/>
                <o:lock v:ext="edit" aspectratio="f"/>
              </v:line>
            </w:pict>
          </mc:Fallback>
        </mc:AlternateContent>
      </w:r>
      <w:r>
        <w:rPr>
          <w:rFonts w:hint="default" w:ascii="Times New Roman" w:hAnsi="Times New Roman" w:eastAsia="仿宋_GB2312" w:cs="Times New Roman"/>
          <w:color w:val="000000"/>
          <w:sz w:val="28"/>
          <w:szCs w:val="28"/>
        </w:rPr>
        <w:t xml:space="preserve">鄂尔多斯市生态环境局                     </w:t>
      </w:r>
      <w:r>
        <w:rPr>
          <w:rFonts w:hint="eastAsia" w:ascii="Times New Roman" w:hAnsi="Times New Roman" w:cs="Times New Roman"/>
          <w:color w:val="000000"/>
          <w:sz w:val="28"/>
          <w:szCs w:val="28"/>
          <w:lang w:val="en-US" w:eastAsia="zh-CN"/>
        </w:rPr>
        <w:t xml:space="preserve">  </w:t>
      </w:r>
      <w:r>
        <w:rPr>
          <w:rFonts w:hint="default" w:ascii="Times New Roman" w:hAnsi="Times New Roman" w:eastAsia="仿宋_GB2312" w:cs="Times New Roman"/>
          <w:color w:val="000000"/>
          <w:sz w:val="28"/>
          <w:szCs w:val="28"/>
        </w:rPr>
        <w:t xml:space="preserve"> 202</w:t>
      </w:r>
      <w:r>
        <w:rPr>
          <w:rFonts w:hint="eastAsia" w:ascii="Times New Roman" w:hAnsi="Times New Roman" w:cs="Times New Roman"/>
          <w:color w:val="000000"/>
          <w:sz w:val="28"/>
          <w:szCs w:val="28"/>
          <w:lang w:val="en-US" w:eastAsia="zh-CN"/>
        </w:rPr>
        <w:t>3</w:t>
      </w:r>
      <w:r>
        <w:rPr>
          <w:rFonts w:hint="default" w:ascii="Times New Roman" w:hAnsi="Times New Roman" w:eastAsia="仿宋_GB2312" w:cs="Times New Roman"/>
          <w:color w:val="000000"/>
          <w:sz w:val="28"/>
          <w:szCs w:val="28"/>
        </w:rPr>
        <w:t>年</w:t>
      </w:r>
      <w:r>
        <w:rPr>
          <w:rFonts w:hint="eastAsia" w:ascii="Times New Roman" w:hAnsi="Times New Roman" w:cs="Times New Roman"/>
          <w:color w:val="000000"/>
          <w:sz w:val="28"/>
          <w:szCs w:val="28"/>
          <w:lang w:val="en-US" w:eastAsia="zh-CN"/>
        </w:rPr>
        <w:t>2</w:t>
      </w:r>
      <w:r>
        <w:rPr>
          <w:rFonts w:hint="default" w:ascii="Times New Roman" w:hAnsi="Times New Roman" w:eastAsia="仿宋_GB2312" w:cs="Times New Roman"/>
          <w:color w:val="000000"/>
          <w:sz w:val="28"/>
          <w:szCs w:val="28"/>
        </w:rPr>
        <w:t>月</w:t>
      </w:r>
      <w:r>
        <w:rPr>
          <w:rFonts w:hint="eastAsia" w:ascii="Times New Roman" w:hAnsi="Times New Roman" w:cs="Times New Roman"/>
          <w:color w:val="000000"/>
          <w:sz w:val="28"/>
          <w:szCs w:val="28"/>
          <w:lang w:val="en-US" w:eastAsia="zh-CN"/>
        </w:rPr>
        <w:t>9</w:t>
      </w:r>
      <w:r>
        <w:rPr>
          <w:rFonts w:hint="default" w:ascii="Times New Roman" w:hAnsi="Times New Roman" w:eastAsia="仿宋_GB2312" w:cs="Times New Roman"/>
          <w:color w:val="000000"/>
          <w:sz w:val="28"/>
          <w:szCs w:val="28"/>
        </w:rPr>
        <w:t>日印发</w:t>
      </w:r>
      <w:r>
        <w:rPr>
          <w:rFonts w:hint="default" w:ascii="Times New Roman" w:hAnsi="Times New Roman" w:eastAsia="仿宋_GB2312" w:cs="Times New Roman"/>
          <w:color w:val="000000"/>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7620</wp:posOffset>
                </wp:positionV>
                <wp:extent cx="5615940" cy="0"/>
                <wp:effectExtent l="0" t="0" r="0" b="0"/>
                <wp:wrapNone/>
                <wp:docPr id="3" name="直接连接符 3"/>
                <wp:cNvGraphicFramePr/>
                <a:graphic xmlns:a="http://schemas.openxmlformats.org/drawingml/2006/main">
                  <a:graphicData uri="http://schemas.microsoft.com/office/word/2010/wordprocessingShape">
                    <wps:wsp>
                      <wps:cNvSpPr/>
                      <wps:spPr>
                        <a:xfrm>
                          <a:off x="0" y="0"/>
                          <a:ext cx="561594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6pt;height:0pt;width:442.2pt;z-index:251659264;mso-width-relative:page;mso-height-relative:page;" filled="f" stroked="t" coordsize="21600,21600" o:gfxdata="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i9AY49IAAAAEAQAADwAAAAAAAAABACAA&#10;AAAiAAAAZHJzL2Rvd25yZXYueG1sUEsBAhQAFAAAAAgAh07iQI90sPbaAQAAlgMAAA4AAAAAAAAA&#10;AQAgAAAAIQEAAGRycy9lMm9Eb2MueG1sUEsFBgAAAAAGAAYAWQEAAG0FAAAAAA==&#10;">
                <v:path arrowok="t"/>
                <v:fill on="f" focussize="0,0"/>
                <v:stroke/>
                <v:imagedata o:title=""/>
                <o:lock v:ext="edit" aspectratio="f"/>
              </v:line>
            </w:pict>
          </mc:Fallback>
        </mc:AlternateContent>
      </w:r>
    </w:p>
    <w:p>
      <w:bookmarkStart w:id="1" w:name="_GoBack"/>
      <w:bookmarkEnd w:id="1"/>
    </w:p>
    <w:sectPr>
      <w:headerReference r:id="rId5" w:type="first"/>
      <w:footerReference r:id="rId8" w:type="first"/>
      <w:headerReference r:id="rId3" w:type="default"/>
      <w:footerReference r:id="rId6" w:type="default"/>
      <w:headerReference r:id="rId4" w:type="even"/>
      <w:footerReference r:id="rId7" w:type="even"/>
      <w:pgSz w:w="11906" w:h="16838"/>
      <w:pgMar w:top="2098" w:right="1588" w:bottom="1588" w:left="1588" w:header="851" w:footer="992" w:gutter="0"/>
      <w:pgNumType w:fmt="numberInDash"/>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560"/>
      <w:jc w:val="right"/>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3 -</w:t>
    </w:r>
    <w:r>
      <w:rPr>
        <w:rFonts w:hint="eastAsia" w:ascii="宋体" w:eastAsia="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560"/>
      <w:rPr>
        <w:rFonts w:hint="eastAsia" w:ascii="宋体" w:eastAsia="宋体"/>
        <w:sz w:val="28"/>
        <w:szCs w:val="28"/>
      </w:rPr>
    </w:pPr>
    <w:r>
      <w:rPr>
        <w:rFonts w:hint="eastAsia" w:ascii="宋体" w:eastAsia="宋体"/>
        <w:sz w:val="28"/>
        <w:szCs w:val="28"/>
      </w:rPr>
      <w:fldChar w:fldCharType="begin"/>
    </w:r>
    <w:r>
      <w:rPr>
        <w:rFonts w:hint="eastAsia" w:ascii="宋体" w:eastAsia="宋体"/>
        <w:sz w:val="28"/>
        <w:szCs w:val="28"/>
      </w:rPr>
      <w:instrText xml:space="preserve"> PAGE   \* MERGEFORMAT </w:instrText>
    </w:r>
    <w:r>
      <w:rPr>
        <w:rFonts w:hint="eastAsia" w:ascii="宋体" w:eastAsia="宋体"/>
        <w:sz w:val="28"/>
        <w:szCs w:val="28"/>
      </w:rPr>
      <w:fldChar w:fldCharType="separate"/>
    </w:r>
    <w:r>
      <w:rPr>
        <w:rFonts w:ascii="宋体" w:eastAsia="宋体"/>
        <w:sz w:val="28"/>
        <w:szCs w:val="28"/>
        <w:lang w:val="zh-CN"/>
      </w:rPr>
      <w:t>-</w:t>
    </w:r>
    <w:r>
      <w:rPr>
        <w:rFonts w:ascii="宋体" w:eastAsia="宋体"/>
        <w:sz w:val="28"/>
        <w:szCs w:val="28"/>
      </w:rPr>
      <w:t xml:space="preserve"> 4 -</w:t>
    </w:r>
    <w:r>
      <w:rPr>
        <w:rFonts w:hint="eastAsia" w:ascii="宋体" w:eastAsia="宋体"/>
        <w:sz w:val="28"/>
        <w:szCs w:val="2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 w:val="clear" w:pos="8306"/>
      </w:tabs>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tabs>
        <w:tab w:val="clear" w:pos="4153"/>
        <w:tab w:val="clear" w:pos="8306"/>
      </w:tabs>
      <w:ind w:firstLine="360"/>
    </w:pPr>
  </w:p>
  <w:p>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3CB65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iPriority="99" w:semiHidden="0" w:name="Body Text First Indent"/>
    <w:lsdException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200" w:firstLineChars="20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next w:val="4"/>
    <w:unhideWhenUsed/>
    <w:uiPriority w:val="99"/>
    <w:pPr>
      <w:spacing w:before="0" w:after="120" w:line="240" w:lineRule="auto"/>
      <w:ind w:left="420" w:leftChars="200" w:firstLine="420"/>
    </w:pPr>
    <w:rPr>
      <w:sz w:val="21"/>
    </w:rPr>
  </w:style>
  <w:style w:type="paragraph" w:styleId="3">
    <w:name w:val="Body Text Indent"/>
    <w:basedOn w:val="1"/>
    <w:next w:val="1"/>
    <w:uiPriority w:val="0"/>
    <w:pPr>
      <w:keepNext/>
      <w:widowControl w:val="0"/>
      <w:spacing w:line="360" w:lineRule="auto"/>
    </w:pPr>
    <w:rPr>
      <w:rFonts w:eastAsia="宋体"/>
      <w:sz w:val="24"/>
    </w:rPr>
  </w:style>
  <w:style w:type="paragraph" w:styleId="4">
    <w:name w:val="Body Text First Indent"/>
    <w:basedOn w:val="5"/>
    <w:next w:val="1"/>
    <w:unhideWhenUsed/>
    <w:uiPriority w:val="99"/>
    <w:pPr>
      <w:ind w:firstLine="420"/>
    </w:pPr>
    <w:rPr>
      <w:rFonts w:ascii="Times New Roman" w:hAnsi="Times New Roman" w:eastAsia="宋体" w:cs="Times New Roman"/>
    </w:rPr>
  </w:style>
  <w:style w:type="paragraph" w:styleId="5">
    <w:name w:val="Body Text"/>
    <w:basedOn w:val="1"/>
    <w:unhideWhenUsed/>
    <w:uiPriority w:val="99"/>
    <w:pPr>
      <w:spacing w:after="120" w:afterLines="0" w:afterAutospacing="0"/>
    </w:pPr>
    <w:rPr>
      <w:rFonts w:ascii="Times New Roman" w:hAnsi="Times New Roman" w:eastAsia="宋体" w:cs="Times New Roman"/>
    </w:rPr>
  </w:style>
  <w:style w:type="paragraph" w:styleId="6">
    <w:name w:val="Normal Indent"/>
    <w:basedOn w:val="1"/>
    <w:next w:val="2"/>
    <w:qFormat/>
    <w:uiPriority w:val="0"/>
    <w:pPr>
      <w:ind w:firstLine="200" w:firstLineChars="200"/>
    </w:pPr>
  </w:style>
  <w:style w:type="paragraph" w:styleId="7">
    <w:name w:val="footer"/>
    <w:basedOn w:val="1"/>
    <w:next w:val="1"/>
    <w:uiPriority w:val="0"/>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1">
    <w:name w:val="1正文"/>
    <w:basedOn w:val="1"/>
    <w:qFormat/>
    <w:uiPriority w:val="0"/>
    <w:pPr>
      <w:spacing w:line="360" w:lineRule="auto"/>
      <w:ind w:firstLine="200" w:firstLineChars="200"/>
      <w:jc w:val="both"/>
    </w:pPr>
    <w:rPr>
      <w:kern w:val="1"/>
      <w:sz w:val="24"/>
      <w:szCs w:val="24"/>
    </w:rPr>
  </w:style>
  <w:style w:type="paragraph" w:customStyle="1" w:styleId="12">
    <w:name w:val="111111正文"/>
    <w:basedOn w:val="1"/>
    <w:qFormat/>
    <w:uiPriority w:val="0"/>
    <w:pPr>
      <w:spacing w:line="360" w:lineRule="auto"/>
      <w:ind w:firstLine="20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2023-12-15T09:11:19Z</dcterms:created>
  <dc:creator>ll</dc:creator>
  <cp:lastModifiedBy>周芷妍</cp:lastModifiedBy>
  <dcterms:modified xsi:type="dcterms:W3CDTF">2023-12-15T09:12:08Z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ies>
</file>