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8280"/>
        </w:tabs>
        <w:spacing w:line="540" w:lineRule="exact"/>
        <w:ind w:right="26" w:firstLine="0" w:firstLineChars="0"/>
        <w:jc w:val="right"/>
        <w:rPr>
          <w:rFonts w:hint="default" w:ascii="Times New Roman" w:hAnsi="Times New Roman" w:eastAsia="仿宋" w:cs="Times New Roman"/>
          <w:color w:val="000000"/>
        </w:rPr>
      </w:pPr>
    </w:p>
    <w:p>
      <w:pPr>
        <w:pStyle w:val="2"/>
        <w:ind w:left="640"/>
        <w:rPr>
          <w:rFonts w:hint="default" w:ascii="Times New Roman" w:hAnsi="Times New Roman" w:eastAsia="仿宋" w:cs="Times New Roman"/>
          <w:color w:val="000000"/>
        </w:rPr>
      </w:pPr>
    </w:p>
    <w:p>
      <w:pPr>
        <w:pStyle w:val="2"/>
        <w:ind w:left="640"/>
        <w:rPr>
          <w:rFonts w:hint="default" w:ascii="Times New Roman" w:hAnsi="Times New Roman" w:eastAsia="仿宋" w:cs="Times New Roman"/>
          <w:color w:val="000000"/>
        </w:rPr>
      </w:pPr>
    </w:p>
    <w:p>
      <w:pPr>
        <w:pStyle w:val="2"/>
        <w:ind w:left="640"/>
        <w:rPr>
          <w:rFonts w:hint="default" w:ascii="Times New Roman" w:hAnsi="Times New Roman" w:eastAsia="仿宋" w:cs="Times New Roman"/>
          <w:color w:val="000000"/>
        </w:rPr>
      </w:pPr>
    </w:p>
    <w:p>
      <w:pPr>
        <w:pStyle w:val="2"/>
        <w:ind w:left="640"/>
        <w:rPr>
          <w:rFonts w:hint="default" w:ascii="Times New Roman" w:hAnsi="Times New Roman" w:eastAsia="仿宋" w:cs="Times New Roman"/>
          <w:color w:val="000000"/>
        </w:rPr>
      </w:pPr>
    </w:p>
    <w:p>
      <w:pPr>
        <w:pStyle w:val="2"/>
        <w:ind w:left="640"/>
        <w:rPr>
          <w:rFonts w:hint="default" w:ascii="Times New Roman" w:hAnsi="Times New Roman" w:eastAsia="仿宋" w:cs="Times New Roman"/>
          <w:color w:val="auto"/>
        </w:rPr>
      </w:pPr>
    </w:p>
    <w:p>
      <w:pPr>
        <w:pStyle w:val="2"/>
        <w:ind w:left="640"/>
        <w:rPr>
          <w:rFonts w:hint="default" w:ascii="Times New Roman" w:hAnsi="Times New Roman" w:eastAsia="仿宋" w:cs="Times New Roman"/>
          <w:color w:val="000000"/>
        </w:rPr>
      </w:pPr>
    </w:p>
    <w:p>
      <w:pPr>
        <w:pStyle w:val="2"/>
        <w:ind w:left="640"/>
        <w:rPr>
          <w:rFonts w:hint="default" w:ascii="Times New Roman" w:hAnsi="Times New Roman" w:eastAsia="仿宋" w:cs="Times New Roman"/>
          <w:color w:val="000000"/>
        </w:rPr>
      </w:pPr>
    </w:p>
    <w:p>
      <w:pPr>
        <w:pStyle w:val="2"/>
        <w:ind w:left="640"/>
        <w:rPr>
          <w:rFonts w:hint="default" w:ascii="Times New Roman" w:hAnsi="Times New Roman" w:eastAsia="仿宋" w:cs="Times New Roman"/>
          <w:color w:val="000000"/>
        </w:rPr>
      </w:pPr>
    </w:p>
    <w:p>
      <w:pPr>
        <w:pStyle w:val="2"/>
        <w:ind w:left="640"/>
        <w:rPr>
          <w:rFonts w:hint="default" w:ascii="Times New Roman" w:hAnsi="Times New Roman" w:eastAsia="仿宋" w:cs="Times New Roman"/>
          <w:color w:val="000000"/>
        </w:rPr>
      </w:pPr>
    </w:p>
    <w:p>
      <w:pPr>
        <w:pStyle w:val="2"/>
        <w:spacing w:after="0" w:line="560" w:lineRule="exact"/>
        <w:ind w:left="640"/>
        <w:rPr>
          <w:rFonts w:hint="default" w:ascii="Times New Roman" w:hAnsi="Times New Roman" w:eastAsia="仿宋" w:cs="Times New Roman"/>
          <w:color w:val="000000"/>
        </w:rPr>
      </w:pPr>
    </w:p>
    <w:p>
      <w:pPr>
        <w:pStyle w:val="2"/>
        <w:spacing w:after="0" w:line="560" w:lineRule="exact"/>
        <w:ind w:left="640"/>
        <w:rPr>
          <w:rFonts w:hint="default" w:ascii="Times New Roman" w:hAnsi="Times New Roman" w:eastAsia="仿宋" w:cs="Times New Roman"/>
          <w:color w:val="000000"/>
        </w:rPr>
      </w:pPr>
    </w:p>
    <w:p>
      <w:pPr>
        <w:tabs>
          <w:tab w:val="left" w:pos="8280"/>
        </w:tabs>
        <w:spacing w:line="560" w:lineRule="exact"/>
        <w:ind w:right="26" w:firstLine="0" w:firstLineChars="0"/>
        <w:jc w:val="center"/>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鄂环审字</w:t>
      </w:r>
      <w:bookmarkStart w:id="0" w:name="_Hlk110486633"/>
      <w:r>
        <w:rPr>
          <w:rFonts w:hint="default" w:ascii="Times New Roman" w:hAnsi="Times New Roman" w:eastAsia="仿宋" w:cs="Times New Roman"/>
          <w:color w:val="000000"/>
          <w:highlight w:val="none"/>
        </w:rPr>
        <w:t>〔202</w:t>
      </w:r>
      <w:r>
        <w:rPr>
          <w:rFonts w:hint="eastAsia" w:ascii="Times New Roman" w:hAnsi="Times New Roman" w:eastAsia="仿宋" w:cs="Times New Roman"/>
          <w:color w:val="000000"/>
          <w:highlight w:val="none"/>
          <w:lang w:val="en-US" w:eastAsia="zh-CN"/>
        </w:rPr>
        <w:t>3</w:t>
      </w:r>
      <w:r>
        <w:rPr>
          <w:rFonts w:hint="default" w:ascii="Times New Roman" w:hAnsi="Times New Roman" w:eastAsia="仿宋" w:cs="Times New Roman"/>
          <w:color w:val="000000"/>
          <w:highlight w:val="none"/>
        </w:rPr>
        <w:t>〕</w:t>
      </w:r>
      <w:bookmarkEnd w:id="0"/>
      <w:r>
        <w:rPr>
          <w:rFonts w:hint="eastAsia" w:ascii="Times New Roman" w:hAnsi="Times New Roman" w:eastAsia="仿宋" w:cs="Times New Roman"/>
          <w:color w:val="000000"/>
          <w:highlight w:val="none"/>
          <w:lang w:val="en-US" w:eastAsia="zh-CN"/>
        </w:rPr>
        <w:t>21</w:t>
      </w:r>
      <w:r>
        <w:rPr>
          <w:rFonts w:hint="default" w:ascii="Times New Roman" w:hAnsi="Times New Roman" w:eastAsia="仿宋" w:cs="Times New Roman"/>
          <w:color w:val="000000"/>
          <w:highlight w:val="none"/>
        </w:rPr>
        <w:t>号</w:t>
      </w:r>
    </w:p>
    <w:p>
      <w:pPr>
        <w:tabs>
          <w:tab w:val="left" w:pos="6780"/>
        </w:tabs>
        <w:spacing w:line="560" w:lineRule="exact"/>
        <w:ind w:firstLine="0" w:firstLineChars="0"/>
        <w:jc w:val="center"/>
        <w:rPr>
          <w:rFonts w:hint="default" w:ascii="Times New Roman" w:hAnsi="Times New Roman" w:eastAsia="仿宋" w:cs="Times New Roman"/>
          <w:b/>
          <w:color w:val="000000"/>
          <w:sz w:val="36"/>
          <w:szCs w:val="36"/>
        </w:rPr>
      </w:pPr>
    </w:p>
    <w:p>
      <w:pPr>
        <w:spacing w:line="560" w:lineRule="exact"/>
        <w:ind w:firstLine="0" w:firstLineChars="0"/>
        <w:jc w:val="center"/>
        <w:rPr>
          <w:rFonts w:hint="default" w:ascii="Times New Roman" w:hAnsi="Times New Roman" w:eastAsia="宋体" w:cs="Times New Roman"/>
          <w:b/>
          <w:color w:val="000000"/>
          <w:sz w:val="44"/>
          <w:szCs w:val="44"/>
        </w:rPr>
      </w:pPr>
      <w:r>
        <w:rPr>
          <w:rFonts w:hint="default" w:ascii="Times New Roman" w:hAnsi="Times New Roman" w:eastAsia="宋体" w:cs="Times New Roman"/>
          <w:b/>
          <w:color w:val="000000"/>
          <w:w w:val="95"/>
          <w:sz w:val="44"/>
          <w:szCs w:val="44"/>
        </w:rPr>
        <w:t>鄂尔多斯市生态环境局关</w:t>
      </w:r>
      <w:r>
        <w:rPr>
          <w:rFonts w:hint="default" w:ascii="Times New Roman" w:hAnsi="Times New Roman" w:eastAsia="宋体" w:cs="Times New Roman"/>
          <w:b/>
          <w:color w:val="000000"/>
          <w:sz w:val="44"/>
          <w:szCs w:val="44"/>
        </w:rPr>
        <w:t>于</w:t>
      </w:r>
    </w:p>
    <w:p>
      <w:pPr>
        <w:spacing w:line="560" w:lineRule="exact"/>
        <w:ind w:firstLine="0" w:firstLineChars="0"/>
        <w:jc w:val="center"/>
        <w:rPr>
          <w:rFonts w:hint="default" w:ascii="Times New Roman" w:hAnsi="Times New Roman" w:eastAsia="宋体" w:cs="Times New Roman"/>
          <w:b/>
          <w:color w:val="000000"/>
          <w:sz w:val="44"/>
          <w:szCs w:val="44"/>
          <w:lang w:val="zh-CN"/>
        </w:rPr>
      </w:pPr>
      <w:r>
        <w:rPr>
          <w:rFonts w:hint="default" w:ascii="Times New Roman" w:hAnsi="Times New Roman" w:eastAsia="宋体" w:cs="Times New Roman"/>
          <w:b/>
          <w:color w:val="000000"/>
          <w:sz w:val="44"/>
          <w:szCs w:val="44"/>
          <w:lang w:val="zh-CN"/>
        </w:rPr>
        <w:t>内蒙古北联电能源开发有限责任公司</w:t>
      </w:r>
    </w:p>
    <w:p>
      <w:pPr>
        <w:spacing w:line="560" w:lineRule="exact"/>
        <w:ind w:firstLine="0" w:firstLineChars="0"/>
        <w:jc w:val="center"/>
        <w:rPr>
          <w:rFonts w:hint="default" w:ascii="Times New Roman" w:hAnsi="Times New Roman" w:eastAsia="宋体" w:cs="Times New Roman"/>
          <w:b/>
          <w:color w:val="000000"/>
          <w:sz w:val="44"/>
          <w:szCs w:val="44"/>
          <w:lang w:val="zh-CN"/>
        </w:rPr>
      </w:pPr>
      <w:r>
        <w:rPr>
          <w:rFonts w:hint="default" w:ascii="Times New Roman" w:hAnsi="Times New Roman" w:eastAsia="宋体" w:cs="Times New Roman"/>
          <w:b/>
          <w:color w:val="000000"/>
          <w:sz w:val="44"/>
          <w:szCs w:val="44"/>
          <w:lang w:val="zh-CN"/>
        </w:rPr>
        <w:t>铧尖露天煤矿（400万吨/年）改扩建项目</w:t>
      </w:r>
    </w:p>
    <w:p>
      <w:pPr>
        <w:spacing w:line="560" w:lineRule="exact"/>
        <w:ind w:firstLine="0" w:firstLineChars="0"/>
        <w:jc w:val="center"/>
        <w:rPr>
          <w:rFonts w:hint="default" w:ascii="Times New Roman" w:hAnsi="Times New Roman" w:eastAsia="宋体" w:cs="Times New Roman"/>
          <w:b/>
          <w:color w:val="000000"/>
          <w:w w:val="95"/>
          <w:sz w:val="44"/>
          <w:szCs w:val="44"/>
        </w:rPr>
      </w:pPr>
      <w:r>
        <w:rPr>
          <w:rFonts w:hint="default" w:ascii="Times New Roman" w:hAnsi="Times New Roman" w:eastAsia="宋体" w:cs="Times New Roman"/>
          <w:b/>
          <w:color w:val="000000"/>
          <w:sz w:val="44"/>
          <w:szCs w:val="44"/>
        </w:rPr>
        <w:t>环境影响报告书</w:t>
      </w:r>
      <w:r>
        <w:rPr>
          <w:rFonts w:hint="default" w:ascii="Times New Roman" w:hAnsi="Times New Roman" w:eastAsia="宋体" w:cs="Times New Roman"/>
          <w:b/>
          <w:color w:val="000000"/>
          <w:w w:val="95"/>
          <w:sz w:val="44"/>
          <w:szCs w:val="44"/>
        </w:rPr>
        <w:t>的批复</w:t>
      </w:r>
    </w:p>
    <w:p>
      <w:pPr>
        <w:spacing w:line="560" w:lineRule="exact"/>
        <w:ind w:firstLine="0" w:firstLineChars="0"/>
        <w:jc w:val="center"/>
        <w:rPr>
          <w:rFonts w:hint="default" w:ascii="Times New Roman" w:hAnsi="Times New Roman" w:eastAsia="宋体" w:cs="Times New Roman"/>
          <w:b/>
          <w:color w:val="000000"/>
          <w:w w:val="95"/>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val="zh-CN"/>
        </w:rPr>
        <w:t>内蒙古北联电能源开发有限责任公司铧尖露天煤矿</w:t>
      </w:r>
      <w:r>
        <w:rPr>
          <w:rFonts w:hint="eastAsia" w:ascii="仿宋" w:hAnsi="仿宋" w:eastAsia="仿宋" w:cs="仿宋"/>
          <w:color w:val="auto"/>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sz w:val="32"/>
          <w:szCs w:val="32"/>
        </w:rPr>
        <w:t>你</w:t>
      </w:r>
      <w:r>
        <w:rPr>
          <w:rFonts w:hint="eastAsia" w:ascii="仿宋" w:hAnsi="仿宋" w:eastAsia="仿宋" w:cs="仿宋"/>
          <w:color w:val="000000"/>
          <w:sz w:val="32"/>
          <w:szCs w:val="32"/>
          <w:lang w:eastAsia="zh-CN"/>
        </w:rPr>
        <w:t>单位</w:t>
      </w:r>
      <w:r>
        <w:rPr>
          <w:rFonts w:hint="eastAsia" w:ascii="仿宋" w:hAnsi="仿宋" w:eastAsia="仿宋" w:cs="仿宋"/>
          <w:color w:val="000000"/>
          <w:sz w:val="32"/>
          <w:szCs w:val="32"/>
        </w:rPr>
        <w:t>报送的由</w:t>
      </w:r>
      <w:r>
        <w:rPr>
          <w:rFonts w:hint="eastAsia" w:ascii="仿宋" w:hAnsi="仿宋" w:eastAsia="仿宋" w:cs="仿宋"/>
          <w:color w:val="000000"/>
          <w:sz w:val="32"/>
          <w:szCs w:val="32"/>
          <w:lang w:val="zh-CN"/>
        </w:rPr>
        <w:t>内蒙古中昕生态环保技术有限公司</w:t>
      </w:r>
      <w:r>
        <w:rPr>
          <w:rFonts w:hint="eastAsia" w:ascii="仿宋" w:hAnsi="仿宋" w:eastAsia="仿宋" w:cs="仿宋"/>
          <w:color w:val="000000"/>
          <w:sz w:val="32"/>
          <w:szCs w:val="32"/>
        </w:rPr>
        <w:t>编制的《</w:t>
      </w:r>
      <w:r>
        <w:rPr>
          <w:rFonts w:hint="eastAsia" w:ascii="仿宋" w:hAnsi="仿宋" w:eastAsia="仿宋" w:cs="仿宋"/>
          <w:color w:val="000000"/>
          <w:sz w:val="32"/>
          <w:szCs w:val="32"/>
          <w:lang w:val="zh-CN"/>
        </w:rPr>
        <w:t>内蒙古北联电能源开发有限责任公司铧尖露天煤矿（400万t/a）改扩建项目环境影响报告书</w:t>
      </w:r>
      <w:r>
        <w:rPr>
          <w:rFonts w:hint="eastAsia" w:ascii="仿宋" w:hAnsi="仿宋" w:eastAsia="仿宋" w:cs="仿宋"/>
          <w:color w:val="000000"/>
          <w:sz w:val="32"/>
          <w:szCs w:val="32"/>
        </w:rPr>
        <w:t>》（以下简称《</w:t>
      </w:r>
      <w:r>
        <w:rPr>
          <w:rFonts w:hint="eastAsia" w:ascii="仿宋" w:hAnsi="仿宋" w:eastAsia="仿宋" w:cs="仿宋"/>
          <w:color w:val="000000"/>
          <w:sz w:val="32"/>
          <w:szCs w:val="32"/>
          <w:lang w:eastAsia="zh-CN"/>
        </w:rPr>
        <w:t>报告书</w:t>
      </w:r>
      <w:r>
        <w:rPr>
          <w:rFonts w:hint="eastAsia" w:ascii="仿宋" w:hAnsi="仿宋" w:eastAsia="仿宋" w:cs="仿宋"/>
          <w:color w:val="000000"/>
          <w:sz w:val="32"/>
          <w:szCs w:val="32"/>
        </w:rPr>
        <w:t>》）收悉。我局综合保障中心组织专家对该项目进行了技术评估，并形成了技术评估报告，根据《报告书》和《技术评估报告》，经研究，现批复如下：</w:t>
      </w:r>
    </w:p>
    <w:p>
      <w:pPr>
        <w:pStyle w:val="9"/>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该项目位于鄂尔多斯市的准格尔旗、东胜区两个行政区域，</w:t>
      </w:r>
      <w:r>
        <w:rPr>
          <w:rFonts w:hint="eastAsia" w:ascii="仿宋" w:hAnsi="仿宋" w:eastAsia="仿宋" w:cs="仿宋"/>
          <w:color w:val="000000"/>
          <w:kern w:val="0"/>
          <w:sz w:val="32"/>
          <w:szCs w:val="32"/>
        </w:rPr>
        <w:t>隶属万利矿区</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highlight w:val="none"/>
          <w:lang w:eastAsia="zh-CN"/>
        </w:rPr>
        <w:t>为</w:t>
      </w:r>
      <w:r>
        <w:rPr>
          <w:rFonts w:hint="eastAsia" w:ascii="仿宋" w:hAnsi="仿宋" w:eastAsia="仿宋" w:cs="仿宋"/>
          <w:color w:val="000000"/>
          <w:kern w:val="0"/>
          <w:sz w:val="32"/>
          <w:szCs w:val="32"/>
          <w:highlight w:val="none"/>
        </w:rPr>
        <w:t>第</w:t>
      </w:r>
      <w:r>
        <w:rPr>
          <w:rFonts w:hint="eastAsia" w:ascii="仿宋" w:hAnsi="仿宋" w:eastAsia="仿宋" w:cs="仿宋"/>
          <w:color w:val="000000"/>
          <w:kern w:val="0"/>
          <w:sz w:val="32"/>
          <w:szCs w:val="32"/>
          <w:highlight w:val="none"/>
          <w:lang w:val="en-US" w:eastAsia="zh-CN"/>
        </w:rPr>
        <w:t>二</w:t>
      </w:r>
      <w:r>
        <w:rPr>
          <w:rFonts w:hint="eastAsia" w:ascii="仿宋" w:hAnsi="仿宋" w:eastAsia="仿宋" w:cs="仿宋"/>
          <w:color w:val="000000"/>
          <w:kern w:val="0"/>
          <w:sz w:val="32"/>
          <w:szCs w:val="32"/>
          <w:highlight w:val="none"/>
        </w:rPr>
        <w:t>批保供煤矿</w:t>
      </w:r>
      <w:r>
        <w:rPr>
          <w:rFonts w:hint="eastAsia" w:ascii="仿宋" w:hAnsi="仿宋" w:eastAsia="仿宋" w:cs="仿宋"/>
          <w:color w:val="000000"/>
          <w:sz w:val="32"/>
          <w:szCs w:val="32"/>
          <w:highlight w:val="none"/>
        </w:rPr>
        <w:t>。</w:t>
      </w:r>
      <w:r>
        <w:rPr>
          <w:rFonts w:hint="eastAsia" w:ascii="仿宋" w:hAnsi="仿宋" w:eastAsia="仿宋" w:cs="仿宋"/>
          <w:color w:val="auto"/>
          <w:kern w:val="0"/>
          <w:sz w:val="32"/>
          <w:szCs w:val="32"/>
          <w:lang w:val="en-US" w:eastAsia="zh-CN"/>
        </w:rPr>
        <w:t>2009年4月，原环境保护部出具了《关于内蒙古北联电能源开发有限责任公司铧尖露天煤矿环境影响报告书的批复》（环审〔2009〕192号），矿田面积59.56km</w:t>
      </w:r>
      <w:r>
        <w:rPr>
          <w:rFonts w:hint="eastAsia" w:ascii="仿宋" w:hAnsi="仿宋" w:eastAsia="仿宋" w:cs="仿宋"/>
          <w:color w:val="auto"/>
          <w:kern w:val="0"/>
          <w:sz w:val="32"/>
          <w:szCs w:val="32"/>
          <w:vertAlign w:val="superscript"/>
          <w:lang w:val="en-US" w:eastAsia="zh-CN"/>
        </w:rPr>
        <w:t>2</w:t>
      </w:r>
      <w:r>
        <w:rPr>
          <w:rFonts w:hint="eastAsia" w:ascii="仿宋" w:hAnsi="仿宋" w:eastAsia="仿宋" w:cs="仿宋"/>
          <w:color w:val="auto"/>
          <w:kern w:val="0"/>
          <w:sz w:val="32"/>
          <w:szCs w:val="32"/>
          <w:lang w:val="en-US" w:eastAsia="zh-CN"/>
        </w:rPr>
        <w:t>，设计规模为300万t/a，开采方式为露天开采。2012年2月，原环境保护部出具了《关于内蒙古北联电能源开发有限责任公司铧尖露天煤矿工程竣工环境保护验收意见的函》（环验〔2012〕37号），矿田面积57.391km</w:t>
      </w:r>
      <w:r>
        <w:rPr>
          <w:rFonts w:hint="eastAsia" w:ascii="仿宋" w:hAnsi="仿宋" w:eastAsia="仿宋" w:cs="仿宋"/>
          <w:color w:val="auto"/>
          <w:kern w:val="0"/>
          <w:sz w:val="32"/>
          <w:szCs w:val="32"/>
          <w:vertAlign w:val="superscript"/>
          <w:lang w:val="en-US" w:eastAsia="zh-CN"/>
        </w:rPr>
        <w:t>2</w:t>
      </w:r>
      <w:r>
        <w:rPr>
          <w:rFonts w:hint="eastAsia" w:ascii="仿宋" w:hAnsi="仿宋" w:eastAsia="仿宋" w:cs="仿宋"/>
          <w:color w:val="auto"/>
          <w:kern w:val="0"/>
          <w:sz w:val="32"/>
          <w:szCs w:val="32"/>
          <w:lang w:val="en-US" w:eastAsia="zh-CN"/>
        </w:rPr>
        <w:t>，设计规模为300万t/a，开采方式为露天开采。</w:t>
      </w:r>
    </w:p>
    <w:p>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2021年11月，内蒙古自治区能源局出具了《关于内蒙古自治区保供煤矿和历史遗留问题煤矿纳入矿区总体规划调整的承诺函》（内能煤开字〔2021〕907号）。承诺将本项目纳入万利矿区规划及规划环评调整内容。</w:t>
      </w:r>
    </w:p>
    <w:p>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2022年4月，国家矿山安全监察局综合司出具了《关于核定华能伊敏煤电有限责任公司露天矿等4处煤矿生产能力的复函》（矿安综函〔2022〕83号）。核定铧尖露天煤矿生产能力由300万t/a核增至400万t/a，矿田面积57.391km</w:t>
      </w:r>
      <w:r>
        <w:rPr>
          <w:rFonts w:hint="eastAsia" w:ascii="仿宋" w:hAnsi="仿宋" w:eastAsia="仿宋" w:cs="仿宋"/>
          <w:color w:val="auto"/>
          <w:kern w:val="0"/>
          <w:sz w:val="32"/>
          <w:szCs w:val="32"/>
          <w:vertAlign w:val="superscript"/>
          <w:lang w:val="en-US" w:eastAsia="zh-CN"/>
        </w:rPr>
        <w:t>2</w:t>
      </w:r>
      <w:r>
        <w:rPr>
          <w:rFonts w:hint="eastAsia" w:ascii="仿宋" w:hAnsi="仿宋" w:eastAsia="仿宋" w:cs="仿宋"/>
          <w:color w:val="auto"/>
          <w:kern w:val="0"/>
          <w:sz w:val="32"/>
          <w:szCs w:val="32"/>
          <w:lang w:val="en-US" w:eastAsia="zh-CN"/>
        </w:rPr>
        <w:t>，开采方式为露天开采。</w:t>
      </w:r>
    </w:p>
    <w:p>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640"/>
        <w:jc w:val="left"/>
        <w:textAlignment w:val="auto"/>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lang w:val="en-US" w:eastAsia="zh-CN"/>
        </w:rPr>
        <w:t>本次改扩建工程利用现有地面生产系统，矿区面积、开采境界、开采方式等均不发生变化，本次改扩建工程主要新增二号外排土场和一号道路、二号道路。《报告书》和《技术评估报告》认为，在全面落实各项生态保护和污染防治措施的前提下，项目建设对生态环境的不利影响能够得到一定的缓解和控制。因此，我局原则同意本项目按照《报告书》和《技术评估报告》 所列的建设项目性质、规模和拟采取的生态环境保护措施及下述要求进行建设。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rPr>
        <w:t>二、项目在设计、建设和运营过程中还应做好以下工作。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.认真开展生态环境保护与恢复。</w:t>
      </w:r>
      <w:r>
        <w:rPr>
          <w:rFonts w:hint="eastAsia" w:ascii="仿宋" w:hAnsi="仿宋" w:eastAsia="仿宋" w:cs="仿宋"/>
          <w:color w:val="000000"/>
          <w:kern w:val="0"/>
          <w:sz w:val="32"/>
          <w:szCs w:val="32"/>
          <w:lang w:val="en-US" w:eastAsia="zh-CN"/>
        </w:rPr>
        <w:t>严格控制作业范围，落实将国家级重点文物保护单位战国秦长城遗址的保护范围、建设控制地带区域剔除出露天开采范围的措施，禁止越界开采。新剥离表土单独堆存用于生态恢复。按照“边开采、边修复”“谁损毁,谁复垦”的原则，编制生态保护及修复方案，加强采掘场、排土场、表土堆场等区域生态修复、土地复垦和养护管理，使用原生表土和乡土植物，重建与周边自然生态相协调的植物群落，保护和恢复区域生物多样性，最终形成可自然维持的生态系统。建立生态监测系统，加强生态影响长期跟踪监测，根据监测结果，采取优化措施减缓不利生态影响。</w:t>
      </w: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.认真落实《报告书》中提出的污染防治措施。</w:t>
      </w:r>
      <w:r>
        <w:rPr>
          <w:rFonts w:hint="eastAsia" w:ascii="仿宋" w:hAnsi="仿宋" w:eastAsia="仿宋" w:cs="仿宋"/>
          <w:color w:val="000000"/>
          <w:kern w:val="0"/>
          <w:sz w:val="32"/>
          <w:szCs w:val="32"/>
          <w:lang w:val="en-US" w:eastAsia="zh-CN"/>
        </w:rPr>
        <w:t>工业场地、外包基地采用现有燃煤锅炉房进行供暖，</w:t>
      </w:r>
      <w:r>
        <w:rPr>
          <w:rFonts w:hint="eastAsia" w:ascii="仿宋" w:hAnsi="仿宋" w:eastAsia="仿宋" w:cs="仿宋"/>
          <w:color w:val="000000"/>
          <w:sz w:val="32"/>
          <w:szCs w:val="32"/>
        </w:rPr>
        <w:t>锅炉烟气中颗粒物、SO</w:t>
      </w:r>
      <w:r>
        <w:rPr>
          <w:rFonts w:hint="eastAsia" w:ascii="仿宋" w:hAnsi="仿宋" w:eastAsia="仿宋" w:cs="仿宋"/>
          <w:color w:val="000000"/>
          <w:sz w:val="32"/>
          <w:szCs w:val="32"/>
          <w:vertAlign w:val="subscript"/>
        </w:rPr>
        <w:t>2</w:t>
      </w:r>
      <w:r>
        <w:rPr>
          <w:rFonts w:hint="eastAsia" w:ascii="仿宋" w:hAnsi="仿宋" w:eastAsia="仿宋" w:cs="仿宋"/>
          <w:color w:val="000000"/>
          <w:sz w:val="32"/>
          <w:szCs w:val="32"/>
        </w:rPr>
        <w:t>、NOx排放浓度均满足《锅炉大气污染物排放标准》（GB 13271-2014）表1在用燃煤锅炉标准限值要求。规范</w:t>
      </w:r>
      <w:r>
        <w:rPr>
          <w:rFonts w:hint="eastAsia" w:ascii="仿宋" w:hAnsi="仿宋" w:eastAsia="仿宋" w:cs="仿宋"/>
          <w:sz w:val="32"/>
          <w:szCs w:val="32"/>
        </w:rPr>
        <w:t>工业场地、采掘场</w:t>
      </w:r>
      <w:r>
        <w:rPr>
          <w:rFonts w:hint="eastAsia" w:ascii="仿宋" w:hAnsi="仿宋" w:eastAsia="仿宋" w:cs="仿宋"/>
          <w:sz w:val="32"/>
          <w:szCs w:val="32"/>
          <w:lang w:val="en-US" w:eastAsia="zh-CN"/>
        </w:rPr>
        <w:t>和</w:t>
      </w:r>
      <w:r>
        <w:rPr>
          <w:rFonts w:hint="eastAsia" w:ascii="仿宋" w:hAnsi="仿宋" w:eastAsia="仿宋" w:cs="仿宋"/>
          <w:sz w:val="32"/>
          <w:szCs w:val="32"/>
        </w:rPr>
        <w:t>排土场</w:t>
      </w:r>
      <w:r>
        <w:rPr>
          <w:rFonts w:hint="eastAsia" w:ascii="仿宋" w:hAnsi="仿宋" w:eastAsia="仿宋" w:cs="仿宋"/>
          <w:color w:val="000000"/>
          <w:sz w:val="32"/>
          <w:szCs w:val="32"/>
        </w:rPr>
        <w:t>洒水抑尘设施建设，确保矿区粉尘排放满足《煤炭工业污染物排放标准》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GB20426-2006</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限值要求</w:t>
      </w:r>
      <w:r>
        <w:rPr>
          <w:rFonts w:hint="eastAsia" w:ascii="仿宋" w:hAnsi="仿宋" w:eastAsia="仿宋" w:cs="仿宋"/>
          <w:color w:val="000000"/>
          <w:sz w:val="32"/>
          <w:szCs w:val="32"/>
          <w:lang w:eastAsia="zh-CN"/>
        </w:rPr>
        <w:t>。建设单位须按照相关要求在可视范围内设置视频监控点位系统，保证监控区域无死角和监控画质高清晰，并与鄂尔多斯市环境网格化监管平台联网。生活污水经生活污水处理站处理满足相关标准限值后用于绿化灌溉和道路洒水，不外排。矿坑涌水经处理满足相关标准限值后全部用于露天采场、外排土场、运煤道路防尘洒水和工业场地绿化用水，不外排。</w:t>
      </w:r>
      <w:r>
        <w:rPr>
          <w:rFonts w:hint="eastAsia" w:ascii="仿宋" w:hAnsi="仿宋" w:eastAsia="仿宋" w:cs="仿宋"/>
          <w:color w:val="000000"/>
          <w:sz w:val="32"/>
          <w:szCs w:val="32"/>
        </w:rPr>
        <w:t>厂界噪声须满足《工业企业厂界环境噪声排放标准》（GB12348-2008）</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类标准限值要求</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建设单位须严格按照《一般工业固体废物贮存和填埋污染控制标准》（GB18599-2020）及《危险废物贮存污染控制标准》（GB18597-2001）（及其修改单）要求对一般固废和危险废物进行处置，各类固废均不得乱弃。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国家级重点文物保护单位战国秦长城遗址的遗存外缘向两侧外扩100m作为保护范围、保护范围向两侧外扩100m作为建设控制地带，结合矿田岩石的特性，采用微差爆破控制技术，降低采场穿孔爆破产生的振动对战国秦长城遗址的影响，同时要采用控制爆破的方式进行开挖，多钻孔、少装药，保护战国秦长城遗址本体，爆破容许振动速度等要求应满足《古建筑防工业振动技术规范》(GB/T50452-2008)标准中相关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3.严格按照《环境影响评价技术导则地下水环境》（HJ610-2016）、《地下水环境监测技术规范》（HJ164-2020）和《环境影响评价技术导则 土壤环境》（HJ964-2018）等相关要求，对厂区内重点污染防治区、一般污染防治区等采取分区防渗措施，同时按照要求布设地下水观测井和土壤跟踪监测点，做好地下水和土壤跟踪监测工作，定期对地下水和土壤进行跟踪监测，加强日常管理与巡查，以免造成地下水和土壤污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color w:val="000000"/>
          <w:kern w:val="0"/>
          <w:sz w:val="32"/>
          <w:szCs w:val="32"/>
          <w:lang w:val="en-US" w:eastAsia="zh-CN"/>
        </w:rPr>
        <w:t>4.建设单位须强化环境风险防范。制定环境风险应急预案，落实环境风险事故防范措施，提高事故风险防范和污染控制能力。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三、项目建设必须严格执行配套的环境保护设施与主体工程同时设计、同时施工、同时投产使用的环境保护“三同时”制度。严格落实生态环保措施专项设计要求。应将优化和细化后的各项生态环保措施及概算纳入设计及施工等招标文件及合同，并明确责任，按照规定程序实施竣工环境保护验收。项目验收后满5年，应组织开展环境影响后评价，按要求开展生态环境保护措施安全风险评估和隐患排查治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四、你公司应在收到本批复20日内，将《报告书》（报批版）及批复文件送至鄂尔多斯市生态环境局准格尔旗分局</w:t>
      </w:r>
      <w:r>
        <w:rPr>
          <w:rFonts w:hint="eastAsia" w:ascii="仿宋" w:hAnsi="仿宋" w:eastAsia="仿宋" w:cs="仿宋"/>
          <w:sz w:val="32"/>
          <w:szCs w:val="32"/>
          <w:lang w:val="zh-CN"/>
        </w:rPr>
        <w:t>和东胜区分局</w:t>
      </w:r>
      <w:r>
        <w:rPr>
          <w:rFonts w:hint="eastAsia" w:ascii="仿宋" w:hAnsi="仿宋" w:eastAsia="仿宋" w:cs="仿宋"/>
          <w:color w:val="000000"/>
          <w:kern w:val="0"/>
          <w:sz w:val="32"/>
          <w:szCs w:val="32"/>
          <w:lang w:val="en-US" w:eastAsia="zh-CN"/>
        </w:rPr>
        <w:t>，我局委托鄂尔多斯市生态环境局准格尔旗分局</w:t>
      </w:r>
      <w:r>
        <w:rPr>
          <w:rFonts w:hint="eastAsia" w:ascii="仿宋" w:hAnsi="仿宋" w:eastAsia="仿宋" w:cs="仿宋"/>
          <w:sz w:val="32"/>
          <w:szCs w:val="32"/>
          <w:lang w:val="zh-CN"/>
        </w:rPr>
        <w:t>和东胜区分局</w:t>
      </w:r>
      <w:r>
        <w:rPr>
          <w:rFonts w:hint="eastAsia" w:ascii="仿宋" w:hAnsi="仿宋" w:eastAsia="仿宋" w:cs="仿宋"/>
          <w:color w:val="000000"/>
          <w:kern w:val="0"/>
          <w:sz w:val="32"/>
          <w:szCs w:val="32"/>
          <w:lang w:val="en-US" w:eastAsia="zh-CN"/>
        </w:rPr>
        <w:t>负责该项目的日常监管工作。</w:t>
      </w:r>
    </w:p>
    <w:p>
      <w:pPr>
        <w:pStyle w:val="4"/>
        <w:ind w:left="0" w:leftChars="0" w:firstLine="0" w:firstLineChars="0"/>
        <w:rPr>
          <w:rFonts w:hint="eastAsia" w:ascii="仿宋" w:hAnsi="仿宋" w:eastAsia="仿宋" w:cs="仿宋"/>
          <w:sz w:val="32"/>
          <w:szCs w:val="32"/>
        </w:rPr>
      </w:pPr>
    </w:p>
    <w:p>
      <w:pPr>
        <w:pStyle w:val="2"/>
        <w:rPr>
          <w:rFonts w:hint="eastAsia" w:ascii="仿宋" w:hAnsi="仿宋" w:eastAsia="仿宋" w:cs="仿宋"/>
          <w:sz w:val="32"/>
          <w:szCs w:val="32"/>
        </w:rPr>
      </w:pPr>
    </w:p>
    <w:p>
      <w:pPr>
        <w:pStyle w:val="5"/>
        <w:ind w:left="0" w:leftChars="0" w:firstLine="0" w:firstLineChars="0"/>
        <w:rPr>
          <w:rFonts w:hint="eastAsia" w:ascii="仿宋" w:hAnsi="仿宋" w:eastAsia="仿宋" w:cs="仿宋"/>
          <w:color w:val="000000"/>
          <w:sz w:val="32"/>
          <w:szCs w:val="32"/>
        </w:rPr>
      </w:pPr>
    </w:p>
    <w:p>
      <w:pPr>
        <w:spacing w:line="560" w:lineRule="exact"/>
        <w:ind w:firstLine="4800" w:firstLineChars="1500"/>
        <w:rPr>
          <w:rFonts w:hint="eastAsia" w:ascii="仿宋" w:hAnsi="仿宋" w:eastAsia="仿宋" w:cs="仿宋"/>
          <w:color w:val="000000"/>
          <w:sz w:val="32"/>
          <w:szCs w:val="32"/>
        </w:rPr>
      </w:pPr>
      <w:r>
        <w:rPr>
          <w:rFonts w:hint="eastAsia" w:ascii="仿宋" w:hAnsi="仿宋" w:eastAsia="仿宋" w:cs="仿宋"/>
          <w:color w:val="000000"/>
          <w:sz w:val="32"/>
          <w:szCs w:val="32"/>
        </w:rPr>
        <w:t>鄂尔多斯市生态环境局</w:t>
      </w:r>
    </w:p>
    <w:p>
      <w:pPr>
        <w:wordWrap w:val="0"/>
        <w:spacing w:line="560" w:lineRule="exact"/>
        <w:ind w:right="320" w:firstLine="0" w:firstLineChars="0"/>
        <w:jc w:val="center"/>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                            202</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年</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日</w:t>
      </w:r>
    </w:p>
    <w:p>
      <w:pPr>
        <w:spacing w:line="560" w:lineRule="exact"/>
        <w:ind w:right="320" w:firstLine="0" w:firstLineChars="0"/>
        <w:jc w:val="right"/>
        <w:rPr>
          <w:rFonts w:hint="default" w:ascii="Times New Roman" w:hAnsi="Times New Roman" w:eastAsia="仿宋" w:cs="Times New Roman"/>
          <w:color w:val="000000"/>
          <w:szCs w:val="32"/>
        </w:rPr>
      </w:pPr>
    </w:p>
    <w:p>
      <w:pPr>
        <w:spacing w:line="500" w:lineRule="exact"/>
        <w:ind w:right="320" w:firstLine="0" w:firstLineChars="0"/>
        <w:jc w:val="right"/>
        <w:rPr>
          <w:rFonts w:hint="default" w:ascii="Times New Roman" w:hAnsi="Times New Roman" w:eastAsia="仿宋" w:cs="Times New Roman"/>
          <w:color w:val="000000"/>
          <w:szCs w:val="32"/>
        </w:rPr>
      </w:pPr>
    </w:p>
    <w:p>
      <w:pPr>
        <w:pStyle w:val="5"/>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5"/>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5"/>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5"/>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5"/>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5"/>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5"/>
        <w:rPr>
          <w:rFonts w:hint="default" w:ascii="Times New Roman" w:hAnsi="Times New Roman" w:eastAsia="仿宋" w:cs="Times New Roman"/>
          <w:color w:val="000000"/>
          <w:szCs w:val="32"/>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rPr>
          <w:rFonts w:hint="default"/>
        </w:rPr>
      </w:pPr>
    </w:p>
    <w:p>
      <w:pPr>
        <w:pStyle w:val="2"/>
        <w:rPr>
          <w:rFonts w:hint="default"/>
        </w:rPr>
      </w:pPr>
    </w:p>
    <w:p>
      <w:pPr>
        <w:ind w:left="0" w:leftChars="0" w:firstLine="0" w:firstLineChars="0"/>
        <w:rPr>
          <w:rFonts w:hint="default"/>
        </w:rPr>
      </w:pPr>
    </w:p>
    <w:p>
      <w:pPr>
        <w:spacing w:line="440" w:lineRule="exact"/>
        <w:ind w:left="980" w:hanging="980" w:hangingChars="350"/>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14605</wp:posOffset>
                </wp:positionV>
                <wp:extent cx="5615940" cy="0"/>
                <wp:effectExtent l="0" t="0" r="0" b="0"/>
                <wp:wrapNone/>
                <wp:docPr id="1" name="直接连接符 1"/>
                <wp:cNvGraphicFramePr/>
                <a:graphic xmlns:a="http://schemas.openxmlformats.org/drawingml/2006/main">
                  <a:graphicData uri="http://schemas.microsoft.com/office/word/2010/wordprocessingShape">
                    <wps:wsp>
                      <wps:cNvSp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15pt;height:0pt;width:442.2pt;z-index:251658240;mso-width-relative:page;mso-height-relative:page;" filled="f" stroked="t" coordsize="21600,21600" o:gfxdata="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9xLTDSAAAABAEAAA8AAAAAAAAAAQAgAAAA&#10;IgAAAGRycy9kb3ducmV2LnhtbFBLAQIUABQAAAAIAIdO4kCtongs2AEAAJYDAAAOAAAAAAAAAAEA&#10;IAAAACEBAABkcnMvZTJvRG9jLnhtbFBLBQYAAAAABgAGAFkBAABrBQAAAAA=&#10;">
                <v:path arrowok="t"/>
                <v:fill on="f" focussize="0,0"/>
                <v:stroke/>
                <v:imagedata o:title=""/>
                <o:lock v:ext="edit" aspectratio="f"/>
              </v:line>
            </w:pict>
          </mc:Fallback>
        </mc:AlternateContent>
      </w:r>
      <w:r>
        <w:rPr>
          <w:rFonts w:hint="default" w:ascii="Times New Roman" w:hAnsi="Times New Roman" w:eastAsia="仿宋_GB2312" w:cs="Times New Roman"/>
          <w:color w:val="000000"/>
          <w:sz w:val="28"/>
          <w:szCs w:val="28"/>
        </w:rPr>
        <w:t>抄送：</w:t>
      </w:r>
      <w:r>
        <w:rPr>
          <w:rFonts w:hint="default" w:ascii="Times New Roman" w:hAnsi="Times New Roman" w:cs="Times New Roman"/>
          <w:color w:val="000000"/>
          <w:sz w:val="28"/>
          <w:szCs w:val="28"/>
          <w:lang w:val="en-US" w:eastAsia="zh-CN"/>
        </w:rPr>
        <w:t>鄂尔多斯市生态环境局</w:t>
      </w:r>
      <w:r>
        <w:rPr>
          <w:rFonts w:hint="eastAsia" w:ascii="Times New Roman" w:hAnsi="Times New Roman" w:cs="Times New Roman"/>
          <w:color w:val="000000"/>
          <w:sz w:val="28"/>
          <w:szCs w:val="28"/>
          <w:lang w:val="en-US" w:eastAsia="zh-CN"/>
        </w:rPr>
        <w:t>准格尔旗</w:t>
      </w:r>
      <w:r>
        <w:rPr>
          <w:rFonts w:hint="default" w:ascii="Times New Roman" w:hAnsi="Times New Roman" w:cs="Times New Roman"/>
          <w:color w:val="000000"/>
          <w:sz w:val="28"/>
          <w:szCs w:val="28"/>
          <w:lang w:val="en-US" w:eastAsia="zh-CN"/>
        </w:rPr>
        <w:t>分局，鄂尔多斯市生态环境</w:t>
      </w:r>
      <w:r>
        <w:rPr>
          <w:rFonts w:hint="eastAsia" w:ascii="Times New Roman" w:hAnsi="Times New Roman" w:cs="Times New Roman"/>
          <w:color w:val="000000"/>
          <w:sz w:val="28"/>
          <w:szCs w:val="28"/>
          <w:lang w:val="en-US" w:eastAsia="zh-CN"/>
        </w:rPr>
        <w:t>局东胜区</w:t>
      </w:r>
      <w:r>
        <w:rPr>
          <w:rFonts w:hint="default" w:ascii="Times New Roman" w:hAnsi="Times New Roman" w:cs="Times New Roman"/>
          <w:color w:val="000000"/>
          <w:sz w:val="28"/>
          <w:szCs w:val="28"/>
          <w:lang w:val="en-US" w:eastAsia="zh-CN"/>
        </w:rPr>
        <w:t>分局</w:t>
      </w:r>
      <w:r>
        <w:rPr>
          <w:rFonts w:hint="eastAsia" w:ascii="Times New Roman" w:hAnsi="Times New Roman" w:cs="Times New Roman"/>
          <w:color w:val="000000"/>
          <w:sz w:val="28"/>
          <w:szCs w:val="28"/>
          <w:lang w:val="en-US" w:eastAsia="zh-CN"/>
        </w:rPr>
        <w:t>，</w:t>
      </w:r>
      <w:r>
        <w:rPr>
          <w:rFonts w:hint="default" w:ascii="Times New Roman" w:hAnsi="Times New Roman" w:cs="Times New Roman"/>
          <w:color w:val="000000"/>
          <w:sz w:val="28"/>
          <w:szCs w:val="28"/>
          <w:lang w:val="en-US" w:eastAsia="zh-CN"/>
        </w:rPr>
        <w:t>市生态环境综合行政执法支队，内蒙古中昕生态环保技术有限公司，市生态环境综合保障中心。</w:t>
      </w:r>
    </w:p>
    <w:p>
      <w:pPr>
        <w:spacing w:line="440" w:lineRule="exact"/>
        <w:ind w:firstLine="0" w:firstLineChars="0"/>
      </w:pPr>
      <w:r>
        <w:rPr>
          <w:rFonts w:hint="default" w:ascii="Times New Roman" w:hAnsi="Times New Roman" w:eastAsia="仿宋_GB2312" w:cs="Times New Roman"/>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297180</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Sp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5pt;margin-top:23.4pt;height:0pt;width:442.2pt;z-index:251660288;mso-width-relative:page;mso-height-relative:page;" filled="f" stroked="t" coordsize="21600,21600" o:gfxdata="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kp/0rtUAAAAHAQAADwAAAAAAAAAB&#10;ACAAAAAiAAAAZHJzL2Rvd25yZXYueG1sUEsBAhQAFAAAAAgAh07iQJ4f1JvaAQAAlgMAAA4AAAAA&#10;AAAAAQAgAAAAJAEAAGRycy9lMm9Eb2MueG1sUEsFBgAAAAAGAAYAWQEAAHAFAAAAAA==&#10;">
                <v:path arrowok="t"/>
                <v:fill on="f" focussize="0,0"/>
                <v:stroke/>
                <v:imagedata o:title=""/>
                <o:lock v:ext="edit" aspectratio="f"/>
              </v:line>
            </w:pict>
          </mc:Fallback>
        </mc:AlternateContent>
      </w:r>
      <w:r>
        <w:rPr>
          <w:rFonts w:hint="default" w:ascii="Times New Roman" w:hAnsi="Times New Roman" w:eastAsia="仿宋_GB2312" w:cs="Times New Roman"/>
          <w:color w:val="000000"/>
          <w:sz w:val="28"/>
          <w:szCs w:val="28"/>
        </w:rPr>
        <w:t>鄂尔多斯市生态环境局                      202</w:t>
      </w:r>
      <w:r>
        <w:rPr>
          <w:rFonts w:hint="eastAsia" w:ascii="Times New Roman" w:hAnsi="Times New Roman" w:cs="Times New Roman"/>
          <w:color w:val="000000"/>
          <w:sz w:val="28"/>
          <w:szCs w:val="28"/>
          <w:lang w:val="en-US" w:eastAsia="zh-CN"/>
        </w:rPr>
        <w:t>3</w:t>
      </w:r>
      <w:r>
        <w:rPr>
          <w:rFonts w:hint="default" w:ascii="Times New Roman" w:hAnsi="Times New Roman" w:eastAsia="仿宋_GB2312" w:cs="Times New Roman"/>
          <w:color w:val="000000"/>
          <w:sz w:val="28"/>
          <w:szCs w:val="28"/>
        </w:rPr>
        <w:t>年</w:t>
      </w:r>
      <w:r>
        <w:rPr>
          <w:rFonts w:hint="eastAsia" w:ascii="Times New Roman" w:hAnsi="Times New Roman" w:cs="Times New Roman"/>
          <w:color w:val="000000"/>
          <w:sz w:val="28"/>
          <w:szCs w:val="28"/>
          <w:lang w:val="en-US" w:eastAsia="zh-CN"/>
        </w:rPr>
        <w:t>2</w:t>
      </w:r>
      <w:r>
        <w:rPr>
          <w:rFonts w:hint="default" w:ascii="Times New Roman" w:hAnsi="Times New Roman" w:eastAsia="仿宋_GB2312" w:cs="Times New Roman"/>
          <w:color w:val="000000"/>
          <w:sz w:val="28"/>
          <w:szCs w:val="28"/>
        </w:rPr>
        <w:t>月</w:t>
      </w:r>
      <w:r>
        <w:rPr>
          <w:rFonts w:hint="eastAsia" w:ascii="Times New Roman" w:hAnsi="Times New Roman" w:cs="Times New Roman"/>
          <w:color w:val="000000"/>
          <w:sz w:val="28"/>
          <w:szCs w:val="28"/>
          <w:lang w:val="en-US" w:eastAsia="zh-CN"/>
        </w:rPr>
        <w:t>9</w:t>
      </w:r>
      <w:r>
        <w:rPr>
          <w:rFonts w:hint="default" w:ascii="Times New Roman" w:hAnsi="Times New Roman" w:eastAsia="仿宋_GB2312" w:cs="Times New Roman"/>
          <w:color w:val="000000"/>
          <w:sz w:val="28"/>
          <w:szCs w:val="28"/>
        </w:rPr>
        <w:t>日印发</w:t>
      </w:r>
      <w:r>
        <w:rPr>
          <w:rFonts w:hint="default" w:ascii="Times New Roman" w:hAnsi="Times New Roman" w:eastAsia="仿宋_GB2312" w:cs="Times New Roman"/>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wp:posOffset>
                </wp:positionV>
                <wp:extent cx="5615940" cy="0"/>
                <wp:effectExtent l="0" t="0" r="0" b="0"/>
                <wp:wrapNone/>
                <wp:docPr id="3" name="直接连接符 3"/>
                <wp:cNvGraphicFramePr/>
                <a:graphic xmlns:a="http://schemas.openxmlformats.org/drawingml/2006/main">
                  <a:graphicData uri="http://schemas.microsoft.com/office/word/2010/wordprocessingShape">
                    <wps:wsp>
                      <wps:cNvSp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pt;width:442.2pt;z-index:251659264;mso-width-relative:page;mso-height-relative:page;" filled="f" stroked="t" coordsize="21600,21600" o:gfxdata="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i9AY49IAAAAEAQAADwAAAAAAAAABACAA&#10;AAAiAAAAZHJzL2Rvd25yZXYueG1sUEsBAhQAFAAAAAgAh07iQI90sPbaAQAAlgMAAA4AAAAAAAAA&#10;AQAgAAAAIQEAAGRycy9lMm9Eb2MueG1sUEsFBgAAAAAGAAYAWQEAAG0FAAAAAA==&#10;">
                <v:path arrowok="t"/>
                <v:fill on="f" focussize="0,0"/>
                <v:stroke/>
                <v:imagedata o:title=""/>
                <o:lock v:ext="edit" aspectratio="f"/>
              </v:line>
            </w:pict>
          </mc:Fallback>
        </mc:AlternateContent>
      </w:r>
      <w:bookmarkStart w:id="1" w:name="_GoBack"/>
      <w:bookmarkEnd w:id="1"/>
    </w:p>
    <w:sectPr>
      <w:headerReference r:id="rId5" w:type="first"/>
      <w:footerReference r:id="rId8" w:type="first"/>
      <w:headerReference r:id="rId3" w:type="default"/>
      <w:footerReference r:id="rId6" w:type="default"/>
      <w:headerReference r:id="rId4" w:type="even"/>
      <w:footerReference r:id="rId7" w:type="even"/>
      <w:pgSz w:w="11906" w:h="16838"/>
      <w:pgMar w:top="2098" w:right="1588" w:bottom="1588" w:left="1588"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tabs>
        <w:tab w:val="clear" w:pos="4153"/>
        <w:tab w:val="clear" w:pos="8306"/>
      </w:tabs>
      <w:ind w:firstLine="360"/>
    </w:pPr>
  </w:p>
  <w:p>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8ECA5D"/>
    <w:multiLevelType w:val="singleLevel"/>
    <w:tmpl w:val="778ECA5D"/>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5294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next w:val="1"/>
    <w:unhideWhenUsed/>
    <w:uiPriority w:val="99"/>
    <w:pPr>
      <w:spacing w:before="0" w:after="120" w:line="240" w:lineRule="auto"/>
      <w:ind w:left="420" w:leftChars="200" w:firstLine="420"/>
    </w:pPr>
    <w:rPr>
      <w:sz w:val="21"/>
    </w:rPr>
  </w:style>
  <w:style w:type="paragraph" w:styleId="3">
    <w:name w:val="Body Text Indent"/>
    <w:basedOn w:val="1"/>
    <w:next w:val="4"/>
    <w:uiPriority w:val="0"/>
    <w:pPr>
      <w:keepNext/>
      <w:widowControl w:val="0"/>
      <w:spacing w:line="360" w:lineRule="auto"/>
    </w:pPr>
    <w:rPr>
      <w:rFonts w:eastAsia="宋体"/>
      <w:sz w:val="24"/>
    </w:rPr>
  </w:style>
  <w:style w:type="paragraph" w:styleId="4">
    <w:name w:val="Normal Indent"/>
    <w:basedOn w:val="1"/>
    <w:next w:val="2"/>
    <w:qFormat/>
    <w:uiPriority w:val="0"/>
    <w:pPr>
      <w:ind w:firstLine="200" w:firstLineChars="200"/>
    </w:pPr>
  </w:style>
  <w:style w:type="paragraph" w:styleId="5">
    <w:name w:val="footer"/>
    <w:basedOn w:val="1"/>
    <w:next w:val="1"/>
    <w:uiPriority w:val="0"/>
    <w:pPr>
      <w:tabs>
        <w:tab w:val="center" w:pos="4153"/>
        <w:tab w:val="right" w:pos="8306"/>
      </w:tabs>
      <w:snapToGrid w:val="0"/>
      <w:jc w:val="left"/>
    </w:pPr>
    <w:rPr>
      <w:sz w:val="18"/>
      <w:szCs w:val="18"/>
    </w:rPr>
  </w:style>
  <w:style w:type="paragraph" w:styleId="6">
    <w:name w:val="header"/>
    <w:basedOn w:val="1"/>
    <w:uiPriority w:val="0"/>
    <w:pPr>
      <w:pBdr>
        <w:bottom w:val="single" w:color="auto" w:sz="6" w:space="1"/>
      </w:pBdr>
      <w:tabs>
        <w:tab w:val="center" w:pos="4153"/>
        <w:tab w:val="right" w:pos="8306"/>
      </w:tabs>
      <w:snapToGrid w:val="0"/>
      <w:jc w:val="center"/>
    </w:pPr>
    <w:rPr>
      <w:sz w:val="18"/>
      <w:szCs w:val="18"/>
    </w:rPr>
  </w:style>
  <w:style w:type="paragraph" w:customStyle="1" w:styleId="9">
    <w:name w:val="111111正文"/>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2023-12-15T09:09:54Z</dcterms:created>
  <dc:creator>ll</dc:creator>
  <cp:lastModifiedBy>周芷妍</cp:lastModifiedBy>
  <dcterms:modified xsi:type="dcterms:W3CDTF">2023-12-15T09:10:12Z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