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280"/>
        </w:tabs>
        <w:spacing w:line="560" w:lineRule="exact"/>
        <w:ind w:right="26" w:firstLine="0" w:firstLineChars="0"/>
        <w:jc w:val="right"/>
        <w:rPr>
          <w:rFonts w:hint="eastAsia" w:eastAsia="仿宋"/>
        </w:rPr>
      </w:pPr>
    </w:p>
    <w:p>
      <w:pPr>
        <w:tabs>
          <w:tab w:val="left" w:pos="8280"/>
        </w:tabs>
        <w:spacing w:line="560" w:lineRule="exact"/>
        <w:ind w:right="26" w:firstLine="0" w:firstLineChars="0"/>
        <w:jc w:val="right"/>
        <w:rPr>
          <w:rFonts w:eastAsia="仿宋"/>
        </w:rPr>
      </w:pPr>
    </w:p>
    <w:p>
      <w:pPr>
        <w:tabs>
          <w:tab w:val="left" w:pos="8280"/>
        </w:tabs>
        <w:spacing w:line="560" w:lineRule="exact"/>
        <w:ind w:right="26" w:firstLine="0" w:firstLineChars="0"/>
        <w:jc w:val="center"/>
      </w:pPr>
    </w:p>
    <w:p>
      <w:pPr>
        <w:tabs>
          <w:tab w:val="left" w:pos="8280"/>
        </w:tabs>
        <w:spacing w:line="560" w:lineRule="exact"/>
        <w:ind w:right="26" w:firstLine="0" w:firstLineChars="0"/>
        <w:jc w:val="center"/>
      </w:pPr>
    </w:p>
    <w:p>
      <w:pPr>
        <w:tabs>
          <w:tab w:val="left" w:pos="8280"/>
        </w:tabs>
        <w:spacing w:line="560" w:lineRule="exact"/>
        <w:ind w:right="26" w:firstLine="0" w:firstLineChars="0"/>
        <w:jc w:val="center"/>
      </w:pPr>
    </w:p>
    <w:p>
      <w:pPr>
        <w:pStyle w:val="7"/>
        <w:spacing w:line="560" w:lineRule="exact"/>
        <w:ind w:firstLine="0" w:firstLineChars="0"/>
      </w:pPr>
    </w:p>
    <w:p>
      <w:pPr>
        <w:tabs>
          <w:tab w:val="left" w:pos="8280"/>
        </w:tabs>
        <w:spacing w:line="560" w:lineRule="exact"/>
        <w:ind w:right="26" w:firstLine="0" w:firstLineChars="0"/>
        <w:jc w:val="center"/>
      </w:pPr>
    </w:p>
    <w:p>
      <w:pPr>
        <w:tabs>
          <w:tab w:val="left" w:pos="8280"/>
        </w:tabs>
        <w:spacing w:line="560" w:lineRule="exact"/>
        <w:ind w:right="26" w:firstLine="0" w:firstLineChars="0"/>
        <w:jc w:val="center"/>
      </w:pPr>
    </w:p>
    <w:p>
      <w:pPr>
        <w:tabs>
          <w:tab w:val="left" w:pos="8280"/>
        </w:tabs>
        <w:spacing w:line="560" w:lineRule="exact"/>
        <w:ind w:right="26" w:firstLine="0" w:firstLineChars="0"/>
        <w:jc w:val="center"/>
      </w:pPr>
    </w:p>
    <w:p>
      <w:pPr>
        <w:pStyle w:val="7"/>
        <w:spacing w:line="560" w:lineRule="exact"/>
        <w:ind w:firstLine="640"/>
      </w:pPr>
    </w:p>
    <w:p>
      <w:pPr>
        <w:tabs>
          <w:tab w:val="left" w:pos="8280"/>
        </w:tabs>
        <w:spacing w:line="560" w:lineRule="exact"/>
        <w:ind w:right="26" w:firstLine="0" w:firstLineChars="0"/>
        <w:jc w:val="center"/>
        <w:rPr>
          <w:highlight w:val="none"/>
        </w:rPr>
      </w:pPr>
    </w:p>
    <w:p>
      <w:pPr>
        <w:tabs>
          <w:tab w:val="left" w:pos="8280"/>
        </w:tabs>
        <w:spacing w:line="560" w:lineRule="exact"/>
        <w:ind w:right="26" w:firstLine="0" w:firstLineChars="0"/>
        <w:jc w:val="center"/>
        <w:rPr>
          <w:highlight w:val="none"/>
        </w:rPr>
      </w:pPr>
      <w:r>
        <w:rPr>
          <w:highlight w:val="none"/>
        </w:rPr>
        <w:t>鄂环</w:t>
      </w:r>
      <w:r>
        <w:rPr>
          <w:rFonts w:hint="eastAsia"/>
          <w:highlight w:val="none"/>
        </w:rPr>
        <w:t>审</w:t>
      </w:r>
      <w:r>
        <w:rPr>
          <w:highlight w:val="none"/>
        </w:rPr>
        <w:t>字〔</w:t>
      </w:r>
      <w:r>
        <w:rPr>
          <w:rFonts w:hint="eastAsia"/>
          <w:highlight w:val="none"/>
        </w:rPr>
        <w:t>202</w:t>
      </w:r>
      <w:r>
        <w:rPr>
          <w:rFonts w:hint="eastAsia"/>
          <w:highlight w:val="none"/>
          <w:lang w:val="en-US" w:eastAsia="zh-CN"/>
        </w:rPr>
        <w:t>3</w:t>
      </w:r>
      <w:r>
        <w:rPr>
          <w:highlight w:val="none"/>
        </w:rPr>
        <w:t>〕</w:t>
      </w:r>
      <w:r>
        <w:rPr>
          <w:rFonts w:hint="eastAsia"/>
          <w:highlight w:val="none"/>
          <w:lang w:val="en-US" w:eastAsia="zh-CN"/>
        </w:rPr>
        <w:t>12</w:t>
      </w:r>
      <w:r>
        <w:rPr>
          <w:highlight w:val="none"/>
        </w:rPr>
        <w:t>号</w:t>
      </w:r>
    </w:p>
    <w:p>
      <w:pPr>
        <w:pStyle w:val="2"/>
        <w:ind w:left="0" w:leftChars="0" w:firstLine="0" w:firstLineChars="0"/>
      </w:pPr>
    </w:p>
    <w:p>
      <w:pPr>
        <w:spacing w:line="560" w:lineRule="exact"/>
        <w:ind w:firstLine="0" w:firstLineChars="0"/>
        <w:jc w:val="center"/>
        <w:rPr>
          <w:rFonts w:eastAsia="宋体"/>
          <w:b/>
          <w:w w:val="95"/>
          <w:sz w:val="44"/>
          <w:szCs w:val="44"/>
        </w:rPr>
      </w:pPr>
      <w:r>
        <w:rPr>
          <w:rFonts w:eastAsia="宋体"/>
          <w:b/>
          <w:w w:val="95"/>
          <w:sz w:val="44"/>
          <w:szCs w:val="44"/>
        </w:rPr>
        <w:t>鄂尔多斯市生态环境局</w:t>
      </w:r>
    </w:p>
    <w:p>
      <w:pPr>
        <w:spacing w:line="560" w:lineRule="exact"/>
        <w:ind w:firstLine="0" w:firstLineChars="0"/>
        <w:jc w:val="center"/>
        <w:rPr>
          <w:rFonts w:hint="eastAsia" w:eastAsia="宋体"/>
          <w:b/>
          <w:w w:val="95"/>
          <w:sz w:val="44"/>
          <w:szCs w:val="44"/>
        </w:rPr>
      </w:pPr>
      <w:r>
        <w:rPr>
          <w:rFonts w:eastAsia="宋体"/>
          <w:b/>
          <w:w w:val="95"/>
          <w:sz w:val="44"/>
          <w:szCs w:val="44"/>
        </w:rPr>
        <w:t>关于</w:t>
      </w:r>
      <w:r>
        <w:rPr>
          <w:rFonts w:hint="eastAsia" w:eastAsia="宋体"/>
          <w:b/>
          <w:w w:val="95"/>
          <w:sz w:val="44"/>
          <w:szCs w:val="44"/>
        </w:rPr>
        <w:t>内蒙古荣信化工有限公司绿色低碳</w:t>
      </w:r>
    </w:p>
    <w:p>
      <w:pPr>
        <w:spacing w:line="560" w:lineRule="exact"/>
        <w:ind w:firstLine="0" w:firstLineChars="0"/>
        <w:jc w:val="center"/>
        <w:rPr>
          <w:rFonts w:hint="eastAsia" w:eastAsia="宋体"/>
          <w:b/>
          <w:w w:val="95"/>
          <w:sz w:val="44"/>
          <w:szCs w:val="44"/>
        </w:rPr>
      </w:pPr>
      <w:r>
        <w:rPr>
          <w:rFonts w:hint="eastAsia" w:eastAsia="宋体"/>
          <w:b/>
          <w:w w:val="95"/>
          <w:sz w:val="44"/>
          <w:szCs w:val="44"/>
        </w:rPr>
        <w:t>锂电新材料产业链升级项目</w:t>
      </w:r>
    </w:p>
    <w:p>
      <w:pPr>
        <w:spacing w:line="560" w:lineRule="exact"/>
        <w:ind w:firstLine="0" w:firstLineChars="0"/>
        <w:jc w:val="center"/>
        <w:rPr>
          <w:rFonts w:hint="eastAsia" w:eastAsia="宋体"/>
          <w:b/>
          <w:w w:val="95"/>
          <w:sz w:val="44"/>
          <w:szCs w:val="44"/>
        </w:rPr>
      </w:pPr>
      <w:r>
        <w:rPr>
          <w:rFonts w:hint="eastAsia" w:eastAsia="宋体"/>
          <w:b/>
          <w:w w:val="95"/>
          <w:sz w:val="44"/>
          <w:szCs w:val="44"/>
        </w:rPr>
        <w:t>环境影响报告书的批复</w:t>
      </w:r>
    </w:p>
    <w:p>
      <w:pPr>
        <w:spacing w:line="560" w:lineRule="exact"/>
        <w:ind w:firstLine="723"/>
        <w:jc w:val="center"/>
        <w:rPr>
          <w:rFonts w:eastAsia="仿宋"/>
          <w:b/>
          <w:sz w:val="36"/>
          <w:szCs w:val="36"/>
        </w:rPr>
      </w:pPr>
    </w:p>
    <w:p>
      <w:pPr>
        <w:adjustRightInd w:val="0"/>
        <w:snapToGrid w:val="0"/>
        <w:spacing w:line="560" w:lineRule="exact"/>
        <w:ind w:firstLine="0" w:firstLineChars="0"/>
        <w:rPr>
          <w:rFonts w:hint="eastAsia" w:ascii="仿宋_GB2312" w:hAnsi="仿宋_GB2312" w:cs="仿宋_GB2312"/>
          <w:color w:val="000000"/>
          <w:szCs w:val="32"/>
        </w:rPr>
      </w:pPr>
      <w:r>
        <w:rPr>
          <w:rFonts w:hint="eastAsia" w:eastAsia="仿宋_GB2312"/>
          <w:kern w:val="0"/>
          <w:sz w:val="32"/>
          <w:szCs w:val="32"/>
        </w:rPr>
        <w:t>内蒙古荣信化工有限公司</w:t>
      </w:r>
      <w:r>
        <w:rPr>
          <w:rFonts w:hint="eastAsia" w:ascii="仿宋_GB2312" w:hAnsi="仿宋_GB2312" w:cs="仿宋_GB2312"/>
          <w:color w:val="000000"/>
          <w:szCs w:val="32"/>
        </w:rPr>
        <w:t>：</w:t>
      </w:r>
    </w:p>
    <w:p>
      <w:pPr>
        <w:adjustRightInd w:val="0"/>
        <w:snapToGrid w:val="0"/>
        <w:spacing w:line="560" w:lineRule="exact"/>
        <w:ind w:firstLine="640"/>
        <w:rPr>
          <w:rFonts w:hint="eastAsia" w:ascii="仿宋_GB2312" w:hAnsi="仿宋_GB2312" w:cs="仿宋_GB2312"/>
          <w:color w:val="000000"/>
          <w:szCs w:val="32"/>
        </w:rPr>
      </w:pPr>
      <w:r>
        <w:rPr>
          <w:rFonts w:hint="eastAsia" w:ascii="仿宋_GB2312" w:hAnsi="仿宋_GB2312" w:cs="仿宋_GB2312"/>
          <w:color w:val="000000"/>
          <w:szCs w:val="32"/>
        </w:rPr>
        <w:t>你公司报送的由</w:t>
      </w:r>
      <w:r>
        <w:rPr>
          <w:rFonts w:hint="eastAsia" w:eastAsia="仿宋_GB2312"/>
          <w:sz w:val="32"/>
        </w:rPr>
        <w:t>内蒙古凯越工程咨询有限公司</w:t>
      </w:r>
      <w:r>
        <w:rPr>
          <w:rFonts w:hint="eastAsia" w:ascii="仿宋_GB2312" w:hAnsi="仿宋_GB2312" w:cs="仿宋_GB2312"/>
          <w:color w:val="000000"/>
          <w:szCs w:val="32"/>
        </w:rPr>
        <w:t>编制的《</w:t>
      </w:r>
      <w:r>
        <w:rPr>
          <w:rFonts w:hint="eastAsia" w:eastAsia="仿宋_GB2312"/>
          <w:kern w:val="0"/>
          <w:sz w:val="32"/>
          <w:szCs w:val="32"/>
        </w:rPr>
        <w:t>内蒙古荣信化工有限公司绿色低碳锂电新材料产业链升级项目环境影响报告书</w:t>
      </w:r>
      <w:r>
        <w:rPr>
          <w:rFonts w:hint="eastAsia" w:ascii="仿宋_GB2312" w:hAnsi="仿宋_GB2312" w:cs="仿宋_GB2312"/>
          <w:color w:val="000000"/>
          <w:szCs w:val="32"/>
        </w:rPr>
        <w:t>》（以下简称《报告书》）收悉，我局综合保障中心组织专家对该项目进行了技术评估，并形成了技术评估报告，根据《报告书》和《技术评估报告》，经研究，现批复如下：</w:t>
      </w:r>
    </w:p>
    <w:p>
      <w:pPr>
        <w:pStyle w:val="19"/>
        <w:keepNext w:val="0"/>
        <w:keepLines w:val="0"/>
        <w:pageBreakBefore w:val="0"/>
        <w:widowControl w:val="0"/>
        <w:kinsoku/>
        <w:wordWrap/>
        <w:overflowPunct/>
        <w:topLinePunct w:val="0"/>
        <w:autoSpaceDE/>
        <w:autoSpaceDN/>
        <w:bidi w:val="0"/>
        <w:adjustRightInd/>
        <w:snapToGrid/>
        <w:spacing w:line="600" w:lineRule="exact"/>
        <w:ind w:firstLine="640" w:firstLineChars="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项目位于鄂尔多斯市达拉特旗三垧梁工业园区内蒙古荣信化工有限公司厂区，建设碳酸二甲酯和碳酸甲乙酯生产装置，以及配套的产品罐区、焚烧单元、桶装灌装系统及变电站，其他公用工程及辅助设施等均依托已有装置和设施。本项目建成后，年产30万吨碳酸二甲酯，其中5.3万吨用于生产碳酸甲乙酯（5万吨/年），其余精制生产电子级碳酸二甲酯，同时副产碳酸二乙酯及甲醇。项目</w:t>
      </w:r>
      <w:r>
        <w:rPr>
          <w:rFonts w:hint="eastAsia" w:ascii="仿宋_GB2312" w:hAnsi="仿宋_GB2312" w:eastAsia="仿宋_GB2312" w:cs="仿宋_GB2312"/>
          <w:color w:val="000000"/>
          <w:sz w:val="32"/>
          <w:szCs w:val="32"/>
          <w:lang w:eastAsia="zh-CN"/>
        </w:rPr>
        <w:t>总投资</w:t>
      </w:r>
      <w:r>
        <w:rPr>
          <w:rFonts w:hint="eastAsia" w:ascii="仿宋_GB2312" w:hAnsi="仿宋_GB2312" w:eastAsia="仿宋_GB2312" w:cs="仿宋_GB2312"/>
          <w:color w:val="000000"/>
          <w:sz w:val="32"/>
          <w:szCs w:val="32"/>
        </w:rPr>
        <w:t>80000万元，其中环保投资</w:t>
      </w:r>
      <w:bookmarkStart w:id="0" w:name="_GoBack"/>
      <w:r>
        <w:rPr>
          <w:rFonts w:hint="eastAsia" w:ascii="仿宋_GB2312" w:hAnsi="仿宋_GB2312" w:eastAsia="仿宋_GB2312" w:cs="仿宋_GB2312"/>
          <w:color w:val="000000"/>
          <w:sz w:val="32"/>
          <w:szCs w:val="32"/>
        </w:rPr>
        <w:t>3847</w:t>
      </w:r>
      <w:bookmarkEnd w:id="0"/>
      <w:r>
        <w:rPr>
          <w:rFonts w:hint="eastAsia" w:ascii="仿宋_GB2312" w:hAnsi="仿宋_GB2312" w:eastAsia="仿宋_GB2312" w:cs="仿宋_GB2312"/>
          <w:color w:val="000000"/>
          <w:sz w:val="32"/>
          <w:szCs w:val="32"/>
        </w:rPr>
        <w:t>万元。</w:t>
      </w:r>
    </w:p>
    <w:p>
      <w:pPr>
        <w:adjustRightInd w:val="0"/>
        <w:snapToGrid w:val="0"/>
        <w:spacing w:line="560" w:lineRule="exact"/>
        <w:ind w:firstLine="640"/>
        <w:rPr>
          <w:rFonts w:hint="eastAsia" w:ascii="仿宋_GB2312" w:hAnsi="仿宋_GB2312" w:cs="仿宋_GB2312"/>
          <w:color w:val="000000"/>
          <w:szCs w:val="32"/>
        </w:rPr>
      </w:pPr>
      <w:r>
        <w:rPr>
          <w:rFonts w:hint="eastAsia" w:ascii="仿宋_GB2312" w:hAnsi="仿宋_GB2312" w:cs="仿宋_GB2312"/>
          <w:color w:val="000000"/>
          <w:szCs w:val="32"/>
        </w:rPr>
        <w:t>《报告书》和《技术评估报告》认为，在全面落实各项生态环境保护和环境污染防治措施的前提下，项目建设对环境的不利影响能够得到一定的缓解和控制。因此，我局原则同意你公司按照《报告书》和《技术评估报告》中所列的建设项目性质、规模、地点、工艺、环境保护措施进行建设。</w:t>
      </w:r>
    </w:p>
    <w:p>
      <w:pPr>
        <w:adjustRightInd w:val="0"/>
        <w:snapToGrid w:val="0"/>
        <w:spacing w:line="560" w:lineRule="exact"/>
        <w:ind w:firstLine="640"/>
        <w:rPr>
          <w:rFonts w:ascii="仿宋_GB2312" w:hAnsi="仿宋_GB2312" w:cs="仿宋_GB2312"/>
          <w:color w:val="000000"/>
          <w:szCs w:val="32"/>
        </w:rPr>
      </w:pPr>
      <w:r>
        <w:rPr>
          <w:rFonts w:hint="eastAsia" w:ascii="仿宋_GB2312" w:hAnsi="仿宋_GB2312" w:cs="仿宋_GB2312"/>
          <w:color w:val="000000"/>
          <w:szCs w:val="32"/>
        </w:rPr>
        <w:t>二、项目建设与运行管理中应重点做好的工作：</w:t>
      </w:r>
    </w:p>
    <w:p>
      <w:pPr>
        <w:adjustRightInd w:val="0"/>
        <w:snapToGrid w:val="0"/>
        <w:spacing w:line="560" w:lineRule="exact"/>
        <w:ind w:firstLine="640"/>
        <w:rPr>
          <w:rFonts w:ascii="仿宋_GB2312" w:hAnsi="仿宋_GB2312" w:cs="仿宋_GB2312"/>
          <w:color w:val="000000"/>
          <w:szCs w:val="32"/>
        </w:rPr>
      </w:pPr>
      <w:r>
        <w:rPr>
          <w:rFonts w:ascii="仿宋_GB2312" w:hAnsi="仿宋_GB2312" w:cs="仿宋_GB2312"/>
          <w:color w:val="000000"/>
          <w:szCs w:val="32"/>
        </w:rPr>
        <w:t>1.</w:t>
      </w:r>
      <w:r>
        <w:rPr>
          <w:rFonts w:hint="eastAsia" w:ascii="仿宋_GB2312" w:hAnsi="仿宋_GB2312" w:cs="仿宋_GB2312"/>
          <w:color w:val="000000"/>
          <w:szCs w:val="32"/>
        </w:rPr>
        <w:t>加强施工期环境管理。</w:t>
      </w:r>
      <w:r>
        <w:rPr>
          <w:rFonts w:hint="eastAsia" w:ascii="仿宋_GB2312" w:hAnsi="仿宋_GB2312" w:eastAsia="仿宋_GB2312" w:cs="仿宋_GB2312"/>
          <w:sz w:val="32"/>
          <w:szCs w:val="32"/>
        </w:rPr>
        <w:t>砂土等易产生扬尘的物料密闭堆放</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施工场地设置围挡</w:t>
      </w:r>
      <w:r>
        <w:rPr>
          <w:rFonts w:hint="eastAsia" w:ascii="仿宋_GB2312" w:hAnsi="仿宋_GB2312" w:cs="仿宋_GB2312"/>
          <w:sz w:val="32"/>
          <w:szCs w:val="32"/>
          <w:lang w:eastAsia="zh-CN"/>
        </w:rPr>
        <w:t>并</w:t>
      </w:r>
      <w:r>
        <w:rPr>
          <w:rFonts w:hint="eastAsia" w:ascii="仿宋_GB2312" w:hAnsi="仿宋_GB2312" w:eastAsia="仿宋_GB2312" w:cs="仿宋_GB2312"/>
          <w:sz w:val="32"/>
          <w:szCs w:val="32"/>
        </w:rPr>
        <w:t>定期洒水</w:t>
      </w:r>
      <w:r>
        <w:rPr>
          <w:rFonts w:hint="eastAsia" w:ascii="仿宋_GB2312" w:hAnsi="仿宋_GB2312" w:cs="仿宋_GB2312"/>
          <w:color w:val="000000"/>
          <w:szCs w:val="32"/>
        </w:rPr>
        <w:t>。</w:t>
      </w:r>
      <w:r>
        <w:rPr>
          <w:rFonts w:hint="eastAsia" w:ascii="仿宋_GB2312" w:hAnsi="仿宋_GB2312" w:eastAsia="仿宋_GB2312" w:cs="仿宋_GB2312"/>
          <w:sz w:val="32"/>
          <w:szCs w:val="32"/>
        </w:rPr>
        <w:t>施工生产废水经沉淀处理后回用于施工场地，施工人员生活污水排入</w:t>
      </w:r>
      <w:r>
        <w:rPr>
          <w:rFonts w:hint="eastAsia" w:ascii="仿宋_GB2312" w:hAnsi="仿宋_GB2312" w:cs="仿宋_GB2312"/>
          <w:sz w:val="32"/>
          <w:szCs w:val="32"/>
          <w:lang w:eastAsia="zh-CN"/>
        </w:rPr>
        <w:t>现有工程</w:t>
      </w:r>
      <w:r>
        <w:rPr>
          <w:rFonts w:hint="eastAsia" w:ascii="仿宋_GB2312" w:hAnsi="仿宋_GB2312" w:eastAsia="仿宋_GB2312" w:cs="仿宋_GB2312"/>
          <w:sz w:val="32"/>
          <w:szCs w:val="32"/>
        </w:rPr>
        <w:t>污水处理站</w:t>
      </w:r>
      <w:r>
        <w:rPr>
          <w:rFonts w:hint="eastAsia" w:ascii="仿宋_GB2312" w:hAnsi="仿宋_GB2312" w:cs="仿宋_GB2312"/>
          <w:color w:val="000000"/>
          <w:szCs w:val="32"/>
        </w:rPr>
        <w:t>。</w:t>
      </w:r>
      <w:r>
        <w:rPr>
          <w:rFonts w:hint="eastAsia" w:ascii="仿宋_GB2312" w:hAnsi="仿宋_GB2312" w:cs="仿宋_GB2312"/>
          <w:color w:val="000000"/>
          <w:szCs w:val="32"/>
          <w:highlight w:val="none"/>
        </w:rPr>
        <w:t>加强施工管理，</w:t>
      </w:r>
      <w:r>
        <w:rPr>
          <w:rFonts w:hint="eastAsia" w:ascii="仿宋_GB2312" w:hAnsi="仿宋_GB2312" w:eastAsia="仿宋_GB2312" w:cs="仿宋_GB2312"/>
          <w:bCs/>
          <w:sz w:val="32"/>
          <w:szCs w:val="32"/>
          <w:highlight w:val="none"/>
          <w:lang w:val="zh-CN"/>
        </w:rPr>
        <w:t>合理布局施工场地，</w:t>
      </w:r>
      <w:r>
        <w:rPr>
          <w:rFonts w:hint="eastAsia" w:ascii="仿宋_GB2312" w:hAnsi="仿宋_GB2312" w:eastAsia="仿宋_GB2312" w:cs="仿宋_GB2312"/>
          <w:bCs/>
          <w:sz w:val="32"/>
          <w:szCs w:val="32"/>
          <w:highlight w:val="none"/>
        </w:rPr>
        <w:t>合理安排施工时间</w:t>
      </w:r>
      <w:r>
        <w:rPr>
          <w:rFonts w:hint="eastAsia" w:ascii="仿宋_GB2312" w:hAnsi="仿宋_GB2312" w:cs="仿宋_GB2312"/>
          <w:bCs/>
          <w:sz w:val="32"/>
          <w:szCs w:val="32"/>
          <w:highlight w:val="none"/>
          <w:lang w:eastAsia="zh-CN"/>
        </w:rPr>
        <w:t>，</w:t>
      </w:r>
      <w:r>
        <w:rPr>
          <w:rFonts w:hint="eastAsia" w:ascii="仿宋_GB2312" w:hAnsi="仿宋_GB2312" w:eastAsia="仿宋_GB2312" w:cs="仿宋_GB2312"/>
          <w:bCs/>
          <w:sz w:val="32"/>
          <w:szCs w:val="32"/>
          <w:highlight w:val="none"/>
        </w:rPr>
        <w:t>使用低噪声机械设备，同时在施工过程中应设置专人对设备进行定期保养和维护</w:t>
      </w:r>
      <w:r>
        <w:rPr>
          <w:rFonts w:hint="eastAsia" w:ascii="仿宋_GB2312" w:hAnsi="仿宋_GB2312" w:cs="仿宋_GB2312"/>
          <w:color w:val="000000"/>
          <w:szCs w:val="32"/>
          <w:highlight w:val="none"/>
          <w:lang w:eastAsia="zh-CN"/>
        </w:rPr>
        <w:t>。</w:t>
      </w:r>
      <w:r>
        <w:rPr>
          <w:rFonts w:hint="eastAsia" w:ascii="仿宋_GB2312" w:eastAsia="仿宋_GB2312"/>
          <w:sz w:val="32"/>
        </w:rPr>
        <w:t>施工建筑垃圾和施工人员生活垃圾由当地环卫部门统一处理</w:t>
      </w:r>
      <w:r>
        <w:rPr>
          <w:rFonts w:hint="eastAsia" w:ascii="仿宋_GB2312" w:hAnsi="仿宋_GB2312" w:cs="仿宋_GB2312"/>
          <w:color w:val="000000"/>
          <w:szCs w:val="32"/>
        </w:rPr>
        <w:t>。</w:t>
      </w:r>
    </w:p>
    <w:p>
      <w:pPr>
        <w:pStyle w:val="7"/>
        <w:keepNext w:val="0"/>
        <w:keepLines w:val="0"/>
        <w:pageBreakBefore w:val="0"/>
        <w:widowControl w:val="0"/>
        <w:kinsoku/>
        <w:wordWrap/>
        <w:overflowPunct/>
        <w:topLinePunct w:val="0"/>
        <w:bidi w:val="0"/>
        <w:spacing w:line="600" w:lineRule="exact"/>
        <w:ind w:firstLine="640"/>
        <w:textAlignment w:val="auto"/>
        <w:rPr>
          <w:rFonts w:ascii="仿宋_GB2312" w:hAnsi="仿宋_GB2312" w:cs="仿宋_GB2312"/>
          <w:color w:val="000000"/>
          <w:szCs w:val="32"/>
        </w:rPr>
      </w:pPr>
      <w:r>
        <w:rPr>
          <w:rFonts w:hint="eastAsia" w:ascii="仿宋_GB2312" w:hAnsi="仿宋_GB2312" w:eastAsia="仿宋_GB2312" w:cs="仿宋_GB2312"/>
          <w:color w:val="000000"/>
          <w:kern w:val="2"/>
          <w:sz w:val="32"/>
          <w:szCs w:val="32"/>
          <w:lang w:val="en-US" w:eastAsia="zh-CN" w:bidi="ar-SA"/>
        </w:rPr>
        <w:t>2</w:t>
      </w:r>
      <w:r>
        <w:rPr>
          <w:rFonts w:ascii="仿宋_GB2312" w:hAnsi="仿宋_GB2312" w:eastAsia="仿宋_GB2312" w:cs="仿宋_GB2312"/>
          <w:color w:val="000000"/>
          <w:kern w:val="2"/>
          <w:sz w:val="32"/>
          <w:szCs w:val="32"/>
          <w:lang w:val="en-US" w:eastAsia="zh-CN" w:bidi="ar-SA"/>
        </w:rPr>
        <w:t>.</w:t>
      </w:r>
      <w:r>
        <w:rPr>
          <w:rFonts w:hint="eastAsia" w:ascii="仿宋_GB2312" w:hAnsi="仿宋_GB2312" w:cs="仿宋_GB2312"/>
          <w:color w:val="000000"/>
          <w:szCs w:val="32"/>
        </w:rPr>
        <w:t>认真落实《报告书》和《技术评估报告》中提出的大气污染防治措施。</w:t>
      </w:r>
      <w:r>
        <w:rPr>
          <w:rFonts w:hint="eastAsia" w:ascii="仿宋_GB2312" w:hAnsi="仿宋_GB2312" w:eastAsia="仿宋_GB2312" w:cs="仿宋_GB2312"/>
          <w:sz w:val="32"/>
          <w:szCs w:val="32"/>
        </w:rPr>
        <w:t>精馏塔废气、罐区及装卸废气排至焚烧炉焚烧</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焚烧炉烟气经SCR脱硝+布袋除尘器处理后，经60米高排气筒排放，颗粒物、二氧化硫、氮氧化物、一氧化碳执行《危险废物焚烧污染控制标准》（GB 18484-2020）</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甲醇、非甲烷总烃执行《石油化学工业污染物排放标准》（GB 31571-2015）特别排放限制要求，氨逃逸参照执行《火电厂烟气脱硝工程技术规范》（HJ562-2010）相关限值要求。新增6个储罐均为内浮顶储罐，顶部采用氮封保护；装卸平台设置油气回收装置</w:t>
      </w:r>
      <w:r>
        <w:rPr>
          <w:rFonts w:hint="eastAsia" w:ascii="仿宋_GB2312" w:hAnsi="仿宋_GB2312" w:cs="仿宋_GB2312"/>
          <w:sz w:val="32"/>
          <w:szCs w:val="32"/>
          <w:lang w:eastAsia="zh-CN"/>
        </w:rPr>
        <w:t>；确保</w:t>
      </w:r>
      <w:r>
        <w:rPr>
          <w:rFonts w:hint="eastAsia" w:ascii="仿宋_GB2312" w:hAnsi="仿宋_GB2312" w:eastAsia="仿宋_GB2312" w:cs="仿宋_GB2312"/>
          <w:sz w:val="32"/>
          <w:szCs w:val="32"/>
        </w:rPr>
        <w:t>无组织非甲烷总烃满足《石油化学工业污染物排放标准》（GB 31571-2015）及《挥发性有机物无组织排放控制标准》（GB 37822-2019）限值要求。</w:t>
      </w:r>
    </w:p>
    <w:p>
      <w:pPr>
        <w:adjustRightInd w:val="0"/>
        <w:snapToGrid w:val="0"/>
        <w:spacing w:line="560" w:lineRule="exact"/>
        <w:ind w:firstLine="640"/>
        <w:rPr>
          <w:rFonts w:hint="eastAsia" w:ascii="仿宋_GB2312" w:hAnsi="仿宋_GB2312" w:cs="仿宋_GB2312"/>
          <w:color w:val="000000"/>
          <w:szCs w:val="32"/>
        </w:rPr>
      </w:pPr>
      <w:r>
        <w:rPr>
          <w:rFonts w:hint="eastAsia" w:ascii="仿宋_GB2312" w:hAnsi="仿宋_GB2312" w:eastAsia="仿宋_GB2312" w:cs="仿宋_GB2312"/>
          <w:color w:val="000000"/>
          <w:kern w:val="2"/>
          <w:sz w:val="32"/>
          <w:szCs w:val="32"/>
          <w:lang w:val="en-US" w:eastAsia="zh-CN" w:bidi="ar-SA"/>
        </w:rPr>
        <w:t>3.</w:t>
      </w:r>
      <w:r>
        <w:rPr>
          <w:rFonts w:hint="eastAsia" w:ascii="仿宋_GB2312" w:hAnsi="仿宋_GB2312" w:cs="仿宋_GB2312"/>
          <w:color w:val="000000"/>
          <w:szCs w:val="32"/>
        </w:rPr>
        <w:t>强化废水处理与回用，实行雨污分流、清污分流。</w:t>
      </w:r>
      <w:r>
        <w:rPr>
          <w:rFonts w:hint="eastAsia" w:ascii="仿宋_GB2312" w:hAnsi="仿宋_GB2312" w:eastAsia="仿宋_GB2312" w:cs="仿宋_GB2312"/>
          <w:sz w:val="32"/>
          <w:szCs w:val="32"/>
        </w:rPr>
        <w:t>运营期产生的废水主要为余热锅炉循环水系统排污水</w:t>
      </w:r>
      <w:r>
        <w:rPr>
          <w:rFonts w:hint="eastAsia" w:ascii="仿宋_GB2312" w:hAnsi="仿宋_GB2312" w:cs="仿宋_GB2312"/>
          <w:color w:val="000000"/>
          <w:szCs w:val="32"/>
        </w:rPr>
        <w:t>和生活污水</w:t>
      </w:r>
      <w:r>
        <w:rPr>
          <w:rFonts w:hint="eastAsia" w:ascii="仿宋_GB2312" w:hAnsi="仿宋_GB2312" w:cs="仿宋_GB2312"/>
          <w:color w:val="000000"/>
          <w:szCs w:val="32"/>
          <w:lang w:eastAsia="zh-CN"/>
        </w:rPr>
        <w:t>，</w:t>
      </w:r>
      <w:r>
        <w:rPr>
          <w:rFonts w:hint="eastAsia" w:ascii="仿宋_GB2312" w:hAnsi="仿宋_GB2312" w:cs="仿宋_GB2312"/>
          <w:color w:val="000000"/>
          <w:szCs w:val="32"/>
        </w:rPr>
        <w:t>均依托厂区现有污水处理系统进行处理</w:t>
      </w:r>
      <w:r>
        <w:rPr>
          <w:rFonts w:hint="eastAsia" w:ascii="仿宋_GB2312" w:hAnsi="仿宋_GB2312" w:cs="仿宋_GB2312"/>
          <w:color w:val="000000"/>
          <w:szCs w:val="32"/>
          <w:lang w:eastAsia="zh-CN"/>
        </w:rPr>
        <w:t>，</w:t>
      </w:r>
      <w:r>
        <w:rPr>
          <w:rFonts w:hint="eastAsia" w:ascii="仿宋_GB2312" w:hAnsi="仿宋_GB2312" w:cs="仿宋_GB2312"/>
          <w:color w:val="000000"/>
          <w:szCs w:val="32"/>
        </w:rPr>
        <w:t>以上各污（废）水均不得外排。</w:t>
      </w:r>
      <w:r>
        <w:rPr>
          <w:rFonts w:hint="eastAsia" w:ascii="仿宋_GB2312" w:hAnsi="仿宋_GB2312" w:cs="仿宋_GB2312"/>
          <w:color w:val="000000"/>
          <w:szCs w:val="32"/>
          <w:lang w:eastAsia="zh-CN"/>
        </w:rPr>
        <w:t>生产装置区</w:t>
      </w:r>
      <w:r>
        <w:rPr>
          <w:rFonts w:hint="eastAsia" w:ascii="仿宋_GB2312" w:hAnsi="仿宋_GB2312" w:cs="仿宋_GB2312"/>
          <w:color w:val="000000"/>
          <w:szCs w:val="32"/>
        </w:rPr>
        <w:t>、</w:t>
      </w:r>
      <w:r>
        <w:rPr>
          <w:rFonts w:hint="eastAsia" w:ascii="仿宋_GB2312" w:hAnsi="仿宋_GB2312" w:cs="仿宋_GB2312"/>
          <w:color w:val="000000"/>
          <w:szCs w:val="32"/>
          <w:lang w:eastAsia="zh-CN"/>
        </w:rPr>
        <w:t>罐区、</w:t>
      </w:r>
      <w:r>
        <w:rPr>
          <w:rFonts w:hint="eastAsia" w:ascii="仿宋_GB2312" w:hAnsi="仿宋_GB2312" w:eastAsia="仿宋_GB2312" w:cs="仿宋_GB2312"/>
          <w:sz w:val="32"/>
          <w:szCs w:val="32"/>
        </w:rPr>
        <w:t>汽车装车区</w:t>
      </w:r>
      <w:r>
        <w:rPr>
          <w:rFonts w:hint="eastAsia" w:ascii="仿宋_GB2312" w:hAnsi="仿宋_GB2312" w:cs="仿宋_GB2312"/>
          <w:color w:val="000000"/>
          <w:szCs w:val="32"/>
        </w:rPr>
        <w:t>等地面</w:t>
      </w:r>
      <w:r>
        <w:rPr>
          <w:rFonts w:hint="eastAsia" w:ascii="仿宋_GB2312" w:hAnsi="仿宋_GB2312" w:cs="仿宋_GB2312"/>
          <w:color w:val="000000"/>
          <w:szCs w:val="32"/>
          <w:lang w:eastAsia="zh-CN"/>
        </w:rPr>
        <w:t>进行分区防渗</w:t>
      </w:r>
      <w:r>
        <w:rPr>
          <w:rFonts w:hint="eastAsia" w:ascii="仿宋_GB2312" w:hAnsi="仿宋_GB2312" w:cs="仿宋_GB2312"/>
          <w:color w:val="000000"/>
          <w:szCs w:val="32"/>
        </w:rPr>
        <w:t>，定期对地下水和土壤进行跟踪监测，以免造成地下水和土壤污染。</w:t>
      </w:r>
    </w:p>
    <w:p>
      <w:pPr>
        <w:adjustRightInd w:val="0"/>
        <w:snapToGrid w:val="0"/>
        <w:spacing w:line="560" w:lineRule="exact"/>
        <w:ind w:firstLine="640"/>
        <w:rPr>
          <w:rFonts w:hint="eastAsia" w:ascii="仿宋_GB2312" w:hAnsi="仿宋_GB2312" w:cs="仿宋_GB2312"/>
          <w:color w:val="000000"/>
          <w:szCs w:val="32"/>
        </w:rPr>
      </w:pPr>
      <w:r>
        <w:rPr>
          <w:rFonts w:hint="eastAsia" w:ascii="仿宋_GB2312" w:hAnsi="仿宋_GB2312" w:eastAsia="仿宋_GB2312" w:cs="仿宋_GB2312"/>
          <w:color w:val="000000"/>
          <w:kern w:val="2"/>
          <w:sz w:val="32"/>
          <w:szCs w:val="32"/>
          <w:lang w:val="en-US" w:eastAsia="zh-CN" w:bidi="ar-SA"/>
        </w:rPr>
        <w:t>4.</w:t>
      </w:r>
      <w:r>
        <w:rPr>
          <w:rFonts w:hint="eastAsia" w:ascii="仿宋_GB2312" w:hAnsi="仿宋_GB2312" w:cs="仿宋_GB2312"/>
          <w:color w:val="000000"/>
          <w:szCs w:val="32"/>
        </w:rPr>
        <w:t>应采取妥善控制措施，确保厂界噪声满足《工业企业厂界环境噪声排放标准》( GB12348-2008) 3类标准限值要求。</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600" w:lineRule="exact"/>
        <w:ind w:left="0" w:right="0" w:firstLine="640"/>
        <w:jc w:val="both"/>
        <w:rPr>
          <w:rFonts w:hint="eastAsia" w:ascii="仿宋_GB2312" w:hAnsi="仿宋_GB2312" w:cs="仿宋_GB2312"/>
          <w:color w:val="000000"/>
          <w:szCs w:val="32"/>
        </w:rPr>
      </w:pPr>
      <w:r>
        <w:rPr>
          <w:rFonts w:hint="eastAsia" w:ascii="仿宋_GB2312" w:hAnsi="仿宋_GB2312" w:eastAsia="仿宋_GB2312" w:cs="仿宋_GB2312"/>
          <w:color w:val="000000"/>
          <w:kern w:val="2"/>
          <w:sz w:val="32"/>
          <w:szCs w:val="32"/>
          <w:lang w:val="en-US" w:eastAsia="zh-CN" w:bidi="ar-SA"/>
        </w:rPr>
        <w:t>5.</w:t>
      </w:r>
      <w:r>
        <w:rPr>
          <w:rFonts w:hint="default" w:ascii="Times New Roman" w:hAnsi="Times New Roman" w:cs="Times New Roman"/>
          <w:color w:val="000000"/>
          <w:sz w:val="32"/>
          <w:szCs w:val="32"/>
          <w:lang w:val="en-US" w:eastAsia="zh-CN"/>
        </w:rPr>
        <w:t>建设单位</w:t>
      </w:r>
      <w:r>
        <w:rPr>
          <w:rFonts w:hint="default" w:ascii="Times New Roman" w:hAnsi="Times New Roman" w:cs="Times New Roman"/>
          <w:color w:val="000000"/>
          <w:sz w:val="32"/>
          <w:szCs w:val="32"/>
        </w:rPr>
        <w:t>须</w:t>
      </w:r>
      <w:r>
        <w:rPr>
          <w:rFonts w:hint="default" w:ascii="Times New Roman" w:hAnsi="Times New Roman" w:cs="Times New Roman"/>
          <w:color w:val="000000"/>
          <w:sz w:val="32"/>
          <w:szCs w:val="32"/>
          <w:lang w:val="en-US" w:eastAsia="zh-CN"/>
        </w:rPr>
        <w:t>严</w:t>
      </w:r>
      <w:r>
        <w:rPr>
          <w:rFonts w:hint="default" w:ascii="Times New Roman" w:hAnsi="Times New Roman" w:cs="Times New Roman"/>
          <w:color w:val="000000"/>
          <w:sz w:val="32"/>
          <w:szCs w:val="32"/>
        </w:rPr>
        <w:t>格按照《一般工业固体废物贮存和填埋污染控制标准》</w:t>
      </w:r>
      <w:r>
        <w:rPr>
          <w:rFonts w:hint="default" w:ascii="仿宋_GB2312" w:hAnsi="仿宋_GB2312" w:eastAsia="仿宋_GB2312" w:cs="仿宋_GB2312"/>
          <w:color w:val="auto"/>
          <w:kern w:val="2"/>
          <w:sz w:val="32"/>
          <w:szCs w:val="32"/>
          <w:lang w:val="en-US" w:eastAsia="zh-CN" w:bidi="ar-SA"/>
        </w:rPr>
        <w:t>（GB18599-2020）</w:t>
      </w:r>
      <w:r>
        <w:rPr>
          <w:rFonts w:hint="default" w:ascii="Times New Roman" w:hAnsi="Times New Roman" w:cs="Times New Roman"/>
          <w:color w:val="000000"/>
          <w:sz w:val="32"/>
          <w:szCs w:val="32"/>
        </w:rPr>
        <w:t>及《危险废物贮存污染控制标准》</w:t>
      </w:r>
      <w:r>
        <w:rPr>
          <w:rFonts w:hint="default" w:ascii="仿宋_GB2312" w:hAnsi="仿宋_GB2312" w:eastAsia="仿宋_GB2312" w:cs="仿宋_GB2312"/>
          <w:color w:val="auto"/>
          <w:kern w:val="2"/>
          <w:sz w:val="32"/>
          <w:szCs w:val="32"/>
          <w:lang w:val="en-US" w:eastAsia="zh-CN" w:bidi="ar-SA"/>
        </w:rPr>
        <w:t>（GB18597-2001）</w:t>
      </w:r>
      <w:r>
        <w:rPr>
          <w:rFonts w:hint="default" w:ascii="Times New Roman" w:hAnsi="Times New Roman" w:cs="Times New Roman"/>
          <w:color w:val="000000"/>
          <w:sz w:val="32"/>
          <w:szCs w:val="32"/>
        </w:rPr>
        <w:t>（及其修改单）要求对一般固废和危险废物进行处置。</w:t>
      </w:r>
    </w:p>
    <w:p>
      <w:pPr>
        <w:adjustRightInd w:val="0"/>
        <w:snapToGrid w:val="0"/>
        <w:spacing w:line="560" w:lineRule="exact"/>
        <w:ind w:firstLine="640"/>
        <w:rPr>
          <w:rFonts w:hint="eastAsia" w:ascii="仿宋_GB2312" w:hAnsi="仿宋_GB2312" w:cs="仿宋_GB2312"/>
          <w:color w:val="000000"/>
          <w:szCs w:val="32"/>
        </w:rPr>
      </w:pPr>
      <w:r>
        <w:rPr>
          <w:rFonts w:hint="eastAsia" w:ascii="仿宋_GB2312" w:hAnsi="仿宋_GB2312" w:eastAsia="仿宋_GB2312" w:cs="仿宋_GB2312"/>
          <w:color w:val="000000"/>
          <w:kern w:val="2"/>
          <w:sz w:val="32"/>
          <w:szCs w:val="32"/>
          <w:lang w:val="en-US" w:eastAsia="zh-CN" w:bidi="ar-SA"/>
        </w:rPr>
        <w:t>6.</w:t>
      </w:r>
      <w:r>
        <w:rPr>
          <w:rFonts w:hint="eastAsia" w:ascii="仿宋_GB2312" w:hAnsi="仿宋_GB2312" w:cs="仿宋_GB2312"/>
          <w:color w:val="000000"/>
          <w:szCs w:val="32"/>
        </w:rPr>
        <w:t>强化环境风险防范。制定环境风险应急预案,落实环境风险事故防范措施，提高事故风险防范和污染控制能力。</w:t>
      </w:r>
    </w:p>
    <w:p>
      <w:pPr>
        <w:keepNext w:val="0"/>
        <w:keepLines w:val="0"/>
        <w:pageBreakBefore w:val="0"/>
        <w:widowControl w:val="0"/>
        <w:kinsoku/>
        <w:wordWrap/>
        <w:overflowPunct/>
        <w:topLinePunct w:val="0"/>
        <w:bidi w:val="0"/>
        <w:adjustRightInd w:val="0"/>
        <w:snapToGrid w:val="0"/>
        <w:spacing w:line="600" w:lineRule="exact"/>
        <w:ind w:firstLine="640"/>
        <w:textAlignment w:val="auto"/>
        <w:rPr>
          <w:rFonts w:hint="eastAsia" w:ascii="仿宋_GB2312" w:hAnsi="仿宋_GB2312" w:cs="仿宋_GB2312"/>
          <w:color w:val="000000"/>
          <w:szCs w:val="32"/>
        </w:rPr>
      </w:pPr>
      <w:r>
        <w:rPr>
          <w:rFonts w:hint="eastAsia" w:ascii="仿宋_GB2312" w:hAnsi="仿宋_GB2312" w:cs="仿宋_GB2312"/>
          <w:color w:val="000000"/>
          <w:szCs w:val="32"/>
        </w:rPr>
        <w:t>三、</w:t>
      </w:r>
      <w:r>
        <w:rPr>
          <w:rFonts w:hint="eastAsia" w:ascii="仿宋_GB2312" w:hAnsi="仿宋_GB2312" w:eastAsia="仿宋_GB2312" w:cs="仿宋_GB2312"/>
          <w:color w:val="auto"/>
        </w:rPr>
        <w:t>项目建设须严格执行环境保护“三同时”制度。项目竣工后，须按照规定程序实施竣工环境保护验收</w:t>
      </w:r>
      <w:r>
        <w:rPr>
          <w:rFonts w:hint="eastAsia" w:ascii="仿宋_GB2312" w:hAnsi="仿宋_GB2312" w:cs="仿宋_GB2312"/>
          <w:color w:val="auto"/>
          <w:highlight w:val="none"/>
          <w:lang w:val="en-US" w:eastAsia="zh-CN"/>
        </w:rPr>
        <w:t>。</w:t>
      </w:r>
    </w:p>
    <w:p>
      <w:pPr>
        <w:adjustRightInd w:val="0"/>
        <w:snapToGrid w:val="0"/>
        <w:spacing w:line="560" w:lineRule="exact"/>
        <w:ind w:firstLine="640"/>
        <w:rPr>
          <w:rFonts w:ascii="仿宋_GB2312" w:hAnsi="仿宋_GB2312" w:cs="仿宋_GB2312"/>
          <w:color w:val="000000"/>
          <w:szCs w:val="32"/>
        </w:rPr>
      </w:pPr>
      <w:r>
        <w:rPr>
          <w:rFonts w:hint="eastAsia" w:ascii="仿宋_GB2312" w:hAnsi="仿宋_GB2312" w:cs="仿宋_GB2312"/>
          <w:color w:val="000000"/>
          <w:szCs w:val="32"/>
        </w:rPr>
        <w:t>四、你公司应在收到本批复20日内，将《报告书》(报批版)及批复文件送至鄂尔多斯市生态环境局</w:t>
      </w:r>
      <w:r>
        <w:rPr>
          <w:rFonts w:hint="eastAsia" w:ascii="仿宋_GB2312" w:hAnsi="仿宋_GB2312" w:cs="仿宋_GB2312"/>
          <w:color w:val="000000"/>
          <w:szCs w:val="32"/>
          <w:lang w:eastAsia="zh-CN"/>
        </w:rPr>
        <w:t>达拉特旗</w:t>
      </w:r>
      <w:r>
        <w:rPr>
          <w:rFonts w:hint="eastAsia" w:ascii="仿宋_GB2312" w:hAnsi="仿宋_GB2312" w:cs="仿宋_GB2312"/>
          <w:color w:val="000000"/>
          <w:szCs w:val="32"/>
        </w:rPr>
        <w:t>分局，我局委托鄂尔多斯市生态环境局</w:t>
      </w:r>
      <w:r>
        <w:rPr>
          <w:rFonts w:hint="eastAsia" w:ascii="仿宋_GB2312" w:hAnsi="仿宋_GB2312" w:cs="仿宋_GB2312"/>
          <w:color w:val="000000"/>
          <w:szCs w:val="32"/>
          <w:lang w:eastAsia="zh-CN"/>
        </w:rPr>
        <w:t>达拉特旗</w:t>
      </w:r>
      <w:r>
        <w:rPr>
          <w:rFonts w:hint="eastAsia" w:ascii="仿宋_GB2312" w:hAnsi="仿宋_GB2312" w:cs="仿宋_GB2312"/>
          <w:color w:val="000000"/>
          <w:szCs w:val="32"/>
        </w:rPr>
        <w:t>分局负责该项目的日常监管工作。</w:t>
      </w:r>
    </w:p>
    <w:p>
      <w:pPr>
        <w:adjustRightInd w:val="0"/>
        <w:snapToGrid w:val="0"/>
        <w:spacing w:line="560" w:lineRule="exact"/>
        <w:ind w:firstLine="640"/>
        <w:rPr>
          <w:rFonts w:hint="eastAsia" w:ascii="仿宋_GB2312" w:hAnsi="仿宋_GB2312" w:cs="仿宋_GB2312"/>
          <w:color w:val="000000"/>
          <w:szCs w:val="32"/>
        </w:rPr>
      </w:pPr>
      <w:r>
        <w:rPr>
          <w:rFonts w:hint="eastAsia" w:ascii="仿宋_GB2312" w:hAnsi="仿宋_GB2312" w:cs="仿宋_GB2312"/>
          <w:color w:val="000000"/>
          <w:szCs w:val="32"/>
        </w:rPr>
        <w:t>五、该项目从批准之日起超过5年方决定开工建设，其环评文件应重新审核。如果建设地点、规模、防治污染和防止生态破坏的措施等发生重大变化时，需重新报批环评文件。</w:t>
      </w:r>
    </w:p>
    <w:p>
      <w:pPr>
        <w:adjustRightInd w:val="0"/>
        <w:snapToGrid w:val="0"/>
        <w:spacing w:line="560" w:lineRule="exact"/>
        <w:ind w:firstLine="640"/>
        <w:jc w:val="right"/>
        <w:rPr>
          <w:rFonts w:ascii="仿宋_GB2312" w:hAnsi="仿宋_GB2312" w:cs="仿宋_GB2312"/>
          <w:color w:val="000000"/>
          <w:szCs w:val="32"/>
        </w:rPr>
      </w:pPr>
    </w:p>
    <w:p>
      <w:pPr>
        <w:adjustRightInd w:val="0"/>
        <w:snapToGrid w:val="0"/>
        <w:spacing w:line="560" w:lineRule="exact"/>
        <w:ind w:firstLine="640"/>
        <w:jc w:val="right"/>
        <w:rPr>
          <w:rFonts w:ascii="仿宋_GB2312" w:hAnsi="仿宋_GB2312" w:cs="仿宋_GB2312"/>
          <w:color w:val="000000"/>
          <w:szCs w:val="32"/>
        </w:rPr>
      </w:pPr>
    </w:p>
    <w:p>
      <w:pPr>
        <w:pStyle w:val="2"/>
        <w:ind w:left="640" w:firstLine="640"/>
        <w:rPr>
          <w:rFonts w:hint="eastAsia"/>
        </w:rPr>
      </w:pPr>
    </w:p>
    <w:p>
      <w:pPr>
        <w:adjustRightInd w:val="0"/>
        <w:snapToGrid w:val="0"/>
        <w:spacing w:line="560" w:lineRule="exact"/>
        <w:ind w:firstLine="640"/>
        <w:jc w:val="right"/>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rPr>
        <w:t>鄂尔多斯市生态环境局</w:t>
      </w:r>
    </w:p>
    <w:p>
      <w:pPr>
        <w:adjustRightInd w:val="0"/>
        <w:snapToGrid w:val="0"/>
        <w:spacing w:line="560" w:lineRule="exact"/>
        <w:ind w:right="320" w:firstLine="640"/>
        <w:jc w:val="right"/>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rPr>
        <w:t>202</w:t>
      </w:r>
      <w:r>
        <w:rPr>
          <w:rFonts w:hint="eastAsia" w:ascii="仿宋_GB2312" w:hAnsi="仿宋_GB2312" w:cs="仿宋_GB2312"/>
          <w:color w:val="000000"/>
          <w:szCs w:val="32"/>
          <w:highlight w:val="none"/>
          <w:lang w:val="en-US" w:eastAsia="zh-CN"/>
        </w:rPr>
        <w:t>3</w:t>
      </w:r>
      <w:r>
        <w:rPr>
          <w:rFonts w:hint="eastAsia" w:ascii="仿宋_GB2312" w:hAnsi="仿宋_GB2312" w:cs="仿宋_GB2312"/>
          <w:color w:val="000000"/>
          <w:szCs w:val="32"/>
          <w:highlight w:val="none"/>
        </w:rPr>
        <w:t>年</w:t>
      </w:r>
      <w:r>
        <w:rPr>
          <w:rFonts w:hint="eastAsia" w:ascii="仿宋_GB2312" w:hAnsi="仿宋_GB2312" w:cs="仿宋_GB2312"/>
          <w:color w:val="000000"/>
          <w:szCs w:val="32"/>
          <w:highlight w:val="none"/>
          <w:lang w:val="en-US" w:eastAsia="zh-CN"/>
        </w:rPr>
        <w:t>1</w:t>
      </w:r>
      <w:r>
        <w:rPr>
          <w:rFonts w:hint="eastAsia" w:ascii="仿宋_GB2312" w:hAnsi="仿宋_GB2312" w:cs="仿宋_GB2312"/>
          <w:color w:val="000000"/>
          <w:szCs w:val="32"/>
          <w:highlight w:val="none"/>
        </w:rPr>
        <w:t>月</w:t>
      </w:r>
      <w:r>
        <w:rPr>
          <w:rFonts w:hint="eastAsia" w:ascii="仿宋_GB2312" w:hAnsi="仿宋_GB2312" w:cs="仿宋_GB2312"/>
          <w:color w:val="000000"/>
          <w:szCs w:val="32"/>
          <w:highlight w:val="none"/>
          <w:lang w:val="en-US" w:eastAsia="zh-CN"/>
        </w:rPr>
        <w:t>19</w:t>
      </w:r>
      <w:r>
        <w:rPr>
          <w:rFonts w:hint="eastAsia" w:ascii="仿宋_GB2312" w:hAnsi="仿宋_GB2312" w:cs="仿宋_GB2312"/>
          <w:color w:val="000000"/>
          <w:szCs w:val="32"/>
          <w:highlight w:val="none"/>
        </w:rPr>
        <w:t>日</w:t>
      </w:r>
    </w:p>
    <w:p>
      <w:pPr>
        <w:pStyle w:val="5"/>
        <w:ind w:left="0" w:leftChars="0" w:firstLine="0" w:firstLineChars="0"/>
        <w:rPr>
          <w:rFonts w:hint="eastAsia"/>
        </w:rPr>
      </w:pPr>
    </w:p>
    <w:p>
      <w:pPr>
        <w:rPr>
          <w:rFonts w:hint="eastAsia"/>
        </w:rPr>
      </w:pPr>
    </w:p>
    <w:p>
      <w:pPr>
        <w:rPr>
          <w:rFonts w:hint="eastAsia"/>
        </w:rPr>
      </w:pPr>
    </w:p>
    <w:tbl>
      <w:tblPr>
        <w:tblStyle w:val="18"/>
        <w:tblW w:w="8336" w:type="dxa"/>
        <w:tblInd w:w="0"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8336"/>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1521" w:hRule="atLeast"/>
        </w:trPr>
        <w:tc>
          <w:tcPr>
            <w:tcW w:w="8336" w:type="dxa"/>
            <w:tcBorders>
              <w:top w:val="single" w:color="000000" w:sz="2" w:space="0"/>
              <w:bottom w:val="single" w:color="000000" w:sz="2" w:space="0"/>
            </w:tcBorders>
          </w:tcPr>
          <w:p>
            <w:pPr>
              <w:spacing w:line="440" w:lineRule="exact"/>
              <w:ind w:left="86" w:leftChars="27" w:firstLine="0" w:firstLineChars="0"/>
              <w:rPr>
                <w:rFonts w:hint="eastAsia" w:ascii="Times New Roman" w:hAnsi="Times New Roman" w:cs="Times New Roman"/>
                <w:snapToGrid w:val="0"/>
                <w:color w:val="auto"/>
                <w:sz w:val="28"/>
                <w:szCs w:val="28"/>
                <w:highlight w:val="none"/>
              </w:rPr>
            </w:pPr>
            <w:r>
              <w:rPr>
                <w:rFonts w:hint="eastAsia" w:ascii="Times New Roman" w:hAnsi="Times New Roman" w:cs="Times New Roman"/>
                <w:snapToGrid w:val="0"/>
                <w:color w:val="auto"/>
                <w:sz w:val="28"/>
                <w:szCs w:val="28"/>
                <w:highlight w:val="none"/>
              </w:rPr>
              <w:t>抄送：鄂尔多斯市生态环境局</w:t>
            </w:r>
            <w:r>
              <w:rPr>
                <w:rFonts w:hint="eastAsia" w:ascii="Times New Roman" w:hAnsi="Times New Roman" w:cs="Times New Roman"/>
                <w:snapToGrid w:val="0"/>
                <w:color w:val="auto"/>
                <w:sz w:val="28"/>
                <w:szCs w:val="28"/>
                <w:highlight w:val="none"/>
                <w:lang w:eastAsia="zh-CN"/>
              </w:rPr>
              <w:t>达拉特旗</w:t>
            </w:r>
            <w:r>
              <w:rPr>
                <w:rFonts w:hint="eastAsia" w:ascii="Times New Roman" w:hAnsi="Times New Roman" w:cs="Times New Roman"/>
                <w:snapToGrid w:val="0"/>
                <w:color w:val="auto"/>
                <w:sz w:val="28"/>
                <w:szCs w:val="28"/>
                <w:highlight w:val="none"/>
              </w:rPr>
              <w:t>分局，内蒙古鄂尔多斯达拉特经济开发区建设管理局(生态环境管理办公室)，鄂尔多斯市生态环境综合行政执法支队，鄂尔多斯市生态环境局综合保障中心</w:t>
            </w:r>
            <w:r>
              <w:rPr>
                <w:rFonts w:hint="eastAsia" w:ascii="Times New Roman" w:hAnsi="Times New Roman" w:cs="Times New Roman"/>
                <w:snapToGrid w:val="0"/>
                <w:color w:val="auto"/>
                <w:sz w:val="28"/>
                <w:szCs w:val="28"/>
                <w:highlight w:val="none"/>
                <w:lang w:eastAsia="zh-CN"/>
              </w:rPr>
              <w:t>，</w:t>
            </w:r>
            <w:r>
              <w:rPr>
                <w:rFonts w:hint="eastAsia" w:ascii="Times New Roman" w:hAnsi="Times New Roman" w:cs="Times New Roman"/>
                <w:snapToGrid w:val="0"/>
                <w:color w:val="auto"/>
                <w:sz w:val="28"/>
                <w:szCs w:val="28"/>
                <w:highlight w:val="none"/>
              </w:rPr>
              <w:t>内蒙古凯越工程咨询有限公司。</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83" w:hRule="atLeast"/>
        </w:trPr>
        <w:tc>
          <w:tcPr>
            <w:tcW w:w="8336" w:type="dxa"/>
            <w:tcBorders>
              <w:top w:val="single" w:color="000000" w:sz="2" w:space="0"/>
              <w:bottom w:val="single" w:color="000000" w:sz="2" w:space="0"/>
            </w:tcBorders>
          </w:tcPr>
          <w:p>
            <w:pPr>
              <w:spacing w:line="440" w:lineRule="exact"/>
              <w:ind w:left="86" w:leftChars="27" w:firstLine="0" w:firstLineChars="0"/>
              <w:rPr>
                <w:rFonts w:hint="eastAsia" w:ascii="Times New Roman" w:hAnsi="Times New Roman" w:cs="Times New Roman"/>
                <w:snapToGrid w:val="0"/>
                <w:color w:val="auto"/>
                <w:sz w:val="28"/>
                <w:szCs w:val="28"/>
                <w:highlight w:val="none"/>
              </w:rPr>
            </w:pPr>
            <w:r>
              <w:rPr>
                <w:rFonts w:hint="eastAsia" w:ascii="Times New Roman" w:hAnsi="Times New Roman" w:cs="Times New Roman"/>
                <w:snapToGrid w:val="0"/>
                <w:color w:val="auto"/>
                <w:sz w:val="28"/>
                <w:szCs w:val="28"/>
                <w:highlight w:val="none"/>
              </w:rPr>
              <w:t xml:space="preserve">鄂尔多斯市生态环境局                </w:t>
            </w:r>
            <w:r>
              <w:rPr>
                <w:rFonts w:hint="eastAsia" w:ascii="Times New Roman" w:hAnsi="Times New Roman" w:cs="Times New Roman"/>
                <w:snapToGrid w:val="0"/>
                <w:color w:val="auto"/>
                <w:sz w:val="28"/>
                <w:szCs w:val="28"/>
                <w:highlight w:val="none"/>
                <w:lang w:val="en-US" w:eastAsia="zh-CN"/>
              </w:rPr>
              <w:t xml:space="preserve">  </w:t>
            </w:r>
            <w:r>
              <w:rPr>
                <w:rFonts w:hint="eastAsia" w:ascii="Times New Roman" w:hAnsi="Times New Roman" w:cs="Times New Roman"/>
                <w:snapToGrid w:val="0"/>
                <w:color w:val="auto"/>
                <w:sz w:val="28"/>
                <w:szCs w:val="28"/>
                <w:highlight w:val="none"/>
              </w:rPr>
              <w:t xml:space="preserve"> 202</w:t>
            </w:r>
            <w:r>
              <w:rPr>
                <w:rFonts w:hint="eastAsia" w:ascii="Times New Roman" w:hAnsi="Times New Roman" w:cs="Times New Roman"/>
                <w:snapToGrid w:val="0"/>
                <w:color w:val="auto"/>
                <w:sz w:val="28"/>
                <w:szCs w:val="28"/>
                <w:highlight w:val="none"/>
                <w:lang w:val="en-US" w:eastAsia="zh-CN"/>
              </w:rPr>
              <w:t>3</w:t>
            </w:r>
            <w:r>
              <w:rPr>
                <w:rFonts w:hint="eastAsia" w:ascii="Times New Roman" w:hAnsi="Times New Roman" w:cs="Times New Roman"/>
                <w:snapToGrid w:val="0"/>
                <w:color w:val="auto"/>
                <w:sz w:val="28"/>
                <w:szCs w:val="28"/>
                <w:highlight w:val="none"/>
              </w:rPr>
              <w:t>年</w:t>
            </w:r>
            <w:r>
              <w:rPr>
                <w:rFonts w:hint="eastAsia" w:ascii="Times New Roman" w:hAnsi="Times New Roman" w:cs="Times New Roman"/>
                <w:snapToGrid w:val="0"/>
                <w:color w:val="auto"/>
                <w:sz w:val="28"/>
                <w:szCs w:val="28"/>
                <w:highlight w:val="none"/>
                <w:lang w:val="en-US" w:eastAsia="zh-CN"/>
              </w:rPr>
              <w:t>1</w:t>
            </w:r>
            <w:r>
              <w:rPr>
                <w:rFonts w:hint="eastAsia" w:ascii="Times New Roman" w:hAnsi="Times New Roman" w:cs="Times New Roman"/>
                <w:snapToGrid w:val="0"/>
                <w:color w:val="auto"/>
                <w:sz w:val="28"/>
                <w:szCs w:val="28"/>
                <w:highlight w:val="none"/>
              </w:rPr>
              <w:t>月</w:t>
            </w:r>
            <w:r>
              <w:rPr>
                <w:rFonts w:hint="eastAsia" w:ascii="Times New Roman" w:hAnsi="Times New Roman" w:cs="Times New Roman"/>
                <w:snapToGrid w:val="0"/>
                <w:color w:val="auto"/>
                <w:sz w:val="28"/>
                <w:szCs w:val="28"/>
                <w:highlight w:val="none"/>
                <w:lang w:val="en-US" w:eastAsia="zh-CN"/>
              </w:rPr>
              <w:t>19</w:t>
            </w:r>
            <w:r>
              <w:rPr>
                <w:rFonts w:hint="eastAsia" w:ascii="Times New Roman" w:hAnsi="Times New Roman" w:cs="Times New Roman"/>
                <w:snapToGrid w:val="0"/>
                <w:color w:val="auto"/>
                <w:sz w:val="28"/>
                <w:szCs w:val="28"/>
                <w:highlight w:val="none"/>
              </w:rPr>
              <w:t>日印发</w:t>
            </w:r>
          </w:p>
        </w:tc>
      </w:tr>
    </w:tbl>
    <w:p>
      <w:pPr>
        <w:ind w:left="0" w:leftChars="0" w:firstLine="0" w:firstLineChars="0"/>
        <w:jc w:val="both"/>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I4NjM3ZDkwOWYwOWZjYTFmMWUzNjdmNGE3MDk0MTQifQ=="/>
  </w:docVars>
  <w:rsids>
    <w:rsidRoot w:val="00805F8E"/>
    <w:rsid w:val="002A5198"/>
    <w:rsid w:val="003160F5"/>
    <w:rsid w:val="00805F8E"/>
    <w:rsid w:val="00967D21"/>
    <w:rsid w:val="27EB9E2B"/>
    <w:rsid w:val="2FF78B5C"/>
    <w:rsid w:val="30F66B62"/>
    <w:rsid w:val="3FDF8216"/>
    <w:rsid w:val="4A5F6E22"/>
    <w:rsid w:val="51DD5CA7"/>
    <w:rsid w:val="57F55A4A"/>
    <w:rsid w:val="5AC46949"/>
    <w:rsid w:val="5FEF99C5"/>
    <w:rsid w:val="675555ED"/>
    <w:rsid w:val="74A018B8"/>
    <w:rsid w:val="7AE6171D"/>
    <w:rsid w:val="7BF23095"/>
    <w:rsid w:val="C7FF11B0"/>
    <w:rsid w:val="ED7F64C0"/>
    <w:rsid w:val="EDFD058D"/>
    <w:rsid w:val="FA9F7D9D"/>
    <w:rsid w:val="FF4FDFE8"/>
    <w:rsid w:val="FF6E4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default="1" w:styleId="13">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link w:val="16"/>
    <w:semiHidden/>
    <w:unhideWhenUsed/>
    <w:qFormat/>
    <w:uiPriority w:val="99"/>
    <w:pPr>
      <w:ind w:firstLine="420"/>
    </w:pPr>
  </w:style>
  <w:style w:type="paragraph" w:styleId="3">
    <w:name w:val="Body Text Indent"/>
    <w:basedOn w:val="1"/>
    <w:next w:val="4"/>
    <w:link w:val="15"/>
    <w:semiHidden/>
    <w:unhideWhenUsed/>
    <w:qFormat/>
    <w:uiPriority w:val="99"/>
    <w:pPr>
      <w:spacing w:after="120"/>
      <w:ind w:left="420" w:leftChars="200"/>
    </w:pPr>
  </w:style>
  <w:style w:type="paragraph" w:customStyle="1" w:styleId="4">
    <w:name w:val="样式 正文文本缩进 + 行距: 1.5 倍行距"/>
    <w:basedOn w:val="1"/>
    <w:qFormat/>
    <w:uiPriority w:val="0"/>
    <w:pPr>
      <w:spacing w:after="120" w:line="360" w:lineRule="auto"/>
      <w:ind w:left="90" w:leftChars="32" w:firstLine="560" w:firstLineChars="200"/>
    </w:pPr>
    <w:rPr>
      <w:rFonts w:cs="宋体"/>
    </w:rPr>
  </w:style>
  <w:style w:type="paragraph" w:styleId="5">
    <w:name w:val="Body Text First Indent"/>
    <w:basedOn w:val="6"/>
    <w:next w:val="1"/>
    <w:qFormat/>
    <w:uiPriority w:val="0"/>
    <w:pPr>
      <w:ind w:firstLine="420" w:firstLineChars="100"/>
    </w:pPr>
  </w:style>
  <w:style w:type="paragraph" w:styleId="6">
    <w:name w:val="Body Text"/>
    <w:basedOn w:val="1"/>
    <w:qFormat/>
    <w:uiPriority w:val="0"/>
    <w:pPr>
      <w:spacing w:after="120" w:afterLines="0" w:afterAutospacing="0"/>
    </w:pPr>
    <w:rPr>
      <w:rFonts w:ascii="Times New Roman" w:hAnsi="Times New Roman" w:eastAsia="宋体" w:cs="Times New Roman"/>
    </w:rPr>
  </w:style>
  <w:style w:type="paragraph" w:styleId="7">
    <w:name w:val="Normal Indent"/>
    <w:basedOn w:val="1"/>
    <w:next w:val="2"/>
    <w:link w:val="14"/>
    <w:qFormat/>
    <w:uiPriority w:val="0"/>
    <w:rPr>
      <w:rFonts w:asciiTheme="minorHAnsi" w:hAnsiTheme="minorHAnsi" w:cstheme="minorBidi"/>
    </w:rPr>
  </w:style>
  <w:style w:type="paragraph" w:styleId="8">
    <w:name w:val="Date"/>
    <w:basedOn w:val="1"/>
    <w:next w:val="1"/>
    <w:link w:val="17"/>
    <w:semiHidden/>
    <w:unhideWhenUsed/>
    <w:qFormat/>
    <w:uiPriority w:val="99"/>
    <w:pPr>
      <w:ind w:left="100" w:leftChars="2500"/>
    </w:pPr>
  </w:style>
  <w:style w:type="paragraph" w:styleId="9">
    <w:name w:val="footer"/>
    <w:basedOn w:val="1"/>
    <w:semiHidden/>
    <w:unhideWhenUsed/>
    <w:qFormat/>
    <w:uiPriority w:val="99"/>
    <w:pPr>
      <w:tabs>
        <w:tab w:val="center" w:pos="4153"/>
        <w:tab w:val="right" w:pos="8306"/>
      </w:tabs>
      <w:snapToGrid w:val="0"/>
      <w:jc w:val="left"/>
    </w:pPr>
    <w:rPr>
      <w:sz w:val="18"/>
    </w:rPr>
  </w:style>
  <w:style w:type="paragraph" w:styleId="10">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rPr>
      <w:sz w:val="24"/>
    </w:rPr>
  </w:style>
  <w:style w:type="character" w:customStyle="1" w:styleId="14">
    <w:name w:val="正文缩进 字符"/>
    <w:link w:val="7"/>
    <w:qFormat/>
    <w:uiPriority w:val="0"/>
    <w:rPr>
      <w:rFonts w:eastAsia="仿宋_GB2312"/>
      <w:sz w:val="32"/>
      <w:szCs w:val="24"/>
    </w:rPr>
  </w:style>
  <w:style w:type="character" w:customStyle="1" w:styleId="15">
    <w:name w:val="正文文本缩进 字符"/>
    <w:basedOn w:val="13"/>
    <w:link w:val="3"/>
    <w:semiHidden/>
    <w:qFormat/>
    <w:uiPriority w:val="99"/>
    <w:rPr>
      <w:rFonts w:ascii="Times New Roman" w:hAnsi="Times New Roman" w:eastAsia="仿宋_GB2312" w:cs="Times New Roman"/>
      <w:sz w:val="32"/>
      <w:szCs w:val="24"/>
    </w:rPr>
  </w:style>
  <w:style w:type="character" w:customStyle="1" w:styleId="16">
    <w:name w:val="正文文本首行缩进 2 字符"/>
    <w:basedOn w:val="15"/>
    <w:link w:val="2"/>
    <w:semiHidden/>
    <w:qFormat/>
    <w:uiPriority w:val="99"/>
    <w:rPr>
      <w:rFonts w:ascii="Times New Roman" w:hAnsi="Times New Roman" w:eastAsia="仿宋_GB2312" w:cs="Times New Roman"/>
      <w:sz w:val="32"/>
      <w:szCs w:val="24"/>
    </w:rPr>
  </w:style>
  <w:style w:type="character" w:customStyle="1" w:styleId="17">
    <w:name w:val="日期 字符"/>
    <w:basedOn w:val="13"/>
    <w:link w:val="8"/>
    <w:semiHidden/>
    <w:qFormat/>
    <w:uiPriority w:val="99"/>
    <w:rPr>
      <w:rFonts w:ascii="Times New Roman" w:hAnsi="Times New Roman" w:eastAsia="仿宋_GB2312" w:cs="Times New Roman"/>
      <w:sz w:val="32"/>
      <w:szCs w:val="24"/>
    </w:rPr>
  </w:style>
  <w:style w:type="table" w:customStyle="1" w:styleId="18">
    <w:name w:val="Table Normal"/>
    <w:semiHidden/>
    <w:unhideWhenUsed/>
    <w:qFormat/>
    <w:uiPriority w:val="0"/>
    <w:rPr>
      <w:rFonts w:ascii="Arial" w:hAnsi="Arial" w:cs="Arial"/>
      <w:snapToGrid w:val="0"/>
      <w:color w:val="000000"/>
      <w:kern w:val="0"/>
      <w:szCs w:val="21"/>
    </w:rPr>
    <w:tblPr>
      <w:tblCellMar>
        <w:top w:w="0" w:type="dxa"/>
        <w:left w:w="0" w:type="dxa"/>
        <w:bottom w:w="0" w:type="dxa"/>
        <w:right w:w="0" w:type="dxa"/>
      </w:tblCellMar>
    </w:tblPr>
  </w:style>
  <w:style w:type="paragraph" w:customStyle="1" w:styleId="19">
    <w:name w:val="111111正文"/>
    <w:basedOn w:val="1"/>
    <w:qFormat/>
    <w:uiPriority w:val="0"/>
    <w:pPr>
      <w:spacing w:line="360" w:lineRule="auto"/>
      <w:ind w:firstLine="200" w:firstLineChars="200"/>
    </w:pPr>
    <w:rPr>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1650</Words>
  <Characters>1765</Characters>
  <Lines>14</Lines>
  <Paragraphs>4</Paragraphs>
  <TotalTime>1036</TotalTime>
  <ScaleCrop>false</ScaleCrop>
  <LinksUpToDate>false</LinksUpToDate>
  <CharactersWithSpaces>1790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2022-09-08T17:22:00Z</dcterms:created>
  <dc:creator>微软用户</dc:creator>
  <cp:lastModifiedBy>Administrator</cp:lastModifiedBy>
  <cp:lastPrinted>2023-01-18T08:26:00Z</cp:lastPrinted>
  <dcterms:modified xsi:type="dcterms:W3CDTF">2023-03-16T07:20:55Z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3C5016214C5E443B9897B61C9C166922</vt:lpwstr>
  </property>
</Properties>
</file>