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8280"/>
        </w:tabs>
        <w:kinsoku/>
        <w:wordWrap/>
        <w:overflowPunct/>
        <w:topLinePunct w:val="0"/>
        <w:autoSpaceDE/>
        <w:autoSpaceDN/>
        <w:bidi w:val="0"/>
        <w:spacing w:line="600" w:lineRule="exact"/>
        <w:ind w:left="0" w:leftChars="0" w:right="26" w:firstLine="0" w:firstLineChars="0"/>
        <w:jc w:val="right"/>
        <w:textAlignment w:val="auto"/>
        <w:outlineLvl w:val="9"/>
        <w:rPr>
          <w:rFonts w:hint="eastAsia"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left="0" w:leftChars="0" w:right="26" w:firstLine="0" w:firstLineChars="0"/>
        <w:jc w:val="right"/>
        <w:textAlignment w:val="auto"/>
        <w:outlineLvl w:val="9"/>
        <w:rPr>
          <w:rFonts w:eastAsia="仿宋"/>
          <w:highlight w:val="none"/>
        </w:rPr>
      </w:pPr>
    </w:p>
    <w:p>
      <w:pPr>
        <w:pStyle w:val="5"/>
        <w:keepNext w:val="0"/>
        <w:keepLines w:val="0"/>
        <w:pageBreakBefore w:val="0"/>
        <w:widowControl w:val="0"/>
        <w:kinsoku/>
        <w:wordWrap/>
        <w:overflowPunct/>
        <w:topLinePunct w:val="0"/>
        <w:autoSpaceDE/>
        <w:autoSpaceDN/>
        <w:bidi w:val="0"/>
        <w:spacing w:line="600" w:lineRule="exact"/>
        <w:ind w:left="0" w:leftChars="0"/>
        <w:textAlignment w:val="auto"/>
        <w:outlineLvl w:val="9"/>
        <w:rPr>
          <w:rFonts w:eastAsia="仿宋"/>
          <w:highlight w:val="none"/>
        </w:rPr>
      </w:pPr>
    </w:p>
    <w:p>
      <w:pPr>
        <w:pStyle w:val="5"/>
        <w:keepNext w:val="0"/>
        <w:keepLines w:val="0"/>
        <w:pageBreakBefore w:val="0"/>
        <w:widowControl w:val="0"/>
        <w:kinsoku/>
        <w:wordWrap/>
        <w:overflowPunct/>
        <w:topLinePunct w:val="0"/>
        <w:autoSpaceDE/>
        <w:autoSpaceDN/>
        <w:bidi w:val="0"/>
        <w:spacing w:line="600" w:lineRule="exact"/>
        <w:ind w:left="0" w:leftChars="0"/>
        <w:textAlignment w:val="auto"/>
        <w:outlineLvl w:val="9"/>
        <w:rPr>
          <w:rFonts w:eastAsia="仿宋"/>
          <w:highlight w:val="none"/>
        </w:rPr>
      </w:pPr>
    </w:p>
    <w:p>
      <w:pPr>
        <w:pStyle w:val="5"/>
        <w:keepNext w:val="0"/>
        <w:keepLines w:val="0"/>
        <w:pageBreakBefore w:val="0"/>
        <w:widowControl w:val="0"/>
        <w:kinsoku/>
        <w:wordWrap/>
        <w:overflowPunct/>
        <w:topLinePunct w:val="0"/>
        <w:autoSpaceDE/>
        <w:autoSpaceDN/>
        <w:bidi w:val="0"/>
        <w:spacing w:line="600" w:lineRule="exact"/>
        <w:ind w:left="0" w:leftChars="0"/>
        <w:textAlignment w:val="auto"/>
        <w:outlineLvl w:val="9"/>
        <w:rPr>
          <w:rFonts w:eastAsia="仿宋"/>
          <w:highlight w:val="none"/>
        </w:rPr>
      </w:pPr>
    </w:p>
    <w:p>
      <w:pPr>
        <w:pStyle w:val="5"/>
        <w:keepNext w:val="0"/>
        <w:keepLines w:val="0"/>
        <w:pageBreakBefore w:val="0"/>
        <w:widowControl w:val="0"/>
        <w:kinsoku/>
        <w:wordWrap/>
        <w:overflowPunct/>
        <w:topLinePunct w:val="0"/>
        <w:autoSpaceDE/>
        <w:autoSpaceDN/>
        <w:bidi w:val="0"/>
        <w:spacing w:line="600" w:lineRule="exact"/>
        <w:ind w:left="0" w:leftChars="0"/>
        <w:textAlignment w:val="auto"/>
        <w:outlineLvl w:val="9"/>
        <w:rPr>
          <w:rFonts w:eastAsia="仿宋"/>
          <w:highlight w:val="none"/>
        </w:rPr>
      </w:pPr>
    </w:p>
    <w:p>
      <w:pPr>
        <w:pStyle w:val="5"/>
        <w:keepNext w:val="0"/>
        <w:keepLines w:val="0"/>
        <w:pageBreakBefore w:val="0"/>
        <w:widowControl w:val="0"/>
        <w:kinsoku/>
        <w:wordWrap/>
        <w:overflowPunct/>
        <w:topLinePunct w:val="0"/>
        <w:autoSpaceDE/>
        <w:autoSpaceDN/>
        <w:bidi w:val="0"/>
        <w:spacing w:line="600" w:lineRule="exact"/>
        <w:ind w:left="0" w:leftChars="0"/>
        <w:textAlignment w:val="auto"/>
        <w:outlineLvl w:val="9"/>
        <w:rPr>
          <w:rFonts w:eastAsia="仿宋"/>
          <w:highlight w:val="none"/>
        </w:rPr>
      </w:pPr>
    </w:p>
    <w:p>
      <w:pPr>
        <w:pStyle w:val="2"/>
        <w:keepNext w:val="0"/>
        <w:keepLines w:val="0"/>
        <w:pageBreakBefore w:val="0"/>
        <w:widowControl w:val="0"/>
        <w:kinsoku/>
        <w:wordWrap/>
        <w:overflowPunct/>
        <w:topLinePunct w:val="0"/>
        <w:autoSpaceDE/>
        <w:autoSpaceDN/>
        <w:bidi w:val="0"/>
        <w:spacing w:line="600" w:lineRule="exact"/>
        <w:textAlignment w:val="auto"/>
      </w:pPr>
    </w:p>
    <w:p>
      <w:pPr>
        <w:pStyle w:val="2"/>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left="0" w:leftChars="0" w:right="26" w:firstLine="0" w:firstLineChars="0"/>
        <w:jc w:val="center"/>
        <w:textAlignment w:val="auto"/>
        <w:outlineLvl w:val="9"/>
        <w:rPr>
          <w:highlight w:val="none"/>
        </w:rPr>
      </w:pPr>
      <w:r>
        <w:rPr>
          <w:highlight w:val="none"/>
        </w:rPr>
        <w:t>鄂环</w:t>
      </w:r>
      <w:r>
        <w:rPr>
          <w:rFonts w:hint="eastAsia"/>
          <w:highlight w:val="none"/>
          <w:lang w:val="en-US" w:eastAsia="zh-CN"/>
        </w:rPr>
        <w:t>审</w:t>
      </w:r>
      <w:r>
        <w:rPr>
          <w:highlight w:val="none"/>
        </w:rPr>
        <w:t>字〔20</w:t>
      </w:r>
      <w:r>
        <w:rPr>
          <w:rFonts w:hint="eastAsia"/>
          <w:highlight w:val="none"/>
          <w:lang w:val="en-US" w:eastAsia="zh-CN"/>
        </w:rPr>
        <w:t>23</w:t>
      </w:r>
      <w:r>
        <w:rPr>
          <w:highlight w:val="none"/>
        </w:rPr>
        <w:t>〕</w:t>
      </w:r>
      <w:r>
        <w:rPr>
          <w:rFonts w:hint="eastAsia"/>
          <w:highlight w:val="none"/>
          <w:lang w:val="en-US" w:eastAsia="zh-CN"/>
        </w:rPr>
        <w:t>9</w:t>
      </w:r>
      <w:r>
        <w:rPr>
          <w:highlight w:val="none"/>
        </w:rPr>
        <w:t>号</w:t>
      </w:r>
    </w:p>
    <w:p>
      <w:pPr>
        <w:keepNext w:val="0"/>
        <w:keepLines w:val="0"/>
        <w:pageBreakBefore w:val="0"/>
        <w:widowControl w:val="0"/>
        <w:tabs>
          <w:tab w:val="left" w:pos="6780"/>
        </w:tabs>
        <w:kinsoku/>
        <w:wordWrap/>
        <w:overflowPunct/>
        <w:topLinePunct w:val="0"/>
        <w:autoSpaceDE/>
        <w:autoSpaceDN/>
        <w:bidi w:val="0"/>
        <w:spacing w:line="600" w:lineRule="exact"/>
        <w:ind w:left="0" w:leftChars="0" w:firstLine="0" w:firstLineChars="0"/>
        <w:jc w:val="center"/>
        <w:textAlignment w:val="auto"/>
        <w:outlineLvl w:val="9"/>
        <w:rPr>
          <w:rFonts w:eastAsia="仿宋"/>
          <w:b/>
          <w:sz w:val="36"/>
          <w:szCs w:val="36"/>
          <w:highlight w:val="none"/>
        </w:rPr>
      </w:pPr>
    </w:p>
    <w:p>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9"/>
        <w:rPr>
          <w:rFonts w:eastAsia="宋体"/>
          <w:b/>
          <w:w w:val="95"/>
          <w:sz w:val="44"/>
          <w:szCs w:val="44"/>
          <w:highlight w:val="none"/>
        </w:rPr>
      </w:pPr>
      <w:r>
        <w:rPr>
          <w:rFonts w:eastAsia="宋体"/>
          <w:b/>
          <w:w w:val="95"/>
          <w:sz w:val="44"/>
          <w:szCs w:val="44"/>
          <w:highlight w:val="none"/>
        </w:rPr>
        <w:t>鄂尔多斯市</w:t>
      </w:r>
      <w:r>
        <w:rPr>
          <w:rFonts w:hint="eastAsia" w:eastAsia="宋体"/>
          <w:b/>
          <w:w w:val="95"/>
          <w:sz w:val="44"/>
          <w:szCs w:val="44"/>
          <w:highlight w:val="none"/>
        </w:rPr>
        <w:t>生态环境</w:t>
      </w:r>
      <w:r>
        <w:rPr>
          <w:rFonts w:eastAsia="宋体"/>
          <w:b/>
          <w:w w:val="95"/>
          <w:sz w:val="44"/>
          <w:szCs w:val="44"/>
          <w:highlight w:val="none"/>
        </w:rPr>
        <w:t>局</w:t>
      </w:r>
    </w:p>
    <w:p>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9"/>
        <w:rPr>
          <w:rFonts w:hint="eastAsia" w:eastAsia="宋体"/>
          <w:b/>
          <w:w w:val="95"/>
          <w:sz w:val="44"/>
          <w:szCs w:val="44"/>
          <w:highlight w:val="none"/>
          <w:lang w:eastAsia="zh-CN"/>
        </w:rPr>
      </w:pPr>
      <w:r>
        <w:rPr>
          <w:rFonts w:eastAsia="宋体"/>
          <w:b/>
          <w:w w:val="95"/>
          <w:sz w:val="44"/>
          <w:szCs w:val="44"/>
          <w:highlight w:val="none"/>
        </w:rPr>
        <w:t>关于</w:t>
      </w:r>
      <w:r>
        <w:rPr>
          <w:rFonts w:hint="eastAsia" w:eastAsia="宋体"/>
          <w:b/>
          <w:w w:val="95"/>
          <w:sz w:val="44"/>
          <w:szCs w:val="44"/>
          <w:highlight w:val="none"/>
          <w:lang w:eastAsia="zh-CN"/>
        </w:rPr>
        <w:t>内蒙古汇能集团蒙南发电有限公司</w:t>
      </w:r>
    </w:p>
    <w:p>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9"/>
        <w:rPr>
          <w:rFonts w:hint="eastAsia" w:eastAsia="宋体"/>
          <w:b/>
          <w:w w:val="95"/>
          <w:sz w:val="44"/>
          <w:szCs w:val="44"/>
          <w:highlight w:val="none"/>
          <w:lang w:eastAsia="zh-CN"/>
        </w:rPr>
      </w:pPr>
      <w:r>
        <w:rPr>
          <w:rFonts w:hint="eastAsia" w:eastAsia="宋体"/>
          <w:b/>
          <w:w w:val="95"/>
          <w:sz w:val="44"/>
          <w:szCs w:val="44"/>
          <w:highlight w:val="none"/>
          <w:lang w:eastAsia="zh-CN"/>
        </w:rPr>
        <w:t>燃料部兰炭、煤矸石提质改造项目</w:t>
      </w:r>
    </w:p>
    <w:p>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9"/>
        <w:rPr>
          <w:rFonts w:eastAsia="宋体"/>
          <w:b/>
          <w:w w:val="95"/>
          <w:sz w:val="44"/>
          <w:szCs w:val="44"/>
          <w:highlight w:val="none"/>
        </w:rPr>
      </w:pPr>
      <w:r>
        <w:rPr>
          <w:rFonts w:eastAsia="宋体"/>
          <w:b/>
          <w:w w:val="95"/>
          <w:sz w:val="44"/>
          <w:szCs w:val="44"/>
          <w:highlight w:val="none"/>
        </w:rPr>
        <w:t>环境影响报告表的批复</w:t>
      </w:r>
    </w:p>
    <w:p>
      <w:pPr>
        <w:keepNext w:val="0"/>
        <w:keepLines w:val="0"/>
        <w:pageBreakBefore w:val="0"/>
        <w:widowControl w:val="0"/>
        <w:kinsoku/>
        <w:wordWrap/>
        <w:overflowPunct/>
        <w:topLinePunct w:val="0"/>
        <w:autoSpaceDE/>
        <w:autoSpaceDN/>
        <w:bidi w:val="0"/>
        <w:spacing w:line="600" w:lineRule="exact"/>
        <w:ind w:left="0" w:leftChars="0" w:firstLine="723"/>
        <w:jc w:val="center"/>
        <w:textAlignment w:val="auto"/>
        <w:outlineLvl w:val="9"/>
        <w:rPr>
          <w:rFonts w:eastAsia="仿宋"/>
          <w:b/>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outlineLvl w:val="9"/>
        <w:rPr>
          <w:rFonts w:eastAsia="仿宋"/>
          <w:b w:val="0"/>
          <w:bCs w:val="0"/>
          <w:color w:val="auto"/>
          <w:szCs w:val="32"/>
          <w:highlight w:val="none"/>
        </w:rPr>
      </w:pPr>
      <w:r>
        <w:rPr>
          <w:rFonts w:hint="eastAsia" w:eastAsia="仿宋"/>
          <w:b w:val="0"/>
          <w:bCs w:val="0"/>
          <w:color w:val="auto"/>
          <w:szCs w:val="32"/>
          <w:highlight w:val="none"/>
          <w:lang w:eastAsia="zh-CN"/>
        </w:rPr>
        <w:t>内蒙古汇能集团蒙南发电有限公司</w:t>
      </w:r>
      <w:r>
        <w:rPr>
          <w:rFonts w:eastAsia="仿宋"/>
          <w:b w:val="0"/>
          <w:bCs w:val="0"/>
          <w:color w:val="auto"/>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eastAsia="仿宋"/>
          <w:color w:val="000000"/>
          <w:szCs w:val="32"/>
          <w:highlight w:val="none"/>
        </w:rPr>
      </w:pPr>
      <w:r>
        <w:rPr>
          <w:rFonts w:eastAsia="仿宋"/>
          <w:color w:val="000000"/>
          <w:szCs w:val="32"/>
          <w:highlight w:val="none"/>
        </w:rPr>
        <w:t>你公司报送的</w:t>
      </w:r>
      <w:r>
        <w:rPr>
          <w:rFonts w:ascii="Times New Roman" w:hAnsi="Times New Roman" w:eastAsia="仿宋"/>
          <w:color w:val="000000"/>
          <w:szCs w:val="32"/>
          <w:highlight w:val="none"/>
        </w:rPr>
        <w:t>由</w:t>
      </w:r>
      <w:bookmarkStart w:id="0" w:name="_GoBack"/>
      <w:r>
        <w:rPr>
          <w:rFonts w:hint="eastAsia" w:ascii="Times New Roman" w:hAnsi="Times New Roman" w:eastAsia="仿宋"/>
          <w:color w:val="000000"/>
          <w:szCs w:val="32"/>
          <w:highlight w:val="none"/>
          <w:lang w:eastAsia="zh-CN"/>
        </w:rPr>
        <w:t>内蒙古宝钜环保技术服务有限公司</w:t>
      </w:r>
      <w:bookmarkEnd w:id="0"/>
      <w:r>
        <w:rPr>
          <w:rFonts w:ascii="Times New Roman" w:hAnsi="Times New Roman" w:eastAsia="仿宋"/>
          <w:color w:val="000000"/>
          <w:szCs w:val="32"/>
          <w:highlight w:val="none"/>
        </w:rPr>
        <w:t>编</w:t>
      </w:r>
      <w:r>
        <w:rPr>
          <w:rFonts w:eastAsia="仿宋"/>
          <w:color w:val="000000"/>
          <w:szCs w:val="32"/>
          <w:highlight w:val="none"/>
        </w:rPr>
        <w:t>制</w:t>
      </w:r>
      <w:r>
        <w:rPr>
          <w:rFonts w:hint="eastAsia" w:eastAsia="仿宋"/>
          <w:color w:val="000000"/>
          <w:szCs w:val="32"/>
          <w:highlight w:val="none"/>
          <w:lang w:eastAsia="zh-CN"/>
        </w:rPr>
        <w:t>的《内蒙古汇能集团蒙南发电有限公司燃料部兰炭、煤矸石提质改造项目环境影响报告表</w:t>
      </w:r>
      <w:r>
        <w:rPr>
          <w:rFonts w:eastAsia="仿宋"/>
          <w:color w:val="000000"/>
          <w:szCs w:val="32"/>
          <w:highlight w:val="none"/>
        </w:rPr>
        <w:t>》（以下简称《报告表》）</w:t>
      </w:r>
      <w:r>
        <w:rPr>
          <w:rFonts w:hint="eastAsia" w:eastAsia="仿宋"/>
          <w:color w:val="000000"/>
          <w:szCs w:val="32"/>
          <w:highlight w:val="none"/>
          <w:lang w:val="en-US" w:eastAsia="zh-CN"/>
        </w:rPr>
        <w:t>和</w:t>
      </w:r>
      <w:r>
        <w:rPr>
          <w:rFonts w:eastAsia="仿宋"/>
          <w:color w:val="000000"/>
          <w:szCs w:val="32"/>
          <w:highlight w:val="none"/>
        </w:rPr>
        <w:t>收悉。</w:t>
      </w:r>
      <w:r>
        <w:rPr>
          <w:rFonts w:hint="eastAsia" w:ascii="Times New Roman" w:hAnsi="Times New Roman" w:cs="Times New Roman"/>
          <w:color w:val="000000"/>
          <w:szCs w:val="32"/>
          <w:highlight w:val="none"/>
        </w:rPr>
        <w:t>经</w:t>
      </w:r>
      <w:r>
        <w:rPr>
          <w:rFonts w:hint="eastAsia" w:cs="Times New Roman"/>
          <w:color w:val="000000"/>
          <w:szCs w:val="32"/>
          <w:highlight w:val="none"/>
          <w:lang w:eastAsia="zh-CN"/>
        </w:rPr>
        <w:t>研究</w:t>
      </w:r>
      <w:r>
        <w:rPr>
          <w:rFonts w:eastAsia="仿宋"/>
          <w:color w:val="000000"/>
          <w:szCs w:val="32"/>
          <w:highlight w:val="none"/>
        </w:rPr>
        <w:t>，现批复如下：</w:t>
      </w:r>
    </w:p>
    <w:p>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40"/>
        <w:textAlignment w:val="auto"/>
        <w:rPr>
          <w:rFonts w:hint="eastAsia"/>
          <w:highlight w:val="none"/>
          <w:lang w:val="en-US" w:eastAsia="zh-CN"/>
        </w:rPr>
      </w:pPr>
      <w:r>
        <w:rPr>
          <w:rFonts w:hint="eastAsia"/>
          <w:highlight w:val="none"/>
          <w:lang w:eastAsia="zh-CN"/>
        </w:rPr>
        <w:t>该项目位于</w:t>
      </w:r>
      <w:r>
        <w:rPr>
          <w:rFonts w:hint="eastAsia" w:ascii="仿宋_GB2312" w:hAnsi="宋体" w:eastAsia="仿宋_GB2312"/>
          <w:kern w:val="0"/>
          <w:sz w:val="32"/>
          <w:szCs w:val="32"/>
          <w:highlight w:val="none"/>
        </w:rPr>
        <w:t>鄂尔多斯市伊金霍洛旗鄂尔多斯圣圆煤化工基地汇能工业项目区内蒙古汇能集团蒙南发电有限公司蒙南电厂东南侧约1km</w:t>
      </w:r>
      <w:r>
        <w:rPr>
          <w:rFonts w:hint="eastAsia"/>
          <w:highlight w:val="none"/>
          <w:lang w:val="en-US" w:eastAsia="zh-CN"/>
        </w:rPr>
        <w:t>。主要建设内容包括</w:t>
      </w:r>
      <w:r>
        <w:rPr>
          <w:rFonts w:hint="eastAsia" w:ascii="仿宋_GB2312" w:hAnsi="宋体" w:eastAsia="仿宋_GB2312"/>
          <w:kern w:val="0"/>
          <w:sz w:val="32"/>
          <w:szCs w:val="32"/>
          <w:highlight w:val="none"/>
        </w:rPr>
        <w:t>一座全封闭</w:t>
      </w:r>
      <w:r>
        <w:rPr>
          <w:rFonts w:hint="eastAsia" w:ascii="仿宋_GB2312" w:hAnsi="宋体" w:eastAsia="仿宋_GB2312"/>
          <w:kern w:val="0"/>
          <w:sz w:val="32"/>
          <w:szCs w:val="32"/>
          <w:highlight w:val="none"/>
          <w:lang w:val="en-US" w:eastAsia="zh-CN"/>
        </w:rPr>
        <w:t>提质</w:t>
      </w:r>
      <w:r>
        <w:rPr>
          <w:rFonts w:hint="eastAsia" w:ascii="仿宋_GB2312" w:hAnsi="宋体" w:eastAsia="仿宋_GB2312"/>
          <w:kern w:val="0"/>
          <w:sz w:val="32"/>
          <w:szCs w:val="32"/>
          <w:highlight w:val="none"/>
        </w:rPr>
        <w:t>车间，车间内</w:t>
      </w:r>
      <w:r>
        <w:rPr>
          <w:rFonts w:hint="eastAsia" w:ascii="仿宋_GB2312" w:hAnsi="宋体"/>
          <w:kern w:val="0"/>
          <w:sz w:val="32"/>
          <w:szCs w:val="32"/>
          <w:highlight w:val="none"/>
          <w:lang w:val="en-US" w:eastAsia="zh-CN"/>
        </w:rPr>
        <w:t>设置</w:t>
      </w:r>
      <w:r>
        <w:rPr>
          <w:rFonts w:hint="eastAsia" w:ascii="仿宋_GB2312" w:hAnsi="宋体" w:eastAsia="仿宋_GB2312"/>
          <w:kern w:val="0"/>
          <w:sz w:val="32"/>
          <w:szCs w:val="32"/>
          <w:highlight w:val="none"/>
        </w:rPr>
        <w:t>一</w:t>
      </w:r>
      <w:r>
        <w:rPr>
          <w:rFonts w:hint="eastAsia" w:ascii="仿宋_GB2312" w:hAnsi="宋体" w:eastAsia="仿宋_GB2312"/>
          <w:kern w:val="0"/>
          <w:sz w:val="32"/>
          <w:szCs w:val="32"/>
          <w:highlight w:val="none"/>
          <w:lang w:val="en-US" w:eastAsia="zh-CN"/>
        </w:rPr>
        <w:t>条</w:t>
      </w:r>
      <w:r>
        <w:rPr>
          <w:rFonts w:hint="eastAsia" w:ascii="仿宋_GB2312" w:hAnsi="宋体" w:eastAsia="仿宋_GB2312"/>
          <w:kern w:val="0"/>
          <w:sz w:val="32"/>
          <w:szCs w:val="32"/>
          <w:highlight w:val="none"/>
        </w:rPr>
        <w:t>120万吨</w:t>
      </w:r>
      <w:r>
        <w:rPr>
          <w:rFonts w:hint="eastAsia" w:ascii="仿宋_GB2312" w:hAnsi="宋体"/>
          <w:kern w:val="0"/>
          <w:sz w:val="32"/>
          <w:szCs w:val="32"/>
          <w:highlight w:val="none"/>
          <w:lang w:val="en-US" w:eastAsia="zh-CN"/>
        </w:rPr>
        <w:t>/年</w:t>
      </w:r>
      <w:r>
        <w:rPr>
          <w:rFonts w:hint="eastAsia" w:ascii="仿宋_GB2312" w:hAnsi="宋体" w:eastAsia="仿宋_GB2312"/>
          <w:kern w:val="0"/>
          <w:sz w:val="32"/>
          <w:szCs w:val="32"/>
          <w:highlight w:val="none"/>
          <w:lang w:val="en-US" w:eastAsia="zh-CN"/>
        </w:rPr>
        <w:t>跳汰洗选生产线</w:t>
      </w:r>
      <w:r>
        <w:rPr>
          <w:rFonts w:hint="eastAsia" w:ascii="仿宋_GB2312" w:hAnsi="宋体"/>
          <w:kern w:val="0"/>
          <w:sz w:val="32"/>
          <w:szCs w:val="32"/>
          <w:highlight w:val="none"/>
          <w:lang w:eastAsia="zh-CN"/>
        </w:rPr>
        <w:t>（</w:t>
      </w:r>
      <w:r>
        <w:rPr>
          <w:rFonts w:hint="eastAsia" w:ascii="仿宋_GB2312" w:hAnsi="宋体" w:eastAsia="仿宋_GB2312"/>
          <w:kern w:val="0"/>
          <w:sz w:val="32"/>
          <w:szCs w:val="32"/>
          <w:highlight w:val="none"/>
        </w:rPr>
        <w:t>其中包括60万吨兰炭和60万吨的煤矸石</w:t>
      </w:r>
      <w:r>
        <w:rPr>
          <w:rFonts w:hint="eastAsia" w:ascii="仿宋_GB2312" w:hAnsi="宋体"/>
          <w:kern w:val="0"/>
          <w:sz w:val="32"/>
          <w:szCs w:val="32"/>
          <w:highlight w:val="none"/>
          <w:lang w:eastAsia="zh-CN"/>
        </w:rPr>
        <w:t>），</w:t>
      </w:r>
      <w:r>
        <w:rPr>
          <w:rFonts w:hint="eastAsia" w:ascii="仿宋_GB2312" w:hAnsi="宋体"/>
          <w:kern w:val="0"/>
          <w:sz w:val="32"/>
          <w:szCs w:val="32"/>
          <w:highlight w:val="none"/>
          <w:lang w:val="en-US" w:eastAsia="zh-CN"/>
        </w:rPr>
        <w:t>以及配套建设相关辅助设施及环保设施。</w:t>
      </w:r>
      <w:r>
        <w:rPr>
          <w:rFonts w:hint="eastAsia"/>
          <w:highlight w:val="none"/>
          <w:lang w:val="en-US" w:eastAsia="zh-CN"/>
        </w:rPr>
        <w:t>项目总投资600万元，其中环</w:t>
      </w:r>
      <w:r>
        <w:rPr>
          <w:rFonts w:hint="eastAsia" w:cs="Times New Roman"/>
          <w:highlight w:val="none"/>
          <w:lang w:val="en-US" w:eastAsia="zh-CN"/>
        </w:rPr>
        <w:t>保投资55万元。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outlineLvl w:val="9"/>
        <w:rPr>
          <w:rFonts w:eastAsia="仿宋"/>
          <w:color w:val="000000"/>
          <w:szCs w:val="32"/>
          <w:highlight w:val="none"/>
        </w:rPr>
      </w:pPr>
      <w:r>
        <w:rPr>
          <w:rFonts w:eastAsia="仿宋"/>
          <w:color w:val="000000"/>
          <w:szCs w:val="32"/>
          <w:highlight w:val="none"/>
        </w:rPr>
        <w:t>《报告表》认为，在全面落实各项生态环境保护和环境污染防治措施的前提下，项目建设对环境的不利影响能够得到一定的缓解和控制。因此，我局原则同意你公司按照《报告表》中所列的建设项目性质、规模、地点、工艺、环境保护措施进行建设。</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textAlignment w:val="baseline"/>
        <w:outlineLvl w:val="9"/>
        <w:rPr>
          <w:rFonts w:eastAsia="仿宋"/>
          <w:color w:val="000000"/>
          <w:szCs w:val="32"/>
          <w:highlight w:val="none"/>
        </w:rPr>
      </w:pPr>
      <w:r>
        <w:rPr>
          <w:rFonts w:eastAsia="仿宋"/>
          <w:color w:val="000000"/>
          <w:szCs w:val="32"/>
          <w:highlight w:val="none"/>
        </w:rPr>
        <w:t>二、项目建设与运行管理中应重点做好的工作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outlineLvl w:val="9"/>
        <w:rPr>
          <w:rFonts w:eastAsia="仿宋"/>
          <w:szCs w:val="32"/>
          <w:highlight w:val="none"/>
        </w:rPr>
      </w:pPr>
      <w:r>
        <w:rPr>
          <w:rFonts w:eastAsia="仿宋"/>
          <w:szCs w:val="32"/>
          <w:highlight w:val="none"/>
        </w:rPr>
        <w:t>1.加强施工期环境管理。施工单位在土石方开挖及设备安装过程中应严格按照设计要求施工，尽可能缩小施工活动范围，施工场地四周须建立围挡，定期进行洒水和清扫；禁止在敏感建筑物集中区域内进行打桩、搅拌混凝土、鸣笛等活动；施工结束后须尽快对临时占地和周边进行生态植被恢复，防止水土流失；施工期产生的废水和固体废弃物要集中收集统一处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jc w:val="both"/>
        <w:outlineLvl w:val="9"/>
        <w:rPr>
          <w:rFonts w:eastAsia="仿宋"/>
          <w:szCs w:val="32"/>
          <w:highlight w:val="none"/>
        </w:rPr>
      </w:pPr>
      <w:r>
        <w:rPr>
          <w:rFonts w:eastAsia="仿宋"/>
          <w:szCs w:val="32"/>
          <w:highlight w:val="none"/>
        </w:rPr>
        <w:t>2.认真落实《报告表》中提出的大气污染防治措施。</w:t>
      </w:r>
      <w:r>
        <w:rPr>
          <w:rFonts w:hint="eastAsia" w:eastAsia="仿宋"/>
          <w:szCs w:val="32"/>
          <w:highlight w:val="none"/>
          <w:lang w:val="en-US" w:eastAsia="zh-CN"/>
        </w:rPr>
        <w:t>颗粒物</w:t>
      </w:r>
      <w:r>
        <w:rPr>
          <w:rFonts w:eastAsia="仿宋"/>
          <w:szCs w:val="32"/>
          <w:highlight w:val="none"/>
        </w:rPr>
        <w:t>通过</w:t>
      </w:r>
      <w:r>
        <w:rPr>
          <w:rFonts w:hint="eastAsia" w:eastAsia="仿宋"/>
          <w:szCs w:val="32"/>
          <w:highlight w:val="none"/>
          <w:lang w:val="en-US" w:eastAsia="zh-CN"/>
        </w:rPr>
        <w:t>集尘罩</w:t>
      </w:r>
      <w:r>
        <w:rPr>
          <w:rFonts w:hint="eastAsia" w:eastAsia="仿宋"/>
          <w:szCs w:val="32"/>
          <w:highlight w:val="none"/>
        </w:rPr>
        <w:t>+布袋除尘器处理后经</w:t>
      </w:r>
      <w:r>
        <w:rPr>
          <w:rFonts w:hint="eastAsia" w:eastAsia="仿宋"/>
          <w:szCs w:val="32"/>
          <w:highlight w:val="none"/>
          <w:lang w:val="en-US" w:eastAsia="zh-CN"/>
        </w:rPr>
        <w:t>15</w:t>
      </w:r>
      <w:r>
        <w:rPr>
          <w:rFonts w:hint="eastAsia" w:eastAsia="仿宋"/>
          <w:szCs w:val="32"/>
          <w:highlight w:val="none"/>
        </w:rPr>
        <w:t>米高排气筒排放</w:t>
      </w:r>
      <w:r>
        <w:rPr>
          <w:rFonts w:hint="eastAsia" w:eastAsia="仿宋"/>
          <w:szCs w:val="32"/>
          <w:highlight w:val="none"/>
          <w:lang w:eastAsia="zh-CN"/>
        </w:rPr>
        <w:t>，</w:t>
      </w:r>
      <w:r>
        <w:rPr>
          <w:rFonts w:hint="eastAsia" w:eastAsia="仿宋"/>
          <w:szCs w:val="32"/>
          <w:highlight w:val="none"/>
          <w:lang w:val="en-US" w:eastAsia="zh-CN"/>
        </w:rPr>
        <w:t>须</w:t>
      </w:r>
      <w:r>
        <w:rPr>
          <w:rFonts w:eastAsia="仿宋"/>
          <w:szCs w:val="32"/>
          <w:highlight w:val="none"/>
        </w:rPr>
        <w:t>满足《</w:t>
      </w:r>
      <w:r>
        <w:rPr>
          <w:rFonts w:hint="eastAsia"/>
          <w:szCs w:val="22"/>
          <w:highlight w:val="none"/>
        </w:rPr>
        <w:t>煤炭工业污染物排放标准</w:t>
      </w:r>
      <w:r>
        <w:rPr>
          <w:rFonts w:eastAsia="仿宋"/>
          <w:szCs w:val="32"/>
          <w:highlight w:val="none"/>
        </w:rPr>
        <w:t>》（</w:t>
      </w:r>
      <w:r>
        <w:rPr>
          <w:szCs w:val="22"/>
          <w:highlight w:val="none"/>
        </w:rPr>
        <w:t>GB20426-2006</w:t>
      </w:r>
      <w:r>
        <w:rPr>
          <w:rFonts w:eastAsia="仿宋"/>
          <w:szCs w:val="32"/>
          <w:highlight w:val="none"/>
        </w:rPr>
        <w:t>）限值要求。加强运营期管理，运输道路硬化，定时洒水抑尘，同时加强对运输车辆的管理，减少扬尘污染。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jc w:val="both"/>
        <w:outlineLvl w:val="9"/>
        <w:rPr>
          <w:rFonts w:eastAsia="仿宋"/>
          <w:szCs w:val="32"/>
          <w:highlight w:val="none"/>
        </w:rPr>
      </w:pPr>
      <w:r>
        <w:rPr>
          <w:rFonts w:hint="eastAsia" w:eastAsia="仿宋"/>
          <w:szCs w:val="32"/>
          <w:highlight w:val="none"/>
          <w:lang w:val="en-US" w:eastAsia="zh-CN"/>
        </w:rPr>
        <w:t>3</w:t>
      </w:r>
      <w:r>
        <w:rPr>
          <w:rFonts w:eastAsia="仿宋"/>
          <w:szCs w:val="32"/>
          <w:highlight w:val="none"/>
        </w:rPr>
        <w:t>.认真落实《报告表》中提出的</w:t>
      </w:r>
      <w:r>
        <w:rPr>
          <w:rFonts w:hint="eastAsia" w:eastAsia="仿宋"/>
          <w:szCs w:val="32"/>
          <w:highlight w:val="none"/>
          <w:lang w:val="en-US" w:eastAsia="zh-CN"/>
        </w:rPr>
        <w:t>水</w:t>
      </w:r>
      <w:r>
        <w:rPr>
          <w:rFonts w:eastAsia="仿宋"/>
          <w:szCs w:val="32"/>
          <w:highlight w:val="none"/>
        </w:rPr>
        <w:t>污染防治措施。</w:t>
      </w:r>
      <w:r>
        <w:rPr>
          <w:rFonts w:hint="eastAsia"/>
          <w:color w:val="000000"/>
          <w:szCs w:val="22"/>
          <w:highlight w:val="none"/>
        </w:rPr>
        <w:t>厂区内地面须硬化，</w:t>
      </w:r>
      <w:r>
        <w:rPr>
          <w:rFonts w:hint="eastAsia"/>
          <w:color w:val="000000"/>
          <w:szCs w:val="22"/>
          <w:highlight w:val="none"/>
          <w:lang w:eastAsia="zh-CN"/>
        </w:rPr>
        <w:t>采取防渗措施，</w:t>
      </w:r>
      <w:r>
        <w:rPr>
          <w:rFonts w:hint="eastAsia"/>
          <w:color w:val="000000"/>
          <w:szCs w:val="22"/>
          <w:highlight w:val="none"/>
        </w:rPr>
        <w:t>避免废水下渗对区域地下水产生影响。</w:t>
      </w:r>
      <w:r>
        <w:rPr>
          <w:rFonts w:hint="eastAsia" w:ascii="Times New Roman" w:hAnsi="Times New Roman" w:cs="Times New Roman"/>
          <w:szCs w:val="22"/>
          <w:highlight w:val="none"/>
          <w:lang w:eastAsia="zh-CN"/>
        </w:rPr>
        <w:t>煤泥水经浓缩</w:t>
      </w:r>
      <w:r>
        <w:rPr>
          <w:rFonts w:hint="eastAsia" w:ascii="Times New Roman" w:hAnsi="Times New Roman" w:cs="Times New Roman"/>
          <w:szCs w:val="22"/>
          <w:highlight w:val="none"/>
          <w:lang w:val="en-US" w:eastAsia="zh-CN"/>
        </w:rPr>
        <w:t>机和</w:t>
      </w:r>
      <w:r>
        <w:rPr>
          <w:rFonts w:hint="eastAsia" w:ascii="Times New Roman" w:hAnsi="Times New Roman" w:cs="Times New Roman"/>
          <w:szCs w:val="22"/>
          <w:highlight w:val="none"/>
          <w:lang w:eastAsia="zh-CN"/>
        </w:rPr>
        <w:t>压滤机处理后上</w:t>
      </w:r>
      <w:r>
        <w:rPr>
          <w:rFonts w:hint="eastAsia" w:ascii="Times New Roman" w:hAnsi="Times New Roman" w:cs="Times New Roman"/>
          <w:color w:val="000000"/>
          <w:szCs w:val="22"/>
          <w:highlight w:val="none"/>
          <w:lang w:eastAsia="zh-CN"/>
        </w:rPr>
        <w:t>清液循环利用，不外排；</w:t>
      </w:r>
      <w:r>
        <w:rPr>
          <w:rFonts w:hint="eastAsia" w:ascii="Times New Roman" w:hAnsi="Times New Roman" w:cs="Times New Roman"/>
          <w:szCs w:val="22"/>
          <w:highlight w:val="none"/>
          <w:lang w:val="en-US" w:eastAsia="zh-CN"/>
        </w:rPr>
        <w:t>地面冲洗水</w:t>
      </w:r>
      <w:r>
        <w:rPr>
          <w:rFonts w:hint="default" w:ascii="Times New Roman" w:hAnsi="Times New Roman" w:cs="Times New Roman"/>
          <w:szCs w:val="22"/>
          <w:highlight w:val="none"/>
          <w:lang w:val="en-US" w:eastAsia="zh-CN"/>
        </w:rPr>
        <w:t>集中收集后</w:t>
      </w:r>
      <w:r>
        <w:rPr>
          <w:rFonts w:hint="eastAsia" w:ascii="Times New Roman" w:hAnsi="Times New Roman" w:cs="Times New Roman"/>
          <w:szCs w:val="22"/>
          <w:highlight w:val="none"/>
          <w:lang w:val="en-US" w:eastAsia="zh-CN"/>
        </w:rPr>
        <w:t>经循环水池沉淀</w:t>
      </w:r>
      <w:r>
        <w:rPr>
          <w:rFonts w:hint="default" w:ascii="Times New Roman" w:hAnsi="Times New Roman" w:cs="Times New Roman"/>
          <w:szCs w:val="22"/>
          <w:highlight w:val="none"/>
          <w:lang w:val="en-US" w:eastAsia="zh-CN"/>
        </w:rPr>
        <w:t>后回用于洗</w:t>
      </w:r>
      <w:r>
        <w:rPr>
          <w:rFonts w:hint="eastAsia" w:ascii="Times New Roman" w:hAnsi="Times New Roman" w:cs="Times New Roman"/>
          <w:szCs w:val="22"/>
          <w:highlight w:val="none"/>
          <w:lang w:val="en-US" w:eastAsia="zh-CN"/>
        </w:rPr>
        <w:t>选工序；生活污水</w:t>
      </w:r>
      <w:r>
        <w:rPr>
          <w:rFonts w:hint="eastAsia" w:ascii="Times New Roman" w:hAnsi="Times New Roman" w:cs="Times New Roman"/>
          <w:szCs w:val="22"/>
          <w:highlight w:val="none"/>
          <w:lang w:eastAsia="zh-CN"/>
        </w:rPr>
        <w:t>经化粪池处理后，定期拉运至蒙南热电厂污水处理站处置。</w:t>
      </w:r>
    </w:p>
    <w:p>
      <w:pPr>
        <w:keepNext w:val="0"/>
        <w:keepLines w:val="0"/>
        <w:pageBreakBefore w:val="0"/>
        <w:kinsoku/>
        <w:wordWrap/>
        <w:overflowPunct/>
        <w:topLinePunct w:val="0"/>
        <w:autoSpaceDE/>
        <w:autoSpaceDN/>
        <w:bidi w:val="0"/>
        <w:adjustRightInd w:val="0"/>
        <w:snapToGrid w:val="0"/>
        <w:spacing w:line="600" w:lineRule="exact"/>
        <w:ind w:firstLine="640"/>
        <w:rPr>
          <w:rFonts w:hint="eastAsia"/>
          <w:color w:val="000000"/>
          <w:szCs w:val="22"/>
          <w:highlight w:val="none"/>
        </w:rPr>
      </w:pPr>
      <w:r>
        <w:rPr>
          <w:rFonts w:hint="eastAsia"/>
          <w:szCs w:val="22"/>
          <w:highlight w:val="none"/>
          <w:lang w:val="en-US" w:eastAsia="zh-CN"/>
        </w:rPr>
        <w:t>4</w:t>
      </w:r>
      <w:r>
        <w:rPr>
          <w:szCs w:val="22"/>
          <w:highlight w:val="none"/>
        </w:rPr>
        <w:t>.</w:t>
      </w:r>
      <w:r>
        <w:rPr>
          <w:rFonts w:eastAsia="仿宋"/>
          <w:color w:val="000000"/>
          <w:szCs w:val="32"/>
          <w:highlight w:val="none"/>
        </w:rPr>
        <w:t>应采取妥善</w:t>
      </w:r>
      <w:r>
        <w:rPr>
          <w:rFonts w:eastAsia="仿宋"/>
          <w:szCs w:val="32"/>
          <w:highlight w:val="none"/>
        </w:rPr>
        <w:t>控制措施，</w:t>
      </w:r>
      <w:r>
        <w:rPr>
          <w:rFonts w:hint="eastAsia"/>
          <w:color w:val="000000"/>
          <w:szCs w:val="22"/>
          <w:highlight w:val="none"/>
        </w:rPr>
        <w:t>确保厂界噪声满足《工业企业厂界环境噪声排放标准》（GB12348-2008）</w:t>
      </w:r>
      <w:r>
        <w:rPr>
          <w:rFonts w:hint="eastAsia"/>
          <w:color w:val="000000"/>
          <w:szCs w:val="22"/>
          <w:highlight w:val="none"/>
          <w:lang w:val="en-US" w:eastAsia="zh-CN"/>
        </w:rPr>
        <w:t>3</w:t>
      </w:r>
      <w:r>
        <w:rPr>
          <w:rFonts w:hint="eastAsia"/>
          <w:color w:val="000000"/>
          <w:szCs w:val="22"/>
          <w:highlight w:val="none"/>
        </w:rPr>
        <w:t>类标准限值要求。</w:t>
      </w:r>
    </w:p>
    <w:p>
      <w:pPr>
        <w:keepLines w:val="0"/>
        <w:pageBreakBefore w:val="0"/>
        <w:kinsoku/>
        <w:wordWrap/>
        <w:overflowPunct/>
        <w:topLinePunct w:val="0"/>
        <w:autoSpaceDE/>
        <w:autoSpaceDN/>
        <w:bidi w:val="0"/>
        <w:spacing w:line="600" w:lineRule="exact"/>
        <w:ind w:firstLine="640"/>
        <w:rPr>
          <w:rFonts w:hint="eastAsia" w:eastAsia="仿宋"/>
          <w:kern w:val="0"/>
          <w:szCs w:val="32"/>
          <w:lang w:eastAsia="zh-CN"/>
        </w:rPr>
      </w:pPr>
      <w:r>
        <w:rPr>
          <w:rFonts w:hint="eastAsia" w:ascii="Times New Roman" w:hAnsi="Times New Roman" w:cs="Times New Roman"/>
          <w:szCs w:val="22"/>
          <w:highlight w:val="none"/>
          <w:lang w:val="en-US" w:eastAsia="zh-CN"/>
        </w:rPr>
        <w:t>5.</w:t>
      </w:r>
      <w:r>
        <w:rPr>
          <w:rFonts w:hint="eastAsia" w:eastAsia="仿宋"/>
          <w:kern w:val="0"/>
          <w:szCs w:val="32"/>
          <w:lang w:eastAsia="zh-CN"/>
        </w:rPr>
        <w:t>落实固体废物污染防治措施。</w:t>
      </w:r>
      <w:r>
        <w:rPr>
          <w:rFonts w:hint="eastAsia" w:eastAsia="仿宋"/>
          <w:kern w:val="0"/>
          <w:szCs w:val="32"/>
          <w:lang w:val="en-US" w:eastAsia="zh-CN"/>
        </w:rPr>
        <w:t>建设单位需严格按照《一般工业固体废物贮存和填埋污染控制标准》（GB18599-2020）要求对一般固废进行处置，不得乱弃。</w:t>
      </w:r>
      <w:r>
        <w:rPr>
          <w:rFonts w:hint="eastAsia" w:eastAsia="仿宋"/>
          <w:kern w:val="0"/>
          <w:szCs w:val="32"/>
          <w:lang w:eastAsia="zh-CN"/>
        </w:rPr>
        <w:t>运营过程中产生的</w:t>
      </w:r>
      <w:r>
        <w:rPr>
          <w:rFonts w:hint="eastAsia" w:eastAsia="仿宋"/>
          <w:kern w:val="0"/>
          <w:szCs w:val="32"/>
          <w:lang w:val="en-US" w:eastAsia="zh-CN"/>
        </w:rPr>
        <w:t>洗选矸石拉运至到准格尔旗弓家塔布尔洞煤炭有限责任公司露天煤矿采空区回填；煤泥、循环水池煤泥、布袋除尘收集的煤尘作为原料回用于生产；废矿物油暂存于危废暂存间定期交有资质单位处置，</w:t>
      </w:r>
      <w:r>
        <w:rPr>
          <w:rFonts w:hint="eastAsia" w:eastAsia="仿宋"/>
          <w:kern w:val="0"/>
          <w:szCs w:val="32"/>
          <w:lang w:eastAsia="zh-CN"/>
        </w:rPr>
        <w:t>生活垃圾集中收集后交由当地环卫部门处置。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jc w:val="both"/>
        <w:outlineLvl w:val="9"/>
        <w:rPr>
          <w:rFonts w:hint="default"/>
          <w:color w:val="000000"/>
          <w:szCs w:val="22"/>
          <w:highlight w:val="none"/>
          <w:lang w:val="en-US" w:eastAsia="zh-CN"/>
        </w:rPr>
      </w:pPr>
      <w:r>
        <w:rPr>
          <w:rFonts w:hint="eastAsia" w:ascii="Times New Roman" w:hAnsi="Times New Roman" w:cs="Times New Roman"/>
          <w:szCs w:val="22"/>
          <w:highlight w:val="none"/>
          <w:lang w:val="en-US" w:eastAsia="zh-CN"/>
        </w:rPr>
        <w:t>6.</w:t>
      </w:r>
      <w:r>
        <w:rPr>
          <w:rFonts w:hint="eastAsia"/>
          <w:color w:val="000000"/>
          <w:szCs w:val="22"/>
          <w:highlight w:val="none"/>
          <w:lang w:val="en-US" w:eastAsia="zh-CN"/>
        </w:rPr>
        <w:t>项目建成投运前，按照相关要求安装高清视频监控装置，并与鄂尔多斯市环境网格化监管平台进行联网。</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jc w:val="both"/>
        <w:outlineLvl w:val="9"/>
        <w:rPr>
          <w:rFonts w:eastAsia="仿宋"/>
          <w:color w:val="000000"/>
          <w:szCs w:val="32"/>
          <w:highlight w:val="none"/>
        </w:rPr>
      </w:pPr>
      <w:r>
        <w:rPr>
          <w:rFonts w:hint="eastAsia" w:ascii="Times New Roman" w:hAnsi="Times New Roman" w:cs="Times New Roman"/>
          <w:szCs w:val="22"/>
          <w:highlight w:val="none"/>
          <w:lang w:val="en-US" w:eastAsia="zh-CN"/>
        </w:rPr>
        <w:t>7.</w:t>
      </w:r>
      <w:r>
        <w:rPr>
          <w:rFonts w:hint="eastAsia" w:cs="Times New Roman"/>
          <w:szCs w:val="22"/>
          <w:highlight w:val="none"/>
          <w:lang w:val="en-US" w:eastAsia="zh-CN"/>
        </w:rPr>
        <w:t>建设单位</w:t>
      </w:r>
      <w:r>
        <w:rPr>
          <w:rFonts w:hint="eastAsia"/>
          <w:color w:val="000000"/>
          <w:szCs w:val="22"/>
          <w:highlight w:val="none"/>
          <w:lang w:val="en-US" w:eastAsia="zh-CN"/>
        </w:rPr>
        <w:t>需要强化环境风险防范，制定环境风</w:t>
      </w:r>
      <w:r>
        <w:rPr>
          <w:rFonts w:eastAsia="仿宋"/>
          <w:color w:val="000000"/>
          <w:szCs w:val="32"/>
          <w:highlight w:val="none"/>
        </w:rPr>
        <w:t>险应急预案，落实环境风险事故防范措施，提高事故风险防范和污染控制能力。</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outlineLvl w:val="9"/>
        <w:rPr>
          <w:rFonts w:hint="eastAsia" w:eastAsia="仿宋"/>
          <w:color w:val="000000"/>
          <w:szCs w:val="32"/>
          <w:highlight w:val="none"/>
          <w:lang w:val="en-US" w:eastAsia="zh-CN"/>
        </w:rPr>
      </w:pPr>
      <w:r>
        <w:rPr>
          <w:rFonts w:hint="eastAsia" w:eastAsia="仿宋"/>
          <w:color w:val="000000"/>
          <w:szCs w:val="32"/>
          <w:highlight w:val="none"/>
          <w:lang w:val="en-US" w:eastAsia="zh-CN"/>
        </w:rPr>
        <w:t>三、</w:t>
      </w:r>
      <w:r>
        <w:rPr>
          <w:rFonts w:hint="eastAsia"/>
          <w:color w:val="000000"/>
          <w:szCs w:val="22"/>
          <w:highlight w:val="none"/>
          <w:lang w:val="en-US" w:eastAsia="zh-CN"/>
        </w:rPr>
        <w:t>本项目洗选工序只用于内蒙古汇能集团蒙南发电有限公司燃料部兰炭和煤矸石的提质，严禁用于其他原煤洗选。</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outlineLvl w:val="9"/>
        <w:rPr>
          <w:rFonts w:hint="default" w:eastAsia="仿宋"/>
          <w:color w:val="000000"/>
          <w:szCs w:val="32"/>
          <w:highlight w:val="none"/>
          <w:lang w:val="en-US" w:eastAsia="zh-CN"/>
        </w:rPr>
      </w:pPr>
      <w:r>
        <w:rPr>
          <w:rFonts w:hint="eastAsia" w:eastAsia="仿宋"/>
          <w:color w:val="000000"/>
          <w:szCs w:val="32"/>
          <w:highlight w:val="none"/>
          <w:lang w:val="en-US" w:eastAsia="zh-CN"/>
        </w:rPr>
        <w:t>四</w:t>
      </w:r>
      <w:r>
        <w:rPr>
          <w:rFonts w:eastAsia="仿宋"/>
          <w:color w:val="000000"/>
          <w:szCs w:val="32"/>
          <w:highlight w:val="none"/>
        </w:rPr>
        <w:t>、项目建设必须严格执行环境保护“三同时”制度。项目竣工后，按照规定程序实施竣工环境保护验收，经验收合格后，方可正式投入运行。</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outlineLvl w:val="9"/>
        <w:rPr>
          <w:rFonts w:eastAsia="仿宋"/>
          <w:color w:val="000000"/>
          <w:szCs w:val="32"/>
          <w:highlight w:val="none"/>
        </w:rPr>
      </w:pPr>
      <w:r>
        <w:rPr>
          <w:rFonts w:hint="eastAsia" w:eastAsia="仿宋"/>
          <w:color w:val="000000"/>
          <w:szCs w:val="32"/>
          <w:highlight w:val="none"/>
          <w:lang w:val="en-US" w:eastAsia="zh-CN"/>
        </w:rPr>
        <w:t>五、</w:t>
      </w:r>
      <w:r>
        <w:rPr>
          <w:rFonts w:eastAsia="仿宋"/>
          <w:color w:val="000000"/>
          <w:szCs w:val="32"/>
          <w:highlight w:val="none"/>
        </w:rPr>
        <w:t>你公司应在收到本批复20日内，将《报告表》（报批版）及批复文件送至</w:t>
      </w:r>
      <w:r>
        <w:rPr>
          <w:rFonts w:hint="eastAsia" w:eastAsia="仿宋"/>
          <w:color w:val="000000"/>
          <w:szCs w:val="32"/>
          <w:highlight w:val="none"/>
        </w:rPr>
        <w:t>鄂尔多斯市</w:t>
      </w:r>
      <w:r>
        <w:rPr>
          <w:rFonts w:eastAsia="仿宋"/>
          <w:color w:val="000000"/>
          <w:szCs w:val="32"/>
          <w:highlight w:val="none"/>
        </w:rPr>
        <w:t>生态环境局</w:t>
      </w:r>
      <w:r>
        <w:rPr>
          <w:rFonts w:hint="eastAsia" w:ascii="仿宋_GB2312" w:hAnsi="宋体" w:eastAsia="仿宋_GB2312"/>
          <w:kern w:val="0"/>
          <w:sz w:val="32"/>
          <w:szCs w:val="32"/>
          <w:highlight w:val="none"/>
        </w:rPr>
        <w:t>伊金霍洛旗</w:t>
      </w:r>
      <w:r>
        <w:rPr>
          <w:rFonts w:hint="eastAsia" w:eastAsia="仿宋"/>
          <w:color w:val="000000"/>
          <w:szCs w:val="32"/>
          <w:highlight w:val="none"/>
          <w:lang w:val="en-US" w:eastAsia="zh-CN"/>
        </w:rPr>
        <w:t>分</w:t>
      </w:r>
      <w:r>
        <w:rPr>
          <w:rFonts w:hint="eastAsia" w:eastAsia="仿宋"/>
          <w:color w:val="000000"/>
          <w:szCs w:val="32"/>
          <w:highlight w:val="none"/>
        </w:rPr>
        <w:t>局</w:t>
      </w:r>
      <w:r>
        <w:rPr>
          <w:rFonts w:eastAsia="仿宋"/>
          <w:color w:val="000000"/>
          <w:szCs w:val="32"/>
          <w:highlight w:val="none"/>
        </w:rPr>
        <w:t>，我局委托</w:t>
      </w:r>
      <w:r>
        <w:rPr>
          <w:rFonts w:hint="eastAsia" w:eastAsia="仿宋"/>
          <w:color w:val="000000"/>
          <w:szCs w:val="32"/>
          <w:highlight w:val="none"/>
        </w:rPr>
        <w:t>鄂尔多斯市生态环境局</w:t>
      </w:r>
      <w:r>
        <w:rPr>
          <w:rFonts w:hint="eastAsia" w:ascii="仿宋_GB2312" w:hAnsi="宋体" w:eastAsia="仿宋_GB2312"/>
          <w:kern w:val="0"/>
          <w:sz w:val="32"/>
          <w:szCs w:val="32"/>
          <w:highlight w:val="none"/>
        </w:rPr>
        <w:t>伊金霍洛旗</w:t>
      </w:r>
      <w:r>
        <w:rPr>
          <w:rFonts w:hint="eastAsia" w:eastAsia="仿宋"/>
          <w:color w:val="000000"/>
          <w:szCs w:val="32"/>
          <w:highlight w:val="none"/>
          <w:lang w:val="en-US" w:eastAsia="zh-CN"/>
        </w:rPr>
        <w:t>分</w:t>
      </w:r>
      <w:r>
        <w:rPr>
          <w:rFonts w:hint="eastAsia" w:eastAsia="仿宋"/>
          <w:color w:val="000000"/>
          <w:szCs w:val="32"/>
          <w:highlight w:val="none"/>
        </w:rPr>
        <w:t>局</w:t>
      </w:r>
      <w:r>
        <w:rPr>
          <w:rFonts w:eastAsia="仿宋"/>
          <w:color w:val="000000"/>
          <w:szCs w:val="32"/>
          <w:highlight w:val="none"/>
        </w:rPr>
        <w:t>负责该项目的日常监管工作。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outlineLvl w:val="9"/>
        <w:rPr>
          <w:rFonts w:eastAsia="仿宋"/>
          <w:szCs w:val="32"/>
          <w:highlight w:val="none"/>
        </w:rPr>
      </w:pPr>
      <w:r>
        <w:rPr>
          <w:rFonts w:hint="eastAsia" w:eastAsia="仿宋"/>
          <w:color w:val="000000"/>
          <w:szCs w:val="32"/>
          <w:highlight w:val="none"/>
          <w:lang w:val="en-US" w:eastAsia="zh-CN"/>
        </w:rPr>
        <w:t>六</w:t>
      </w:r>
      <w:r>
        <w:rPr>
          <w:rFonts w:eastAsia="仿宋"/>
          <w:color w:val="000000"/>
          <w:szCs w:val="32"/>
          <w:highlight w:val="none"/>
        </w:rPr>
        <w:t>、该项目从批准之日起超过5年方决定开工建设，其环评文件应重新审核。如果建设地点、规模、防治污染和防止生态破坏的措施等发生重大变化时，需重新报批环评文件。</w:t>
      </w:r>
    </w:p>
    <w:p>
      <w:pPr>
        <w:pStyle w:val="10"/>
        <w:keepNext w:val="0"/>
        <w:keepLines w:val="0"/>
        <w:pageBreakBefore w:val="0"/>
        <w:kinsoku/>
        <w:wordWrap/>
        <w:overflowPunct/>
        <w:topLinePunct w:val="0"/>
        <w:autoSpaceDE/>
        <w:autoSpaceDN/>
        <w:bidi w:val="0"/>
        <w:spacing w:line="600" w:lineRule="exact"/>
        <w:ind w:left="0" w:leftChars="0" w:firstLine="0" w:firstLineChars="0"/>
        <w:rPr>
          <w:highlight w:val="none"/>
        </w:rPr>
      </w:pPr>
    </w:p>
    <w:p>
      <w:pPr>
        <w:keepNext w:val="0"/>
        <w:keepLines w:val="0"/>
        <w:pageBreakBefore w:val="0"/>
        <w:kinsoku/>
        <w:wordWrap/>
        <w:overflowPunct/>
        <w:topLinePunct w:val="0"/>
        <w:autoSpaceDE/>
        <w:autoSpaceDN/>
        <w:bidi w:val="0"/>
        <w:spacing w:line="600" w:lineRule="exact"/>
        <w:rPr>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4800" w:firstLineChars="1500"/>
        <w:jc w:val="both"/>
        <w:outlineLvl w:val="9"/>
        <w:rPr>
          <w:szCs w:val="32"/>
          <w:highlight w:val="none"/>
        </w:rPr>
      </w:pPr>
      <w:r>
        <w:rPr>
          <w:rFonts w:eastAsia="仿宋"/>
          <w:szCs w:val="32"/>
          <w:highlight w:val="none"/>
        </w:rPr>
        <w:t>鄂尔多斯市</w:t>
      </w:r>
      <w:r>
        <w:rPr>
          <w:rFonts w:hint="eastAsia" w:eastAsia="仿宋"/>
          <w:szCs w:val="32"/>
          <w:highlight w:val="none"/>
        </w:rPr>
        <w:t>生态环境</w:t>
      </w:r>
      <w:r>
        <w:rPr>
          <w:szCs w:val="32"/>
          <w:highlight w:val="none"/>
        </w:rPr>
        <w:t>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320" w:firstLine="0" w:firstLineChars="0"/>
        <w:jc w:val="center"/>
        <w:outlineLvl w:val="9"/>
        <w:rPr>
          <w:szCs w:val="32"/>
          <w:highlight w:val="none"/>
        </w:rPr>
      </w:pPr>
      <w:r>
        <w:rPr>
          <w:rFonts w:hint="eastAsia"/>
          <w:szCs w:val="32"/>
          <w:highlight w:val="none"/>
          <w:lang w:val="en-US" w:eastAsia="zh-CN"/>
        </w:rPr>
        <w:t xml:space="preserve">                            </w:t>
      </w:r>
      <w:r>
        <w:rPr>
          <w:szCs w:val="32"/>
          <w:highlight w:val="none"/>
        </w:rPr>
        <w:t>20</w:t>
      </w:r>
      <w:r>
        <w:rPr>
          <w:rFonts w:hint="eastAsia"/>
          <w:szCs w:val="32"/>
          <w:highlight w:val="none"/>
          <w:lang w:val="en-US" w:eastAsia="zh-CN"/>
        </w:rPr>
        <w:t>23</w:t>
      </w:r>
      <w:r>
        <w:rPr>
          <w:szCs w:val="32"/>
          <w:highlight w:val="none"/>
        </w:rPr>
        <w:t>年</w:t>
      </w:r>
      <w:r>
        <w:rPr>
          <w:rFonts w:hint="eastAsia"/>
          <w:szCs w:val="32"/>
          <w:highlight w:val="none"/>
          <w:lang w:val="en-US" w:eastAsia="zh-CN"/>
        </w:rPr>
        <w:t>1</w:t>
      </w:r>
      <w:r>
        <w:rPr>
          <w:szCs w:val="32"/>
          <w:highlight w:val="none"/>
        </w:rPr>
        <w:t>月</w:t>
      </w:r>
      <w:r>
        <w:rPr>
          <w:rFonts w:hint="eastAsia"/>
          <w:szCs w:val="32"/>
          <w:highlight w:val="none"/>
          <w:lang w:val="en-US" w:eastAsia="zh-CN"/>
        </w:rPr>
        <w:t>12</w:t>
      </w:r>
      <w:r>
        <w:rPr>
          <w:szCs w:val="32"/>
          <w:highlight w:val="none"/>
        </w:rPr>
        <w:t>日</w:t>
      </w:r>
    </w:p>
    <w:p>
      <w:pPr>
        <w:pStyle w:val="2"/>
        <w:ind w:left="0" w:leftChars="0" w:firstLine="0" w:firstLineChars="0"/>
        <w:rPr>
          <w:rFonts w:hint="eastAsia"/>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840" w:leftChars="0" w:hanging="840" w:hangingChars="300"/>
        <w:outlineLvl w:val="9"/>
        <w:rPr>
          <w:sz w:val="28"/>
          <w:szCs w:val="28"/>
          <w:highlight w:val="none"/>
        </w:rPr>
      </w:pPr>
      <w:r>
        <w:rPr>
          <w:color w:val="000000"/>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568769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4pt;height:0pt;width:447.85pt;z-index:251659264;mso-width-relative:page;mso-height-relative:page;" filled="f" stroked="t" coordsize="21600,21600" o:gfxdata="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p6XMs0QAAAAIBAAAPAAAAAAAAAAEAIAAAACIAAABkcnMvZG93bnJldi54bWxQSwECFAAUAAAA&#10;CACHTuJA2MaFRPUBAADkAwAADgAAAAAAAAABACAAAAAgAQAAZHJzL2Uyb0RvYy54bWxQSwUGAAAA&#10;AAYABgBZAQAAhwUAAAAA&#10;">
                <v:fill on="f" focussize="0,0"/>
                <v:stroke color="#000000" joinstyle="round"/>
                <v:imagedata o:title=""/>
                <o:lock v:ext="edit" aspectratio="f"/>
              </v:line>
            </w:pict>
          </mc:Fallback>
        </mc:AlternateContent>
      </w:r>
      <w:r>
        <w:rPr>
          <w:color w:val="000000"/>
          <w:sz w:val="28"/>
          <w:szCs w:val="28"/>
          <w:highlight w:val="none"/>
        </w:rPr>
        <w:t>抄送：</w:t>
      </w:r>
      <w:r>
        <w:rPr>
          <w:rFonts w:hint="eastAsia"/>
          <w:color w:val="000000"/>
          <w:sz w:val="28"/>
          <w:szCs w:val="28"/>
          <w:highlight w:val="none"/>
        </w:rPr>
        <w:t>鄂尔多斯市</w:t>
      </w:r>
      <w:r>
        <w:rPr>
          <w:color w:val="000000"/>
          <w:sz w:val="28"/>
          <w:szCs w:val="28"/>
          <w:highlight w:val="none"/>
        </w:rPr>
        <w:t>生态环境局</w:t>
      </w:r>
      <w:r>
        <w:rPr>
          <w:rFonts w:hint="eastAsia"/>
          <w:color w:val="000000"/>
          <w:sz w:val="28"/>
          <w:szCs w:val="28"/>
          <w:highlight w:val="none"/>
        </w:rPr>
        <w:t>伊金霍洛旗</w:t>
      </w:r>
      <w:r>
        <w:rPr>
          <w:rFonts w:hint="eastAsia"/>
          <w:color w:val="000000"/>
          <w:sz w:val="28"/>
          <w:szCs w:val="28"/>
          <w:highlight w:val="none"/>
          <w:lang w:val="en-US" w:eastAsia="zh-CN"/>
        </w:rPr>
        <w:t>分</w:t>
      </w:r>
      <w:r>
        <w:rPr>
          <w:rFonts w:hint="eastAsia"/>
          <w:color w:val="000000"/>
          <w:sz w:val="28"/>
          <w:szCs w:val="28"/>
          <w:highlight w:val="none"/>
        </w:rPr>
        <w:t>局</w:t>
      </w:r>
      <w:r>
        <w:rPr>
          <w:rFonts w:hint="eastAsia"/>
          <w:color w:val="000000"/>
          <w:sz w:val="28"/>
          <w:szCs w:val="28"/>
          <w:highlight w:val="none"/>
          <w:lang w:eastAsia="zh-CN"/>
        </w:rPr>
        <w:t>，</w:t>
      </w:r>
      <w:r>
        <w:rPr>
          <w:rFonts w:hint="eastAsia"/>
          <w:sz w:val="28"/>
          <w:szCs w:val="28"/>
          <w:highlight w:val="none"/>
        </w:rPr>
        <w:t>市生态环境综合行政执法支队</w:t>
      </w:r>
      <w:r>
        <w:rPr>
          <w:sz w:val="28"/>
          <w:szCs w:val="28"/>
          <w:highlight w:val="none"/>
        </w:rPr>
        <w:t>，</w:t>
      </w:r>
      <w:r>
        <w:rPr>
          <w:rFonts w:hint="eastAsia"/>
          <w:sz w:val="28"/>
          <w:szCs w:val="28"/>
          <w:highlight w:val="none"/>
          <w:lang w:eastAsia="zh-CN"/>
        </w:rPr>
        <w:t>内蒙古宝钜环保技术服务有限公司</w:t>
      </w:r>
      <w:r>
        <w:rPr>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outlineLvl w:val="9"/>
        <w:rPr>
          <w:highlight w:val="none"/>
        </w:rPr>
      </w:pPr>
      <w:r>
        <w:rPr>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-3175</wp:posOffset>
                </wp:positionH>
                <wp:positionV relativeFrom="paragraph">
                  <wp:posOffset>434340</wp:posOffset>
                </wp:positionV>
                <wp:extent cx="568769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25pt;margin-top:34.2pt;height:0pt;width:447.85pt;z-index:251661312;mso-width-relative:page;mso-height-relative:page;" filled="f" stroked="t" coordsize="21600,21600" o:gfxdata="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jPGJrVAAAABwEAAA8AAAAAAAAAAQAgAAAAIgAAAGRycy9kb3ducmV2LnhtbFBLAQIU&#10;ABQAAAAIAIdO4kDreynz9gEAAOQDAAAOAAAAAAAAAAEAIAAAACQBAABkcnMvZTJvRG9jLnhtbFBL&#10;BQYAAAAABgAGAFkBAACMBQAAAAA=&#10;">
                <v:fill on="f" focussize="0,0"/>
                <v:stroke color="#000000" joinstyle="round"/>
                <v:imagedata o:title=""/>
                <o:lock v:ext="edit" aspectratio="f"/>
              </v:line>
            </w:pict>
          </mc:Fallback>
        </mc:AlternateContent>
      </w:r>
      <w:r>
        <w:rPr>
          <w:sz w:val="28"/>
          <w:szCs w:val="28"/>
          <w:highlight w:val="none"/>
        </w:rPr>
        <w:t>鄂尔多斯市</w:t>
      </w:r>
      <w:r>
        <w:rPr>
          <w:rFonts w:hint="eastAsia"/>
          <w:sz w:val="28"/>
          <w:szCs w:val="28"/>
          <w:highlight w:val="none"/>
        </w:rPr>
        <w:t>生态环境</w:t>
      </w:r>
      <w:r>
        <w:rPr>
          <w:sz w:val="28"/>
          <w:szCs w:val="28"/>
          <w:highlight w:val="none"/>
        </w:rPr>
        <w:t xml:space="preserve">局             </w:t>
      </w:r>
      <w:r>
        <w:rPr>
          <w:color w:val="000000"/>
          <w:sz w:val="28"/>
          <w:szCs w:val="28"/>
          <w:highlight w:val="none"/>
        </w:rPr>
        <w:t xml:space="preserve">   </w:t>
      </w:r>
      <w:r>
        <w:rPr>
          <w:rFonts w:hint="eastAsia"/>
          <w:color w:val="000000"/>
          <w:sz w:val="28"/>
          <w:szCs w:val="28"/>
          <w:highlight w:val="none"/>
          <w:lang w:val="en-US" w:eastAsia="zh-CN"/>
        </w:rPr>
        <w:t xml:space="preserve">       </w:t>
      </w:r>
      <w:r>
        <w:rPr>
          <w:color w:val="000000"/>
          <w:sz w:val="28"/>
          <w:szCs w:val="28"/>
          <w:highlight w:val="none"/>
        </w:rPr>
        <w:t>20</w:t>
      </w:r>
      <w:r>
        <w:rPr>
          <w:rFonts w:hint="eastAsia"/>
          <w:color w:val="000000"/>
          <w:sz w:val="28"/>
          <w:szCs w:val="28"/>
          <w:highlight w:val="none"/>
          <w:lang w:val="en-US" w:eastAsia="zh-CN"/>
        </w:rPr>
        <w:t>23</w:t>
      </w:r>
      <w:r>
        <w:rPr>
          <w:color w:val="000000"/>
          <w:sz w:val="28"/>
          <w:szCs w:val="28"/>
          <w:highlight w:val="none"/>
        </w:rPr>
        <w:t>年</w:t>
      </w:r>
      <w:r>
        <w:rPr>
          <w:rFonts w:hint="eastAsia"/>
          <w:color w:val="000000"/>
          <w:sz w:val="28"/>
          <w:szCs w:val="28"/>
          <w:highlight w:val="none"/>
          <w:lang w:val="en-US" w:eastAsia="zh-CN"/>
        </w:rPr>
        <w:t>1</w:t>
      </w:r>
      <w:r>
        <w:rPr>
          <w:color w:val="000000"/>
          <w:sz w:val="28"/>
          <w:szCs w:val="28"/>
          <w:highlight w:val="none"/>
        </w:rPr>
        <w:t>月</w:t>
      </w:r>
      <w:r>
        <w:rPr>
          <w:rFonts w:hint="eastAsia"/>
          <w:color w:val="000000"/>
          <w:sz w:val="28"/>
          <w:szCs w:val="28"/>
          <w:highlight w:val="none"/>
          <w:lang w:val="en-US" w:eastAsia="zh-CN"/>
        </w:rPr>
        <w:t>12</w:t>
      </w:r>
      <w:r>
        <w:rPr>
          <w:color w:val="000000"/>
          <w:sz w:val="28"/>
          <w:szCs w:val="28"/>
          <w:highlight w:val="none"/>
        </w:rPr>
        <w:t>日印发</w:t>
      </w:r>
      <w:r>
        <w:rPr>
          <w:color w:val="000000"/>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pt;width:447.85pt;z-index:251660288;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C/bdn7SAAAABAEAAA8AAAAAAAAAAQAgAAAAIgAAAGRycy9kb3ducmV2LnhtbFBLAQIUABQA&#10;AAAIAIdO4kD6EE2e9gEAAOQDAAAOAAAAAAAAAAEAIAAAACEBAABkcnMvZTJvRG9jLnhtbFBLBQYA&#10;AAAABgAGAFkBAACJBQ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tabs>
        <w:tab w:val="clear" w:pos="4153"/>
        <w:tab w:val="clear" w:pos="8306"/>
      </w:tabs>
      <w:ind w:firstLine="360"/>
    </w:pPr>
  </w:p>
  <w:p>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4FF43D"/>
    <w:multiLevelType w:val="singleLevel"/>
    <w:tmpl w:val="2B4FF43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ZjkyNWM5NDA5YzI0MWZjNTA3MDA1ZjJiYmIxN2UifQ=="/>
  </w:docVars>
  <w:rsids>
    <w:rsidRoot w:val="0B065961"/>
    <w:rsid w:val="038B483B"/>
    <w:rsid w:val="03C53C2F"/>
    <w:rsid w:val="03D17A58"/>
    <w:rsid w:val="0B065961"/>
    <w:rsid w:val="175755E8"/>
    <w:rsid w:val="21A562BE"/>
    <w:rsid w:val="344C2185"/>
    <w:rsid w:val="38642230"/>
    <w:rsid w:val="527E41C0"/>
    <w:rsid w:val="79F826D6"/>
    <w:rsid w:val="7DEC5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4">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pPr>
  </w:style>
  <w:style w:type="paragraph" w:styleId="3">
    <w:name w:val="Body Text Indent"/>
    <w:basedOn w:val="1"/>
    <w:next w:val="1"/>
    <w:unhideWhenUsed/>
    <w:qFormat/>
    <w:uiPriority w:val="99"/>
    <w:pPr>
      <w:spacing w:after="120"/>
      <w:ind w:left="420" w:leftChars="200"/>
    </w:pPr>
  </w:style>
  <w:style w:type="paragraph" w:styleId="5">
    <w:name w:val="Normal Indent"/>
    <w:basedOn w:val="1"/>
    <w:next w:val="2"/>
    <w:qFormat/>
    <w:uiPriority w:val="0"/>
    <w:rPr>
      <w:rFonts w:ascii="Calibri" w:hAnsi="Calibri"/>
      <w:kern w:val="0"/>
    </w:rPr>
  </w:style>
  <w:style w:type="paragraph" w:styleId="6">
    <w:name w:val="Body Text"/>
    <w:basedOn w:val="1"/>
    <w:unhideWhenUsed/>
    <w:qFormat/>
    <w:uiPriority w:val="99"/>
    <w:pPr>
      <w:spacing w:after="120"/>
    </w:pPr>
  </w:style>
  <w:style w:type="paragraph" w:styleId="7">
    <w:name w:val="Block Text"/>
    <w:basedOn w:val="1"/>
    <w:qFormat/>
    <w:uiPriority w:val="0"/>
    <w:pPr>
      <w:spacing w:after="120"/>
      <w:ind w:left="1440" w:leftChars="700" w:right="1440" w:rightChars="700"/>
    </w:pPr>
  </w:style>
  <w:style w:type="paragraph" w:styleId="8">
    <w:name w:val="footer"/>
    <w:basedOn w:val="1"/>
    <w:qFormat/>
    <w:uiPriority w:val="0"/>
    <w:pPr>
      <w:tabs>
        <w:tab w:val="center" w:pos="4153"/>
        <w:tab w:val="right" w:pos="8306"/>
      </w:tabs>
      <w:snapToGrid w:val="0"/>
      <w:jc w:val="left"/>
    </w:pPr>
    <w:rPr>
      <w:kern w:val="0"/>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Body Text First Indent"/>
    <w:basedOn w:val="6"/>
    <w:next w:val="1"/>
    <w:unhideWhenUsed/>
    <w:qFormat/>
    <w:uiPriority w:val="99"/>
    <w:pPr>
      <w:ind w:firstLine="420" w:firstLineChars="100"/>
    </w:pPr>
  </w:style>
  <w:style w:type="character" w:customStyle="1" w:styleId="13">
    <w:name w:val="样式1 Char"/>
    <w:link w:val="14"/>
    <w:qFormat/>
    <w:uiPriority w:val="0"/>
    <w:rPr>
      <w:sz w:val="24"/>
      <w:szCs w:val="24"/>
    </w:rPr>
  </w:style>
  <w:style w:type="paragraph" w:customStyle="1" w:styleId="14">
    <w:name w:val="样式1"/>
    <w:basedOn w:val="1"/>
    <w:next w:val="7"/>
    <w:link w:val="13"/>
    <w:qFormat/>
    <w:uiPriority w:val="0"/>
    <w:pPr>
      <w:kinsoku w:val="0"/>
      <w:overflowPunct w:val="0"/>
      <w:autoSpaceDE w:val="0"/>
      <w:autoSpaceDN w:val="0"/>
      <w:adjustRightInd w:val="0"/>
      <w:snapToGrid w:val="0"/>
      <w:spacing w:line="360" w:lineRule="auto"/>
      <w:ind w:firstLine="480" w:firstLineChars="20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1554</Words>
  <Characters>1616</Characters>
  <Lines>0</Lines>
  <Paragraphs>0</Paragraphs>
  <TotalTime>3</TotalTime>
  <ScaleCrop>false</ScaleCrop>
  <LinksUpToDate>false</LinksUpToDate>
  <CharactersWithSpaces>1667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2022-04-05T03:15:00Z</dcterms:created>
  <dc:creator> </dc:creator>
  <cp:lastModifiedBy>Administrator</cp:lastModifiedBy>
  <cp:lastPrinted>2022-04-06T01:38:00Z</cp:lastPrinted>
  <dcterms:modified xsi:type="dcterms:W3CDTF">2023-04-03T08:41:50Z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88F927B1D9C3419AA4029525989ED5F5</vt:lpwstr>
  </property>
</Properties>
</file>