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firstLine="640"/>
        <w:rPr>
          <w:rFonts w:hint="default" w:ascii="Times New Roman" w:hAnsi="Times New Roman" w:eastAsia="仿宋" w:cs="Times New Roman"/>
        </w:rPr>
      </w:pPr>
    </w:p>
    <w:p>
      <w:pPr>
        <w:tabs>
          <w:tab w:val="left" w:pos="8280"/>
        </w:tabs>
        <w:spacing w:line="540" w:lineRule="exact"/>
        <w:ind w:right="26" w:firstLine="5120" w:firstLineChars="1600"/>
        <w:rPr>
          <w:rFonts w:hint="default" w:ascii="Times New Roman" w:hAnsi="Times New Roman" w:eastAsia="仿宋" w:cs="Times New Roman"/>
        </w:rPr>
      </w:pPr>
    </w:p>
    <w:p>
      <w:pPr>
        <w:tabs>
          <w:tab w:val="left" w:pos="8280"/>
        </w:tabs>
        <w:spacing w:line="540" w:lineRule="exact"/>
        <w:ind w:right="26" w:firstLine="5120" w:firstLineChars="1600"/>
        <w:rPr>
          <w:rFonts w:hint="default" w:ascii="Times New Roman" w:hAnsi="Times New Roman" w:eastAsia="仿宋" w:cs="Times New Roman"/>
        </w:rPr>
      </w:pPr>
    </w:p>
    <w:p>
      <w:pPr>
        <w:tabs>
          <w:tab w:val="left" w:pos="8280"/>
        </w:tabs>
        <w:spacing w:line="540" w:lineRule="exact"/>
        <w:ind w:right="26" w:firstLine="5120" w:firstLineChars="1600"/>
        <w:rPr>
          <w:rFonts w:hint="default" w:ascii="Times New Roman" w:hAnsi="Times New Roman" w:eastAsia="仿宋" w:cs="Times New Roman"/>
        </w:rPr>
      </w:pPr>
    </w:p>
    <w:p>
      <w:pPr>
        <w:tabs>
          <w:tab w:val="left" w:pos="8280"/>
        </w:tabs>
        <w:spacing w:line="540" w:lineRule="exact"/>
        <w:ind w:right="26" w:firstLine="5120" w:firstLineChars="1600"/>
        <w:rPr>
          <w:rFonts w:hint="default" w:ascii="Times New Roman" w:hAnsi="Times New Roman" w:eastAsia="仿宋" w:cs="Times New Roman"/>
        </w:rPr>
      </w:pPr>
    </w:p>
    <w:p>
      <w:pPr>
        <w:tabs>
          <w:tab w:val="left" w:pos="8280"/>
        </w:tabs>
        <w:spacing w:line="540" w:lineRule="exact"/>
        <w:ind w:right="26" w:firstLine="5120" w:firstLineChars="1600"/>
        <w:rPr>
          <w:rFonts w:hint="default" w:ascii="Times New Roman" w:hAnsi="Times New Roman" w:eastAsia="仿宋" w:cs="Times New Roman"/>
        </w:rPr>
      </w:pPr>
    </w:p>
    <w:p>
      <w:pPr>
        <w:tabs>
          <w:tab w:val="left" w:pos="8280"/>
        </w:tabs>
        <w:spacing w:line="540" w:lineRule="exact"/>
        <w:ind w:right="26" w:firstLine="5120" w:firstLineChars="1600"/>
        <w:rPr>
          <w:rFonts w:hint="default" w:ascii="Times New Roman" w:hAnsi="Times New Roman" w:eastAsia="仿宋" w:cs="Times New Roman"/>
        </w:rPr>
      </w:pPr>
    </w:p>
    <w:p>
      <w:pPr>
        <w:tabs>
          <w:tab w:val="left" w:pos="8280"/>
        </w:tabs>
        <w:spacing w:line="540" w:lineRule="exact"/>
        <w:ind w:right="26" w:firstLine="5120" w:firstLineChars="1600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tabs>
          <w:tab w:val="left" w:pos="8280"/>
        </w:tabs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26" w:firstLine="0" w:firstLineChars="0"/>
        <w:textAlignment w:val="auto"/>
        <w:outlineLvl w:val="9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/>
        <w:jc w:val="center"/>
        <w:textAlignment w:val="auto"/>
        <w:outlineLvl w:val="9"/>
        <w:rPr>
          <w:rFonts w:hint="default" w:ascii="Times New Roman" w:hAnsi="Times New Roman" w:eastAsia="仿宋" w:cs="Times New Roman"/>
          <w:color w:val="auto"/>
          <w:szCs w:val="20"/>
          <w:highlight w:val="yellow"/>
        </w:rPr>
      </w:pPr>
      <w:r>
        <w:rPr>
          <w:rFonts w:hint="default" w:ascii="Times New Roman" w:hAnsi="Times New Roman" w:eastAsia="仿宋" w:cs="Times New Roman"/>
          <w:color w:val="auto"/>
          <w:szCs w:val="20"/>
        </w:rPr>
        <w:t>鄂环审字</w:t>
      </w:r>
      <w:bookmarkStart w:id="0" w:name="_Hlk101292120"/>
      <w:r>
        <w:rPr>
          <w:rFonts w:hint="default" w:ascii="Times New Roman" w:hAnsi="Times New Roman" w:eastAsia="仿宋" w:cs="Times New Roman"/>
          <w:color w:val="auto"/>
          <w:szCs w:val="20"/>
        </w:rPr>
        <w:t>〔2022〕</w:t>
      </w:r>
      <w:bookmarkEnd w:id="0"/>
      <w:r>
        <w:rPr>
          <w:rFonts w:hint="default" w:ascii="Times New Roman" w:hAnsi="Times New Roman" w:eastAsia="仿宋" w:cs="Times New Roman"/>
          <w:color w:val="auto"/>
          <w:szCs w:val="20"/>
        </w:rPr>
        <w:t>1</w:t>
      </w:r>
      <w:r>
        <w:rPr>
          <w:rFonts w:hint="default" w:ascii="Times New Roman" w:hAnsi="Times New Roman" w:eastAsia="仿宋" w:cs="Times New Roman"/>
          <w:color w:val="auto"/>
          <w:szCs w:val="20"/>
          <w:lang w:val="en-US" w:eastAsia="zh-CN"/>
        </w:rPr>
        <w:t>78</w:t>
      </w:r>
      <w:r>
        <w:rPr>
          <w:rFonts w:hint="default" w:ascii="Times New Roman" w:hAnsi="Times New Roman" w:eastAsia="仿宋" w:cs="Times New Roman"/>
          <w:color w:val="auto"/>
          <w:szCs w:val="20"/>
        </w:rPr>
        <w:t>号</w:t>
      </w:r>
    </w:p>
    <w:p>
      <w:pPr>
        <w:keepNext w:val="0"/>
        <w:keepLines w:val="0"/>
        <w:pageBreakBefore w:val="0"/>
        <w:tabs>
          <w:tab w:val="left" w:pos="28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800"/>
        <w:jc w:val="center"/>
        <w:textAlignment w:val="auto"/>
        <w:outlineLvl w:val="9"/>
        <w:rPr>
          <w:rFonts w:hint="default" w:ascii="Times New Roman" w:hAnsi="Times New Roman" w:cs="Times New Roman"/>
          <w:sz w:val="40"/>
          <w:szCs w:val="40"/>
        </w:rPr>
      </w:pPr>
      <w:r>
        <w:rPr>
          <w:rFonts w:hint="default" w:ascii="Times New Roman" w:hAnsi="Times New Roman" w:cs="Times New Roman"/>
          <w:sz w:val="40"/>
          <w:szCs w:val="40"/>
        </w:rPr>
        <w:tab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-294" w:rightChars="-92" w:firstLine="0" w:firstLineChars="0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sz w:val="44"/>
          <w:szCs w:val="44"/>
        </w:rPr>
        <w:t>鄂尔多斯市生态环境局关于内蒙古易高煤化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-294" w:rightChars="-92" w:firstLine="0" w:firstLineChars="0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sz w:val="44"/>
          <w:szCs w:val="44"/>
        </w:rPr>
        <w:t>科技有限公司锅炉变更建设项目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-294" w:rightChars="-92" w:firstLine="0" w:firstLineChars="0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sz w:val="44"/>
          <w:szCs w:val="44"/>
        </w:rPr>
        <w:t>环境影响报告书的批复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textAlignment w:val="auto"/>
        <w:outlineLvl w:val="9"/>
        <w:rPr>
          <w:rFonts w:hint="default" w:ascii="Times New Roman" w:hAnsi="Times New Roman" w:cs="Times New Roman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textAlignment w:val="auto"/>
        <w:outlineLvl w:val="9"/>
        <w:rPr>
          <w:rFonts w:hint="default" w:ascii="Times New Roman" w:hAnsi="Times New Roman" w:eastAsia="仿宋" w:cs="Times New Roman"/>
          <w:szCs w:val="32"/>
        </w:rPr>
      </w:pPr>
      <w:r>
        <w:rPr>
          <w:rFonts w:hint="default" w:ascii="Times New Roman" w:hAnsi="Times New Roman" w:eastAsia="仿宋" w:cs="Times New Roman"/>
          <w:szCs w:val="32"/>
          <w:lang w:eastAsia="zh-CN"/>
        </w:rPr>
        <w:t>内蒙古易高煤化科技有限公司</w:t>
      </w:r>
      <w:r>
        <w:rPr>
          <w:rFonts w:hint="default" w:ascii="Times New Roman" w:hAnsi="Times New Roman" w:eastAsia="仿宋" w:cs="Times New Roman"/>
          <w:szCs w:val="32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/>
        <w:textAlignment w:val="auto"/>
        <w:outlineLvl w:val="9"/>
        <w:rPr>
          <w:rFonts w:hint="default" w:ascii="Times New Roman" w:hAnsi="Times New Roman" w:eastAsia="仿宋" w:cs="Times New Roman"/>
          <w:szCs w:val="32"/>
        </w:rPr>
      </w:pPr>
      <w:r>
        <w:rPr>
          <w:rFonts w:hint="default" w:ascii="Times New Roman" w:hAnsi="Times New Roman" w:eastAsia="仿宋" w:cs="Times New Roman"/>
          <w:szCs w:val="32"/>
        </w:rPr>
        <w:t>你公司报送的由</w:t>
      </w:r>
      <w:r>
        <w:rPr>
          <w:rFonts w:hint="default" w:ascii="Times New Roman" w:hAnsi="Times New Roman" w:eastAsia="仿宋" w:cs="Times New Roman"/>
          <w:szCs w:val="32"/>
          <w:lang w:eastAsia="zh-CN"/>
        </w:rPr>
        <w:t>内蒙古金绿环保服务有限公司</w:t>
      </w:r>
      <w:r>
        <w:rPr>
          <w:rFonts w:hint="default" w:ascii="Times New Roman" w:hAnsi="Times New Roman" w:eastAsia="仿宋" w:cs="Times New Roman"/>
          <w:szCs w:val="32"/>
        </w:rPr>
        <w:t>编制的《</w:t>
      </w:r>
      <w:r>
        <w:rPr>
          <w:rFonts w:hint="default" w:ascii="Times New Roman" w:hAnsi="Times New Roman" w:eastAsia="仿宋" w:cs="Times New Roman"/>
          <w:szCs w:val="32"/>
          <w:lang w:eastAsia="zh-CN"/>
        </w:rPr>
        <w:t>内蒙古易高煤化科技有限公司锅炉变更建设项目</w:t>
      </w:r>
      <w:r>
        <w:rPr>
          <w:rFonts w:hint="default" w:ascii="Times New Roman" w:hAnsi="Times New Roman" w:eastAsia="仿宋" w:cs="Times New Roman"/>
          <w:szCs w:val="32"/>
        </w:rPr>
        <w:t>环境影响报告书》（以下简称《报告书》）收悉。我局综合保障中心组织专家对该项目进行了技术评估，并形成了技术评估报告。根据《报告书》和《技术评估报告》，经研究，现批复如下：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/>
        <w:textAlignment w:val="auto"/>
        <w:outlineLvl w:val="9"/>
        <w:rPr>
          <w:rFonts w:hint="default" w:ascii="Times New Roman" w:hAnsi="Times New Roman" w:eastAsia="仿宋" w:cs="Times New Roman"/>
          <w:bCs/>
          <w:kern w:val="2"/>
          <w:sz w:val="32"/>
          <w:szCs w:val="32"/>
          <w:highlight w:val="yellow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一、本</w:t>
      </w:r>
      <w:r>
        <w:rPr>
          <w:rFonts w:hint="default" w:ascii="Times New Roman" w:hAnsi="Times New Roman" w:eastAsia="仿宋" w:cs="Times New Roman"/>
          <w:bCs/>
          <w:kern w:val="2"/>
          <w:sz w:val="32"/>
          <w:szCs w:val="32"/>
        </w:rPr>
        <w:t>项目位于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鄂尔多斯市准格尔旗大路煤化工基地</w:t>
      </w:r>
      <w:r>
        <w:rPr>
          <w:rFonts w:hint="default" w:ascii="Times New Roman" w:hAnsi="Times New Roman" w:eastAsia="仿宋" w:cs="Times New Roman"/>
          <w:bCs/>
          <w:kern w:val="2"/>
          <w:sz w:val="32"/>
          <w:szCs w:val="32"/>
          <w:lang w:eastAsia="zh-CN"/>
        </w:rPr>
        <w:t>易高煤化科技有限公司</w:t>
      </w:r>
      <w:r>
        <w:rPr>
          <w:rFonts w:hint="default" w:ascii="Times New Roman" w:hAnsi="Times New Roman" w:eastAsia="仿宋" w:cs="Times New Roman"/>
          <w:bCs/>
          <w:color w:val="auto"/>
          <w:kern w:val="2"/>
          <w:sz w:val="32"/>
          <w:szCs w:val="32"/>
        </w:rPr>
        <w:t>厂区内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bidi="ar"/>
        </w:rPr>
        <w:t>。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 w:bidi="ar"/>
        </w:rPr>
        <w:t>2011年5月18日，原内蒙古自治区环境保护厅对《内蒙古三维煤化科技有限公司20万吨/年甲醇项目变更工程环境影响报告书》进行了批复（内环审〔2011〕123号），批复辅助工程将原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 w:bidi="ar"/>
        </w:rPr>
        <w:t>3×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 w:bidi="ar"/>
        </w:rPr>
        <w:t>40t/h锅炉（2用1备）改为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 w:bidi="ar"/>
        </w:rPr>
        <w:t>3×</w:t>
      </w:r>
      <w:r>
        <w:rPr>
          <w:rFonts w:hint="eastAsia" w:eastAsia="仿宋" w:cs="Times New Roman"/>
          <w:color w:val="auto"/>
          <w:sz w:val="32"/>
          <w:szCs w:val="32"/>
          <w:lang w:val="en-US" w:eastAsia="zh-CN" w:bidi="ar"/>
        </w:rPr>
        <w:t>75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 w:bidi="ar"/>
        </w:rPr>
        <w:t>t/h</w:t>
      </w:r>
      <w:r>
        <w:rPr>
          <w:rFonts w:hint="eastAsia" w:eastAsia="仿宋" w:cs="Times New Roman"/>
          <w:color w:val="auto"/>
          <w:sz w:val="32"/>
          <w:szCs w:val="32"/>
          <w:lang w:val="en-US" w:eastAsia="zh-CN" w:bidi="ar"/>
        </w:rPr>
        <w:t>（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 w:bidi="ar"/>
        </w:rPr>
        <w:t>2用1备</w:t>
      </w:r>
      <w:r>
        <w:rPr>
          <w:rFonts w:hint="eastAsia" w:eastAsia="仿宋" w:cs="Times New Roman"/>
          <w:color w:val="auto"/>
          <w:sz w:val="32"/>
          <w:szCs w:val="32"/>
          <w:lang w:val="en-US" w:eastAsia="zh-CN" w:bidi="ar"/>
        </w:rPr>
        <w:t>）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 w:bidi="ar"/>
        </w:rPr>
        <w:t>。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eastAsia="zh-CN"/>
        </w:rPr>
        <w:t>变更后，将</w:t>
      </w:r>
      <w:r>
        <w:rPr>
          <w:rFonts w:hint="default" w:ascii="Times New Roman" w:hAnsi="Times New Roman" w:eastAsia="仿宋" w:cs="Times New Roman"/>
          <w:bCs/>
          <w:sz w:val="32"/>
          <w:szCs w:val="32"/>
        </w:rPr>
        <w:t>现有3×75t/h循环流化床锅炉运行方式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仿宋" w:cs="Times New Roman"/>
          <w:bCs/>
          <w:sz w:val="32"/>
          <w:szCs w:val="32"/>
        </w:rPr>
        <w:t>2用1备变更为3用0备</w:t>
      </w:r>
      <w:r>
        <w:rPr>
          <w:rFonts w:hint="eastAsia" w:eastAsia="仿宋" w:cs="Times New Roman"/>
          <w:bCs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" w:cs="Times New Roman"/>
          <w:bCs/>
          <w:sz w:val="32"/>
          <w:szCs w:val="32"/>
          <w:lang w:eastAsia="zh-CN"/>
        </w:rPr>
        <w:t>其它公辅工程及环保工程依托现有工程，不再新建</w:t>
      </w:r>
      <w:r>
        <w:rPr>
          <w:rFonts w:hint="default" w:ascii="Times New Roman" w:hAnsi="Times New Roman" w:eastAsia="仿宋" w:cs="Times New Roman"/>
          <w:bCs/>
          <w:kern w:val="2"/>
          <w:sz w:val="32"/>
          <w:szCs w:val="32"/>
        </w:rPr>
        <w:t>。</w:t>
      </w:r>
      <w:r>
        <w:rPr>
          <w:rFonts w:hint="eastAsia" w:eastAsia="仿宋" w:cs="Times New Roman"/>
          <w:bCs/>
          <w:sz w:val="32"/>
          <w:szCs w:val="32"/>
          <w:lang w:eastAsia="zh-CN"/>
        </w:rPr>
        <w:t>锅炉烟气经现有锅炉烟气净化系统处理后，并入现有烟囱排放。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/>
        <w:textAlignment w:val="auto"/>
        <w:outlineLvl w:val="9"/>
        <w:rPr>
          <w:rFonts w:hint="default" w:ascii="Times New Roman" w:hAnsi="Times New Roman" w:eastAsia="仿宋" w:cs="Times New Roman"/>
          <w:szCs w:val="32"/>
        </w:rPr>
      </w:pPr>
      <w:r>
        <w:rPr>
          <w:rFonts w:hint="default" w:ascii="Times New Roman" w:hAnsi="Times New Roman" w:eastAsia="仿宋" w:cs="Times New Roman"/>
          <w:szCs w:val="32"/>
        </w:rPr>
        <w:t>《报告书》和《技术评估报告》认为，在全面落实各项生态环境保护和环境污染防治措施的前提下，项目建设对环境的不利影响能够得到一定的缓解和控制。因此，我局原则同意你公司按照《报告书》和《技术评估报告》中所列的建设项目性质、规模、地点、工艺、环境保护措施进行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/>
        <w:textAlignment w:val="auto"/>
        <w:outlineLvl w:val="9"/>
        <w:rPr>
          <w:rFonts w:hint="default" w:ascii="Times New Roman" w:hAnsi="Times New Roman" w:eastAsia="仿宋" w:cs="Times New Roman"/>
          <w:szCs w:val="32"/>
        </w:rPr>
      </w:pPr>
      <w:r>
        <w:rPr>
          <w:rFonts w:hint="default" w:ascii="Times New Roman" w:hAnsi="Times New Roman" w:eastAsia="仿宋" w:cs="Times New Roman"/>
          <w:szCs w:val="32"/>
        </w:rPr>
        <w:t>二、项目建设与运行管理中应重点做好的工作：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Cs w:val="32"/>
        </w:rPr>
        <w:t>1.严格落实《报告书》和《技术评估报告》中提出的大气污染防治措施。</w:t>
      </w:r>
      <w:r>
        <w:rPr>
          <w:rFonts w:hint="default" w:ascii="Times New Roman" w:hAnsi="Times New Roman" w:eastAsia="仿宋" w:cs="Times New Roman"/>
          <w:sz w:val="32"/>
          <w:szCs w:val="32"/>
        </w:rPr>
        <w:t>锅炉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产生的</w:t>
      </w:r>
      <w:r>
        <w:rPr>
          <w:rFonts w:hint="default" w:ascii="Times New Roman" w:hAnsi="Times New Roman" w:eastAsia="仿宋" w:cs="Times New Roman"/>
          <w:sz w:val="32"/>
          <w:szCs w:val="32"/>
        </w:rPr>
        <w:t>烟气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经</w:t>
      </w:r>
      <w:r>
        <w:rPr>
          <w:rFonts w:hint="default" w:ascii="Times New Roman" w:hAnsi="Times New Roman" w:eastAsia="仿宋" w:cs="Times New Roman"/>
          <w:sz w:val="32"/>
          <w:szCs w:val="32"/>
        </w:rPr>
        <w:t>布袋除尘器除尘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+</w:t>
      </w:r>
      <w:r>
        <w:rPr>
          <w:rFonts w:hint="default" w:ascii="Times New Roman" w:hAnsi="Times New Roman" w:eastAsia="仿宋" w:cs="Times New Roman"/>
          <w:sz w:val="32"/>
          <w:szCs w:val="32"/>
        </w:rPr>
        <w:t>石灰石-石膏湿法脱硫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+</w:t>
      </w:r>
      <w:r>
        <w:rPr>
          <w:rFonts w:hint="default" w:ascii="Times New Roman" w:hAnsi="Times New Roman" w:eastAsia="仿宋" w:cs="Times New Roman"/>
          <w:sz w:val="32"/>
          <w:szCs w:val="32"/>
        </w:rPr>
        <w:t>高效低氮燃烧+SNCR脱硝</w:t>
      </w:r>
      <w:bookmarkStart w:id="1" w:name="_Hlk86181494"/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装置净化处理后</w:t>
      </w:r>
      <w:r>
        <w:rPr>
          <w:rFonts w:hint="default"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外排烟气</w:t>
      </w:r>
      <w:r>
        <w:rPr>
          <w:rFonts w:hint="eastAsia" w:eastAsia="仿宋" w:cs="Times New Roman"/>
          <w:sz w:val="32"/>
          <w:szCs w:val="32"/>
          <w:lang w:eastAsia="zh-CN"/>
        </w:rPr>
        <w:t>中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烟尘、二氧化硫、氮氧化物排放须满足《火电厂大气污染物排放标准》（GB13223-2011）</w:t>
      </w:r>
      <w:r>
        <w:rPr>
          <w:rFonts w:hint="eastAsia" w:eastAsia="仿宋" w:cs="Times New Roman"/>
          <w:sz w:val="32"/>
          <w:szCs w:val="32"/>
          <w:lang w:eastAsia="zh-CN"/>
        </w:rPr>
        <w:t>及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《全面实施燃煤电厂超低排放和节能改造工作方案》（环发〔2015〕164号）中超低排放限值要求、汞及其化合物排放须满足《火电厂大气污染物排放标准》（GB13223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2011）限值要求、氨排放须满足《火电厂烟气脱硝工程技术规范 选择性非催化还原法》（HJ 563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2010）限值要求。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仿宋" w:cs="Times New Roman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燃料煤破碎产生的粉尘经布袋除尘器处理后，粉尘排放须满足《大气污染物综合排放标准》（GB16297-1996）限值要求</w:t>
      </w:r>
      <w:r>
        <w:rPr>
          <w:rFonts w:hint="eastAsia" w:eastAsia="仿宋" w:cs="Times New Roman"/>
          <w:sz w:val="32"/>
          <w:szCs w:val="32"/>
          <w:lang w:eastAsia="zh-CN"/>
        </w:rPr>
        <w:t>，并安装</w:t>
      </w:r>
      <w:r>
        <w:rPr>
          <w:rFonts w:hint="eastAsia" w:eastAsia="仿宋" w:cs="Times New Roman"/>
          <w:bCs/>
          <w:sz w:val="32"/>
          <w:szCs w:val="32"/>
          <w:lang w:eastAsia="zh-CN"/>
        </w:rPr>
        <w:t>在线监控设施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；厂内煤炭运输采用</w:t>
      </w:r>
      <w:r>
        <w:rPr>
          <w:rFonts w:hint="eastAsia" w:eastAsia="仿宋" w:cs="Times New Roman"/>
          <w:sz w:val="32"/>
          <w:szCs w:val="32"/>
          <w:lang w:eastAsia="zh-CN"/>
        </w:rPr>
        <w:t>全封闭输煤廊道</w:t>
      </w:r>
      <w:bookmarkStart w:id="2" w:name="_GoBack"/>
      <w:bookmarkEnd w:id="2"/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，转载点、落料口上方设置布袋除尘器抑尘，粉尘排放须满足《大气污染物综合排放标准》（GB16297-1996）限值要求。</w:t>
      </w:r>
      <w:bookmarkEnd w:id="1"/>
      <w:r>
        <w:rPr>
          <w:rFonts w:hint="default" w:ascii="Times New Roman" w:hAnsi="Times New Roman" w:eastAsia="仿宋" w:cs="Times New Roman"/>
          <w:szCs w:val="32"/>
        </w:rPr>
        <w:t>加强运营期管理，确保废气中各污染物排放满足相关标准限值要求。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Cs w:val="32"/>
        </w:rPr>
        <w:t>.按照《报告书》和《技术评估报告》提出的要求，强化废水处理与回用，</w:t>
      </w:r>
      <w:r>
        <w:rPr>
          <w:rFonts w:hint="default" w:ascii="Times New Roman" w:hAnsi="Times New Roman" w:eastAsia="仿宋" w:cs="Times New Roman"/>
          <w:sz w:val="32"/>
          <w:szCs w:val="32"/>
        </w:rPr>
        <w:t>全厂实行清污分流，雨水排入雨水管网。除渣冷却水循环使用；脱盐水处理系统污水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及锅炉</w:t>
      </w:r>
      <w:r>
        <w:rPr>
          <w:rFonts w:hint="default" w:ascii="Times New Roman" w:hAnsi="Times New Roman" w:eastAsia="仿宋" w:cs="Times New Roman"/>
          <w:sz w:val="32"/>
          <w:szCs w:val="32"/>
        </w:rPr>
        <w:t>污水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均</w:t>
      </w:r>
      <w:r>
        <w:rPr>
          <w:rFonts w:hint="default" w:ascii="Times New Roman" w:hAnsi="Times New Roman" w:eastAsia="仿宋" w:cs="Times New Roman"/>
          <w:sz w:val="32"/>
          <w:szCs w:val="32"/>
        </w:rPr>
        <w:t>排入中水回用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及浓水处置</w:t>
      </w:r>
      <w:r>
        <w:rPr>
          <w:rFonts w:hint="default" w:ascii="Times New Roman" w:hAnsi="Times New Roman" w:eastAsia="仿宋" w:cs="Times New Roman"/>
          <w:sz w:val="32"/>
          <w:szCs w:val="32"/>
        </w:rPr>
        <w:t>工程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处理后回用于循环水补充，浓水</w:t>
      </w:r>
      <w:r>
        <w:rPr>
          <w:rFonts w:hint="eastAsia" w:eastAsia="仿宋" w:cs="Times New Roman"/>
          <w:sz w:val="32"/>
          <w:szCs w:val="32"/>
          <w:lang w:eastAsia="zh-CN"/>
        </w:rPr>
        <w:t>通过管道输送至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天河水务公司进行</w:t>
      </w:r>
      <w:r>
        <w:rPr>
          <w:rFonts w:hint="eastAsia" w:eastAsia="仿宋" w:cs="Times New Roman"/>
          <w:sz w:val="32"/>
          <w:szCs w:val="32"/>
          <w:lang w:eastAsia="zh-CN"/>
        </w:rPr>
        <w:t>处理</w:t>
      </w:r>
      <w:r>
        <w:rPr>
          <w:rFonts w:hint="default" w:ascii="Times New Roman" w:hAnsi="Times New Roman" w:eastAsia="仿宋" w:cs="Times New Roman"/>
          <w:sz w:val="32"/>
          <w:szCs w:val="32"/>
        </w:rPr>
        <w:t>；脱硫废水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全部回用于灰渣调湿</w:t>
      </w:r>
      <w:r>
        <w:rPr>
          <w:rFonts w:hint="eastAsia" w:eastAsia="仿宋" w:cs="Times New Roman"/>
          <w:sz w:val="32"/>
          <w:szCs w:val="32"/>
          <w:lang w:eastAsia="zh-CN"/>
        </w:rPr>
        <w:t>，以上各污（废）水均不得外排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/>
        <w:textAlignment w:val="auto"/>
        <w:outlineLvl w:val="9"/>
        <w:rPr>
          <w:rFonts w:hint="default" w:ascii="Times New Roman" w:hAnsi="Times New Roman" w:eastAsia="仿宋" w:cs="Times New Roman"/>
          <w:szCs w:val="32"/>
        </w:rPr>
      </w:pPr>
      <w:r>
        <w:rPr>
          <w:rFonts w:hint="eastAsia" w:ascii="Times New Roman" w:hAnsi="Times New Roman" w:eastAsia="仿宋" w:cs="Times New Roman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Cs w:val="32"/>
        </w:rPr>
        <w:t>.应采取妥善控制措施，确保厂界噪声满足《工业企业厂界环境噪声排放标准》（GB12348-2008）3类标准要求。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/>
        <w:textAlignment w:val="auto"/>
        <w:outlineLvl w:val="9"/>
        <w:rPr>
          <w:rFonts w:hint="default" w:ascii="Times New Roman" w:hAnsi="Times New Roman" w:eastAsia="仿宋" w:cs="Times New Roman"/>
          <w:szCs w:val="32"/>
        </w:rPr>
      </w:pPr>
      <w:r>
        <w:rPr>
          <w:rFonts w:hint="eastAsia" w:ascii="Times New Roman" w:hAnsi="Times New Roman" w:eastAsia="仿宋" w:cs="Times New Roman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Cs w:val="32"/>
        </w:rPr>
        <w:t>.严格落实《报告书》和《技术评估报告》中提出的固废污染防治措施。建设单位须严格按照《一般工业固体废物贮存和填埋污染控制标准》（GB18599-2020）和《危险废物贮存污染控制标准》（GB18597-2001）（及其修改单）要求对一般固废和危险废物进行处置，不得乱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/>
        <w:textAlignment w:val="auto"/>
        <w:outlineLvl w:val="9"/>
        <w:rPr>
          <w:rFonts w:hint="default" w:ascii="Times New Roman" w:hAnsi="Times New Roman" w:eastAsia="仿宋" w:cs="Times New Roman"/>
          <w:szCs w:val="32"/>
        </w:rPr>
      </w:pPr>
      <w:r>
        <w:rPr>
          <w:rFonts w:hint="eastAsia" w:ascii="Times New Roman" w:hAnsi="Times New Roman" w:eastAsia="仿宋" w:cs="Times New Roman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Cs w:val="32"/>
        </w:rPr>
        <w:t>.强化环境风险防范。制定环境风险应急预案，落实环境风险事故防范措施，提高事故风险防范和污染控制能力。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/>
        <w:textAlignment w:val="auto"/>
        <w:outlineLvl w:val="9"/>
        <w:rPr>
          <w:rFonts w:hint="default" w:ascii="Times New Roman" w:hAnsi="Times New Roman" w:eastAsia="仿宋" w:cs="Times New Roman"/>
          <w:szCs w:val="32"/>
        </w:rPr>
      </w:pPr>
      <w:r>
        <w:rPr>
          <w:rFonts w:hint="default" w:ascii="Times New Roman" w:hAnsi="Times New Roman" w:eastAsia="仿宋" w:cs="Times New Roman"/>
          <w:szCs w:val="32"/>
        </w:rPr>
        <w:t>三、项目建设必须严格执行环境保护“三同时”制度。工程竣工后，须按照规定程序实施竣工环境保护验收。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/>
        <w:textAlignment w:val="auto"/>
        <w:outlineLvl w:val="9"/>
        <w:rPr>
          <w:rFonts w:hint="default" w:ascii="Times New Roman" w:hAnsi="Times New Roman" w:eastAsia="仿宋" w:cs="Times New Roman"/>
          <w:szCs w:val="32"/>
        </w:rPr>
      </w:pPr>
      <w:r>
        <w:rPr>
          <w:rFonts w:hint="default" w:ascii="Times New Roman" w:hAnsi="Times New Roman" w:eastAsia="仿宋" w:cs="Times New Roman"/>
          <w:szCs w:val="32"/>
        </w:rPr>
        <w:t>四、你公司应在收到本批复20日内，将《报告书》（报批版）及批复文件送至鄂尔多斯市生态环境局</w:t>
      </w:r>
      <w:r>
        <w:rPr>
          <w:rFonts w:hint="default" w:ascii="Times New Roman" w:hAnsi="Times New Roman" w:eastAsia="仿宋" w:cs="Times New Roman"/>
          <w:szCs w:val="32"/>
          <w:lang w:eastAsia="zh-CN"/>
        </w:rPr>
        <w:t>准格尔旗</w:t>
      </w:r>
      <w:r>
        <w:rPr>
          <w:rFonts w:hint="default" w:ascii="Times New Roman" w:hAnsi="Times New Roman" w:eastAsia="仿宋" w:cs="Times New Roman"/>
          <w:szCs w:val="32"/>
        </w:rPr>
        <w:t>分局和</w:t>
      </w:r>
      <w:r>
        <w:rPr>
          <w:rFonts w:hint="default" w:ascii="Times New Roman" w:hAnsi="Times New Roman" w:eastAsia="仿宋" w:cs="Times New Roman"/>
          <w:szCs w:val="32"/>
          <w:lang w:eastAsia="zh-CN"/>
        </w:rPr>
        <w:t>鄂尔多斯大路煤化工基地</w:t>
      </w:r>
      <w:r>
        <w:rPr>
          <w:rFonts w:hint="default" w:ascii="Times New Roman" w:hAnsi="Times New Roman" w:eastAsia="仿宋" w:cs="Times New Roman"/>
          <w:szCs w:val="32"/>
        </w:rPr>
        <w:t>环境保护局，我局委托鄂尔多斯市生态环境局</w:t>
      </w:r>
      <w:r>
        <w:rPr>
          <w:rFonts w:hint="default" w:ascii="Times New Roman" w:hAnsi="Times New Roman" w:eastAsia="仿宋" w:cs="Times New Roman"/>
          <w:szCs w:val="32"/>
          <w:lang w:eastAsia="zh-CN"/>
        </w:rPr>
        <w:t>准格尔旗</w:t>
      </w:r>
      <w:r>
        <w:rPr>
          <w:rFonts w:hint="default" w:ascii="Times New Roman" w:hAnsi="Times New Roman" w:eastAsia="仿宋" w:cs="Times New Roman"/>
          <w:szCs w:val="32"/>
        </w:rPr>
        <w:t>分局和鄂尔多斯大路煤化工基地环境保护局，负责该项目的日常监管工作。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/>
        <w:textAlignment w:val="auto"/>
        <w:outlineLvl w:val="9"/>
        <w:rPr>
          <w:rFonts w:hint="default" w:ascii="Times New Roman" w:hAnsi="Times New Roman" w:eastAsia="仿宋" w:cs="Times New Roman"/>
          <w:szCs w:val="32"/>
        </w:rPr>
      </w:pPr>
      <w:r>
        <w:rPr>
          <w:rFonts w:hint="default" w:ascii="Times New Roman" w:hAnsi="Times New Roman" w:eastAsia="仿宋" w:cs="Times New Roman"/>
          <w:szCs w:val="32"/>
        </w:rPr>
        <w:t>五、该项目从批准之日起超过5年方决定开工建设，其环评文件应重新审核。如果项目建设地点、规模、工艺、防治污染和防止生态破坏的措施等发生重大变化时，需重新报批环评文件。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/>
        <w:jc w:val="center"/>
        <w:textAlignment w:val="auto"/>
        <w:outlineLvl w:val="9"/>
        <w:rPr>
          <w:rFonts w:hint="default" w:ascii="Times New Roman" w:hAnsi="Times New Roman" w:eastAsia="仿宋" w:cs="Times New Roman"/>
          <w:szCs w:val="32"/>
        </w:rPr>
      </w:pPr>
      <w:r>
        <w:rPr>
          <w:rFonts w:hint="default" w:ascii="Times New Roman" w:hAnsi="Times New Roman" w:eastAsia="仿宋" w:cs="Times New Roman"/>
          <w:szCs w:val="32"/>
        </w:rPr>
        <w:t xml:space="preserve">                    </w:t>
      </w:r>
    </w:p>
    <w:p>
      <w:pPr>
        <w:pStyle w:val="3"/>
        <w:ind w:left="0" w:leftChars="0" w:firstLine="0" w:firstLineChars="0"/>
        <w:rPr>
          <w:rFonts w:hint="default" w:ascii="Times New Roman" w:hAnsi="Times New Roman" w:cs="Times New Roman"/>
        </w:rPr>
      </w:pPr>
    </w:p>
    <w:p>
      <w:pPr>
        <w:rPr>
          <w:rFonts w:hint="default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/>
        <w:jc w:val="center"/>
        <w:textAlignment w:val="auto"/>
        <w:outlineLvl w:val="9"/>
        <w:rPr>
          <w:rFonts w:hint="default" w:ascii="Times New Roman" w:hAnsi="Times New Roman" w:eastAsia="仿宋" w:cs="Times New Roman"/>
          <w:szCs w:val="32"/>
        </w:rPr>
      </w:pPr>
      <w:r>
        <w:rPr>
          <w:rFonts w:hint="default" w:ascii="Times New Roman" w:hAnsi="Times New Roman" w:eastAsia="仿宋" w:cs="Times New Roman"/>
          <w:szCs w:val="32"/>
        </w:rPr>
        <w:t xml:space="preserve">                           鄂尔多斯市生态环境局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640" w:firstLine="640"/>
        <w:jc w:val="right"/>
        <w:textAlignment w:val="auto"/>
        <w:outlineLvl w:val="9"/>
        <w:rPr>
          <w:rFonts w:hint="default" w:ascii="Times New Roman" w:hAnsi="Times New Roman" w:eastAsia="仿宋" w:cs="Times New Roman"/>
          <w:szCs w:val="32"/>
        </w:rPr>
      </w:pPr>
      <w:r>
        <w:rPr>
          <w:rFonts w:hint="default" w:ascii="Times New Roman" w:hAnsi="Times New Roman" w:eastAsia="仿宋" w:cs="Times New Roman"/>
          <w:szCs w:val="32"/>
        </w:rPr>
        <w:t>2022年</w:t>
      </w:r>
      <w:r>
        <w:rPr>
          <w:rFonts w:hint="default" w:ascii="Times New Roman" w:hAnsi="Times New Roman" w:eastAsia="仿宋" w:cs="Times New Roman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Cs w:val="32"/>
        </w:rPr>
        <w:t>月</w:t>
      </w:r>
      <w:r>
        <w:rPr>
          <w:rFonts w:hint="default" w:ascii="Times New Roman" w:hAnsi="Times New Roman" w:eastAsia="仿宋" w:cs="Times New Roman"/>
          <w:szCs w:val="32"/>
          <w:lang w:val="en-US" w:eastAsia="zh-CN"/>
        </w:rPr>
        <w:t>2</w:t>
      </w:r>
      <w:r>
        <w:rPr>
          <w:rFonts w:hint="eastAsia" w:ascii="Times New Roman" w:hAnsi="Times New Roman" w:eastAsia="仿宋" w:cs="Times New Roman"/>
          <w:szCs w:val="32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szCs w:val="32"/>
        </w:rPr>
        <w:t>日</w:t>
      </w:r>
    </w:p>
    <w:p>
      <w:pPr>
        <w:pStyle w:val="2"/>
        <w:spacing w:line="560" w:lineRule="exact"/>
        <w:ind w:left="640" w:hanging="320"/>
        <w:rPr>
          <w:rFonts w:hint="default" w:ascii="Times New Roman" w:hAnsi="Times New Roman" w:eastAsia="仿宋" w:cs="Times New Roman"/>
          <w:szCs w:val="32"/>
        </w:rPr>
      </w:pPr>
    </w:p>
    <w:p>
      <w:pPr>
        <w:ind w:firstLine="0" w:firstLineChars="0"/>
        <w:rPr>
          <w:rFonts w:hint="default" w:ascii="Times New Roman" w:hAnsi="Times New Roman" w:eastAsia="宋体" w:cs="Times New Roman"/>
          <w:sz w:val="24"/>
        </w:rPr>
      </w:pPr>
    </w:p>
    <w:p>
      <w:pPr>
        <w:pStyle w:val="2"/>
        <w:rPr>
          <w:rFonts w:hint="default" w:ascii="Times New Roman" w:hAnsi="Times New Roman" w:eastAsia="宋体" w:cs="Times New Roman"/>
          <w:sz w:val="24"/>
        </w:rPr>
      </w:pPr>
    </w:p>
    <w:p>
      <w:pPr>
        <w:rPr>
          <w:rFonts w:hint="default" w:ascii="Times New Roman" w:hAnsi="Times New Roman" w:eastAsia="宋体" w:cs="Times New Roman"/>
          <w:sz w:val="24"/>
        </w:rPr>
      </w:pPr>
    </w:p>
    <w:p>
      <w:pPr>
        <w:pStyle w:val="2"/>
        <w:rPr>
          <w:rFonts w:hint="default" w:ascii="Times New Roman" w:hAnsi="Times New Roman" w:eastAsia="宋体" w:cs="Times New Roman"/>
          <w:sz w:val="24"/>
        </w:rPr>
      </w:pPr>
    </w:p>
    <w:p>
      <w:pPr>
        <w:rPr>
          <w:rFonts w:hint="default" w:ascii="Times New Roman" w:hAnsi="Times New Roman" w:eastAsia="宋体" w:cs="Times New Roman"/>
          <w:sz w:val="24"/>
        </w:rPr>
      </w:pPr>
    </w:p>
    <w:p>
      <w:pPr>
        <w:pStyle w:val="2"/>
        <w:rPr>
          <w:rFonts w:hint="default" w:ascii="Times New Roman" w:hAnsi="Times New Roman" w:eastAsia="宋体" w:cs="Times New Roman"/>
          <w:sz w:val="24"/>
        </w:rPr>
      </w:pPr>
    </w:p>
    <w:p>
      <w:pPr>
        <w:rPr>
          <w:rFonts w:hint="default" w:ascii="Times New Roman" w:hAnsi="Times New Roman" w:eastAsia="宋体" w:cs="Times New Roman"/>
          <w:sz w:val="24"/>
        </w:rPr>
      </w:pPr>
    </w:p>
    <w:p>
      <w:pPr>
        <w:pStyle w:val="2"/>
        <w:rPr>
          <w:rFonts w:hint="default" w:ascii="Times New Roman" w:hAnsi="Times New Roman" w:eastAsia="宋体" w:cs="Times New Roman"/>
          <w:sz w:val="24"/>
        </w:rPr>
      </w:pPr>
    </w:p>
    <w:p>
      <w:pPr>
        <w:ind w:left="0" w:leftChars="0" w:firstLine="0" w:firstLineChars="0"/>
        <w:rPr>
          <w:rFonts w:hint="default" w:ascii="Times New Roman" w:hAnsi="Times New Roman" w:eastAsia="宋体" w:cs="Times New Roman"/>
          <w:sz w:val="24"/>
        </w:rPr>
      </w:pPr>
    </w:p>
    <w:p>
      <w:pPr>
        <w:ind w:left="0" w:leftChars="0" w:firstLine="0" w:firstLineChars="0"/>
        <w:rPr>
          <w:rFonts w:hint="default" w:ascii="Times New Roman" w:hAnsi="Times New Roman" w:eastAsia="宋体" w:cs="Times New Roman"/>
          <w:sz w:val="24"/>
        </w:rPr>
      </w:pPr>
    </w:p>
    <w:p>
      <w:pPr>
        <w:spacing w:line="400" w:lineRule="exact"/>
        <w:ind w:firstLine="0" w:firstLineChars="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35560</wp:posOffset>
                </wp:positionV>
                <wp:extent cx="5687695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.8pt;height:0.05pt;width:447.85pt;z-index:251659264;mso-width-relative:page;mso-height-relative:page;" filled="f" stroked="t" coordsize="21600,21600" o:gfxdata="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Pm2277UAAAABAEAAA8AAAAAAAAAAQAgAAAAIgAA&#10;AGRycy9kb3ducmV2LnhtbFBLAQIUABQAAAAIAIdO4kBgBvXL0wEAAIwDAAAOAAAAAAAAAAEAIAAA&#10;ACMBAABkcnMvZTJvRG9jLnhtbFBLBQYAAAAABgAGAFkBAABo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" w:cs="Times New Roman"/>
          <w:sz w:val="28"/>
          <w:szCs w:val="28"/>
        </w:rPr>
        <w:t>抄送：鄂尔多斯市生态环境局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准格尔旗</w:t>
      </w:r>
      <w:r>
        <w:rPr>
          <w:rFonts w:hint="default" w:ascii="Times New Roman" w:hAnsi="Times New Roman" w:eastAsia="仿宋" w:cs="Times New Roman"/>
          <w:sz w:val="28"/>
          <w:szCs w:val="28"/>
        </w:rPr>
        <w:t>分局，鄂尔多斯大路煤化工基地环境保护局，市生态环境综合行政执法支队，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内蒙古金绿环保服务有限公司</w:t>
      </w:r>
      <w:r>
        <w:rPr>
          <w:rFonts w:hint="default" w:ascii="Times New Roman" w:hAnsi="Times New Roman" w:eastAsia="仿宋" w:cs="Times New Roman"/>
          <w:sz w:val="28"/>
          <w:szCs w:val="28"/>
        </w:rPr>
        <w:t>，市生态环境局综合保障中心。</w:t>
      </w:r>
    </w:p>
    <w:p>
      <w:pPr>
        <w:spacing w:line="400" w:lineRule="exact"/>
        <w:ind w:firstLine="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297180</wp:posOffset>
                </wp:positionV>
                <wp:extent cx="568769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65pt;margin-top:23.4pt;height:0.05pt;width:447.85pt;z-index:251661312;mso-width-relative:page;mso-height-relative:page;" filled="f" stroked="t" coordsize="21600,21600" o:gfxdata="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zmbXwNUAAAAHAQAADwAAAAAAAAABACAAAAAiAAAA&#10;ZHJzL2Rvd25yZXYueG1sUEsBAhQAFAAAAAgAh07iQI4oqXTRAQAAjAMAAA4AAAAAAAAAAQAgAAAA&#10;JAEAAGRycy9lMm9Eb2MueG1sUEsFBgAAAAAGAAYAWQEAAGc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" w:cs="Times New Roman"/>
          <w:sz w:val="28"/>
          <w:szCs w:val="28"/>
        </w:rPr>
        <w:t>鄂尔多斯市生态环境局                        2022年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28"/>
          <w:szCs w:val="28"/>
        </w:rPr>
        <w:t>月2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sz w:val="28"/>
          <w:szCs w:val="28"/>
        </w:rPr>
        <w:t>日印发</w:t>
      </w:r>
      <w:r>
        <w:rPr>
          <w:rFonts w:hint="default" w:ascii="Times New Roman" w:hAnsi="Times New Roman" w:eastAsia="仿宋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5687695" cy="63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.6pt;height:0.05pt;width:447.85pt;z-index:251660288;mso-width-relative:page;mso-height-relative:page;" filled="f" stroked="t" coordsize="21600,21600" o:gfxdata="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HdblKnTAAAABAEAAA8AAAAAAAAAAQAgAAAAIgAAAGRy&#10;cy9kb3ducmV2LnhtbFBLAQIUABQAAAAIAIdO4kAFHu4X0QEAAIwDAAAOAAAAAAAAAAEAIAAAACIB&#10;AABkcnMvZTJvRG9jLnhtbFBLBQYAAAAABgAGAFkBAABl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531" w:bottom="1588" w:left="1531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stem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Angsana New">
    <w:panose1 w:val="02020603050405020304"/>
    <w:charset w:val="DE"/>
    <w:family w:val="roman"/>
    <w:pitch w:val="default"/>
    <w:sig w:usb0="81000003" w:usb1="00000000" w:usb2="00000000" w:usb3="00000000" w:csb0="00010001" w:csb1="00000000"/>
  </w:font>
  <w:font w:name="Gungsuh">
    <w:panose1 w:val="02030600000101010101"/>
    <w:charset w:val="81"/>
    <w:family w:val="roman"/>
    <w:pitch w:val="default"/>
    <w:sig w:usb0="B00002AF" w:usb1="69D77CFB" w:usb2="00000030" w:usb3="00000000" w:csb0="4008009F" w:csb1="DFD70000"/>
  </w:font>
  <w:font w:name="time new Roman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粗圆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汉鼎简书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G Times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@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S Shell Dlg">
    <w:altName w:val="Microsoft Sans Serif"/>
    <w:panose1 w:val="020B0604020202020204"/>
    <w:charset w:val="00"/>
    <w:family w:val="swiss"/>
    <w:pitch w:val="default"/>
    <w:sig w:usb0="00000000" w:usb1="00000000" w:usb2="00000029" w:usb3="00000000" w:csb0="000101FF" w:csb1="00000000"/>
  </w:font>
  <w:font w:name="華康中楷體">
    <w:altName w:val="Microsoft JhengHei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Garamond">
    <w:altName w:val="PMingLiU"/>
    <w:panose1 w:val="02020404030301010803"/>
    <w:charset w:val="00"/>
    <w:family w:val="roman"/>
    <w:pitch w:val="default"/>
    <w:sig w:usb0="00000000" w:usb1="00000000" w:usb2="00000000" w:usb3="00000000" w:csb0="0000009F" w:csb1="DFD7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CG Times (WN)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rial,Bold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????">
    <w:altName w:val="Malgun Gothic"/>
    <w:panose1 w:val="00000000000000000000"/>
    <w:charset w:val="81"/>
    <w:family w:val="auto"/>
    <w:pitch w:val="default"/>
    <w:sig w:usb0="00000000" w:usb1="00000000" w:usb2="00000010" w:usb3="00000000" w:csb0="0008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_GB2312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clear" w:pos="4153"/>
        <w:tab w:val="clear" w:pos="8306"/>
      </w:tabs>
      <w:ind w:firstLine="560"/>
      <w:jc w:val="right"/>
      <w:rPr>
        <w:rFonts w:ascii="宋体"/>
        <w:sz w:val="28"/>
        <w:szCs w:val="28"/>
      </w:rPr>
    </w:pPr>
    <w:r>
      <w:rPr>
        <w:rFonts w:hint="eastAsia" w:ascii="宋体"/>
        <w:sz w:val="28"/>
        <w:szCs w:val="28"/>
      </w:rPr>
      <w:fldChar w:fldCharType="begin"/>
    </w:r>
    <w:r>
      <w:rPr>
        <w:rFonts w:hint="eastAsia" w:ascii="宋体"/>
        <w:sz w:val="28"/>
        <w:szCs w:val="28"/>
      </w:rPr>
      <w:instrText xml:space="preserve"> PAGE   \* MERGEFORMAT </w:instrText>
    </w:r>
    <w:r>
      <w:rPr>
        <w:rFonts w:hint="eastAsia" w:asci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/>
      </w:rPr>
      <w:t>-</w:t>
    </w:r>
    <w:r>
      <w:rPr>
        <w:rFonts w:ascii="宋体"/>
        <w:sz w:val="28"/>
        <w:szCs w:val="28"/>
      </w:rPr>
      <w:t xml:space="preserve"> 7 -</w:t>
    </w:r>
    <w:r>
      <w:rPr>
        <w:rFonts w:hint="eastAsia" w:asci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clear" w:pos="4153"/>
        <w:tab w:val="clear" w:pos="8306"/>
      </w:tabs>
      <w:ind w:firstLine="560"/>
      <w:rPr>
        <w:rFonts w:ascii="宋体"/>
        <w:sz w:val="28"/>
        <w:szCs w:val="28"/>
      </w:rPr>
    </w:pPr>
    <w:r>
      <w:rPr>
        <w:rFonts w:hint="eastAsia" w:ascii="宋体"/>
        <w:sz w:val="28"/>
        <w:szCs w:val="28"/>
      </w:rPr>
      <w:fldChar w:fldCharType="begin"/>
    </w:r>
    <w:r>
      <w:rPr>
        <w:rFonts w:hint="eastAsia" w:ascii="宋体"/>
        <w:sz w:val="28"/>
        <w:szCs w:val="28"/>
      </w:rPr>
      <w:instrText xml:space="preserve"> PAGE   \* MERGEFORMAT </w:instrText>
    </w:r>
    <w:r>
      <w:rPr>
        <w:rFonts w:hint="eastAsia" w:asci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/>
      </w:rPr>
      <w:t>-</w:t>
    </w:r>
    <w:r>
      <w:rPr>
        <w:rFonts w:ascii="宋体"/>
        <w:sz w:val="28"/>
        <w:szCs w:val="28"/>
      </w:rPr>
      <w:t xml:space="preserve"> 6 -</w:t>
    </w:r>
    <w:r>
      <w:rPr>
        <w:rFonts w:hint="eastAsia" w:ascii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clear" w:pos="4153"/>
        <w:tab w:val="clear" w:pos="8306"/>
      </w:tabs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tabs>
        <w:tab w:val="clear" w:pos="4153"/>
        <w:tab w:val="clear" w:pos="8306"/>
      </w:tabs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tabs>
        <w:tab w:val="clear" w:pos="4153"/>
        <w:tab w:val="clear" w:pos="8306"/>
      </w:tabs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tabs>
        <w:tab w:val="clear" w:pos="4153"/>
        <w:tab w:val="clear" w:pos="8306"/>
      </w:tabs>
      <w:ind w:firstLine="360"/>
    </w:pPr>
  </w:p>
  <w:p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U2ZjJjOWFmZjU1OWIwMzgyMzc1YzM2MTY5NGE4ZWYifQ=="/>
  </w:docVars>
  <w:rsids>
    <w:rsidRoot w:val="28575086"/>
    <w:rsid w:val="000B1A31"/>
    <w:rsid w:val="000D19DB"/>
    <w:rsid w:val="00196AB6"/>
    <w:rsid w:val="002924A9"/>
    <w:rsid w:val="00352740"/>
    <w:rsid w:val="003D516A"/>
    <w:rsid w:val="00413CBD"/>
    <w:rsid w:val="00531BA5"/>
    <w:rsid w:val="00557050"/>
    <w:rsid w:val="00702297"/>
    <w:rsid w:val="008744DB"/>
    <w:rsid w:val="00A20B18"/>
    <w:rsid w:val="00A804CC"/>
    <w:rsid w:val="00AE5E0D"/>
    <w:rsid w:val="00B54640"/>
    <w:rsid w:val="00C40CD4"/>
    <w:rsid w:val="00D85321"/>
    <w:rsid w:val="00DD19A0"/>
    <w:rsid w:val="04922AC3"/>
    <w:rsid w:val="04EB661E"/>
    <w:rsid w:val="0657574E"/>
    <w:rsid w:val="11DF0C60"/>
    <w:rsid w:val="154A2EDB"/>
    <w:rsid w:val="178B1627"/>
    <w:rsid w:val="23E66F4A"/>
    <w:rsid w:val="28575086"/>
    <w:rsid w:val="2EA74F6F"/>
    <w:rsid w:val="36046C47"/>
    <w:rsid w:val="39CF23B4"/>
    <w:rsid w:val="39D23965"/>
    <w:rsid w:val="42397859"/>
    <w:rsid w:val="42817391"/>
    <w:rsid w:val="464C0A74"/>
    <w:rsid w:val="575B1002"/>
    <w:rsid w:val="5E7C6396"/>
    <w:rsid w:val="62B4451F"/>
    <w:rsid w:val="68FA319F"/>
    <w:rsid w:val="6AA67F82"/>
    <w:rsid w:val="6F4E3B01"/>
    <w:rsid w:val="7071295F"/>
    <w:rsid w:val="72A94AD9"/>
    <w:rsid w:val="79397D67"/>
    <w:rsid w:val="79A6291A"/>
    <w:rsid w:val="7B263628"/>
    <w:rsid w:val="7E6E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tabs>
        <w:tab w:val="right" w:leader="dot" w:pos="8494"/>
      </w:tabs>
      <w:spacing w:line="360" w:lineRule="auto"/>
      <w:ind w:left="420" w:leftChars="100" w:hanging="210" w:hangingChars="100"/>
    </w:pPr>
    <w:rPr>
      <w:rFonts w:eastAsia="宋体"/>
    </w:rPr>
  </w:style>
  <w:style w:type="paragraph" w:styleId="3">
    <w:name w:val="Body Text First Indent"/>
    <w:basedOn w:val="4"/>
    <w:next w:val="1"/>
    <w:qFormat/>
    <w:uiPriority w:val="0"/>
    <w:pPr>
      <w:ind w:firstLine="420"/>
    </w:pPr>
  </w:style>
  <w:style w:type="paragraph" w:styleId="4">
    <w:name w:val="Body Text"/>
    <w:basedOn w:val="1"/>
    <w:next w:val="5"/>
    <w:qFormat/>
    <w:uiPriority w:val="0"/>
    <w:pPr>
      <w:spacing w:after="120"/>
    </w:pPr>
    <w:rPr>
      <w:rFonts w:eastAsia="宋体"/>
    </w:rPr>
  </w:style>
  <w:style w:type="paragraph" w:styleId="5">
    <w:name w:val="Body Text Indent"/>
    <w:basedOn w:val="1"/>
    <w:next w:val="1"/>
    <w:qFormat/>
    <w:uiPriority w:val="0"/>
    <w:pPr>
      <w:keepNext/>
      <w:spacing w:line="360" w:lineRule="auto"/>
    </w:pPr>
    <w:rPr>
      <w:rFonts w:eastAsia="宋体"/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7">
    <w:name w:val="Body Text First Indent 2"/>
    <w:basedOn w:val="5"/>
    <w:next w:val="1"/>
    <w:qFormat/>
    <w:uiPriority w:val="0"/>
    <w:pPr>
      <w:spacing w:line="440" w:lineRule="exact"/>
      <w:ind w:firstLine="420"/>
    </w:p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customStyle="1" w:styleId="11">
    <w:name w:val="电石"/>
    <w:basedOn w:val="12"/>
    <w:qFormat/>
    <w:uiPriority w:val="0"/>
    <w:rPr>
      <w:rFonts w:ascii="Times New Roman" w:hAnsi="Times New Roman" w:cs="宋体"/>
      <w:szCs w:val="20"/>
    </w:rPr>
  </w:style>
  <w:style w:type="paragraph" w:customStyle="1" w:styleId="12">
    <w:name w:val="正文样式1"/>
    <w:basedOn w:val="1"/>
    <w:qFormat/>
    <w:uiPriority w:val="0"/>
    <w:pPr>
      <w:widowControl/>
      <w:spacing w:line="360" w:lineRule="auto"/>
      <w:ind w:firstLine="480"/>
    </w:pPr>
    <w:rPr>
      <w:rFonts w:ascii="宋体" w:hAnsi="Courier New" w:eastAsia="宋体"/>
      <w:kern w:val="0"/>
      <w:sz w:val="24"/>
    </w:rPr>
  </w:style>
  <w:style w:type="paragraph" w:customStyle="1" w:styleId="13">
    <w:name w:val="1正文"/>
    <w:basedOn w:val="1"/>
    <w:qFormat/>
    <w:uiPriority w:val="0"/>
    <w:pPr>
      <w:spacing w:line="360" w:lineRule="auto"/>
      <w:ind w:firstLine="198"/>
    </w:pPr>
    <w:rPr>
      <w:rFonts w:eastAsia="宋体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2061</Words>
  <Characters>2206</Characters>
  <Lines>16</Lines>
  <Paragraphs>4</Paragraphs>
  <ScaleCrop>false</ScaleCrop>
  <LinksUpToDate>false</LinksUpToDate>
  <CharactersWithSpaces>2279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2022-04-27T22:35:00Z</dcterms:created>
  <dc:creator>闫建成</dc:creator>
  <cp:lastModifiedBy>刘海龙(拟稿)</cp:lastModifiedBy>
  <cp:lastPrinted>2022-05-05T03:13:00Z</cp:lastPrinted>
  <dcterms:modified xsi:type="dcterms:W3CDTF">2022-06-06T03:19:45Z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93134F61A2E94270860A9A1034F500CF</vt:lpwstr>
  </property>
</Properties>
</file>