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keepNext w:val="0"/>
        <w:keepLines w:val="0"/>
        <w:pageBreakBefore w:val="0"/>
        <w:tabs>
          <w:tab w:val="left" w:pos="8280"/>
        </w:tabs>
        <w:kinsoku/>
        <w:wordWrap/>
        <w:overflowPunct/>
        <w:topLinePunct w:val="0"/>
        <w:autoSpaceDE/>
        <w:autoSpaceDN/>
        <w:bidi w:val="0"/>
        <w:spacing w:line="560" w:lineRule="exact"/>
        <w:ind w:left="0" w:leftChars="0" w:right="26" w:firstLine="5120" w:firstLineChars="1600"/>
        <w:textAlignment w:val="auto"/>
        <w:outlineLvl w:val="9"/>
        <w:rPr>
          <w:rFonts w:eastAsia="仿宋"/>
        </w:rPr>
      </w:pPr>
    </w:p>
    <w:p>
      <w:pPr>
        <w:keepNext w:val="0"/>
        <w:keepLines w:val="0"/>
        <w:pageBreakBefore w:val="0"/>
        <w:kinsoku/>
        <w:wordWrap/>
        <w:overflowPunct/>
        <w:topLinePunct w:val="0"/>
        <w:autoSpaceDE/>
        <w:autoSpaceDN/>
        <w:bidi w:val="0"/>
        <w:spacing w:line="560" w:lineRule="exact"/>
        <w:ind w:left="0" w:leftChars="0" w:firstLine="640"/>
        <w:jc w:val="center"/>
        <w:textAlignment w:val="auto"/>
        <w:outlineLvl w:val="9"/>
        <w:rPr>
          <w:rFonts w:eastAsia="仿宋"/>
          <w:szCs w:val="20"/>
          <w:highlight w:val="yellow"/>
        </w:rPr>
      </w:pPr>
      <w:r>
        <w:rPr>
          <w:rFonts w:eastAsia="仿宋"/>
          <w:szCs w:val="20"/>
        </w:rPr>
        <w:t>鄂环审字</w:t>
      </w:r>
      <w:bookmarkStart w:id="0" w:name="_Hlk101292120"/>
      <w:r>
        <w:rPr>
          <w:rFonts w:eastAsia="仿宋"/>
          <w:szCs w:val="20"/>
        </w:rPr>
        <w:t>〔2022〕</w:t>
      </w:r>
      <w:bookmarkEnd w:id="0"/>
      <w:r>
        <w:rPr>
          <w:rFonts w:eastAsia="仿宋"/>
          <w:szCs w:val="20"/>
        </w:rPr>
        <w:t>166号</w:t>
      </w:r>
    </w:p>
    <w:p>
      <w:pPr>
        <w:keepNext w:val="0"/>
        <w:keepLines w:val="0"/>
        <w:pageBreakBefore w:val="0"/>
        <w:tabs>
          <w:tab w:val="left" w:pos="2860"/>
        </w:tabs>
        <w:kinsoku/>
        <w:wordWrap/>
        <w:overflowPunct/>
        <w:topLinePunct w:val="0"/>
        <w:autoSpaceDE/>
        <w:autoSpaceDN/>
        <w:bidi w:val="0"/>
        <w:adjustRightInd w:val="0"/>
        <w:snapToGrid w:val="0"/>
        <w:spacing w:line="560" w:lineRule="exact"/>
        <w:ind w:left="0" w:leftChars="0" w:firstLine="800"/>
        <w:jc w:val="center"/>
        <w:textAlignment w:val="auto"/>
        <w:outlineLvl w:val="9"/>
        <w:rPr>
          <w:sz w:val="40"/>
          <w:szCs w:val="40"/>
        </w:rPr>
      </w:pPr>
      <w:r>
        <w:rPr>
          <w:sz w:val="40"/>
          <w:szCs w:val="40"/>
        </w:rPr>
        <w:tab/>
      </w:r>
    </w:p>
    <w:p>
      <w:pPr>
        <w:keepNext w:val="0"/>
        <w:keepLines w:val="0"/>
        <w:pageBreakBefore w:val="0"/>
        <w:kinsoku/>
        <w:wordWrap/>
        <w:overflowPunct/>
        <w:topLinePunct w:val="0"/>
        <w:autoSpaceDE/>
        <w:autoSpaceDN/>
        <w:bidi w:val="0"/>
        <w:spacing w:line="560" w:lineRule="exact"/>
        <w:ind w:left="0" w:leftChars="0" w:right="-294" w:rightChars="-92" w:firstLine="0" w:firstLineChars="0"/>
        <w:jc w:val="center"/>
        <w:textAlignment w:val="auto"/>
        <w:outlineLvl w:val="9"/>
        <w:rPr>
          <w:rFonts w:eastAsia="宋体"/>
          <w:b/>
          <w:sz w:val="44"/>
          <w:szCs w:val="44"/>
        </w:rPr>
      </w:pPr>
      <w:r>
        <w:rPr>
          <w:rFonts w:eastAsia="宋体"/>
          <w:b/>
          <w:sz w:val="44"/>
          <w:szCs w:val="44"/>
        </w:rPr>
        <w:t>鄂尔多斯市生态环境局关于鄂托克旗建元煤焦化有限责任公司脱硫废液及硫泡沫制酸</w:t>
      </w:r>
    </w:p>
    <w:p>
      <w:pPr>
        <w:keepNext w:val="0"/>
        <w:keepLines w:val="0"/>
        <w:pageBreakBefore w:val="0"/>
        <w:kinsoku/>
        <w:wordWrap/>
        <w:overflowPunct/>
        <w:topLinePunct w:val="0"/>
        <w:autoSpaceDE/>
        <w:autoSpaceDN/>
        <w:bidi w:val="0"/>
        <w:spacing w:line="560" w:lineRule="exact"/>
        <w:ind w:left="0" w:leftChars="0" w:right="-294" w:rightChars="-92" w:firstLine="0" w:firstLineChars="0"/>
        <w:jc w:val="center"/>
        <w:textAlignment w:val="auto"/>
        <w:outlineLvl w:val="9"/>
        <w:rPr>
          <w:rFonts w:eastAsia="宋体"/>
          <w:b/>
          <w:sz w:val="44"/>
          <w:szCs w:val="44"/>
        </w:rPr>
      </w:pPr>
      <w:r>
        <w:rPr>
          <w:rFonts w:eastAsia="宋体"/>
          <w:b/>
          <w:sz w:val="44"/>
          <w:szCs w:val="44"/>
        </w:rPr>
        <w:t>项目环境影响报告书的批复</w:t>
      </w:r>
    </w:p>
    <w:p>
      <w:pPr>
        <w:keepNext w:val="0"/>
        <w:keepLines w:val="0"/>
        <w:pageBreakBefore w:val="0"/>
        <w:kinsoku/>
        <w:wordWrap/>
        <w:overflowPunct/>
        <w:topLinePunct w:val="0"/>
        <w:autoSpaceDE/>
        <w:autoSpaceDN/>
        <w:bidi w:val="0"/>
        <w:spacing w:line="560" w:lineRule="exact"/>
        <w:ind w:left="0" w:leftChars="0" w:firstLine="0" w:firstLineChars="0"/>
        <w:textAlignment w:val="auto"/>
        <w:outlineLvl w:val="9"/>
        <w:rPr>
          <w:szCs w:val="21"/>
        </w:rPr>
      </w:pPr>
    </w:p>
    <w:p>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auto"/>
        <w:outlineLvl w:val="9"/>
        <w:rPr>
          <w:rFonts w:eastAsia="仿宋"/>
          <w:szCs w:val="32"/>
        </w:rPr>
      </w:pPr>
      <w:r>
        <w:rPr>
          <w:rFonts w:eastAsia="仿宋"/>
          <w:szCs w:val="32"/>
        </w:rPr>
        <w:t>鄂托克旗建元煤焦化有限责任公司：</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你公司报送的由内蒙古</w:t>
      </w:r>
      <w:r>
        <w:rPr>
          <w:rFonts w:hint="eastAsia" w:eastAsia="仿宋"/>
          <w:szCs w:val="32"/>
        </w:rPr>
        <w:t>哈立斯环境科技有限公司</w:t>
      </w:r>
      <w:r>
        <w:rPr>
          <w:rFonts w:eastAsia="仿宋"/>
          <w:szCs w:val="32"/>
        </w:rPr>
        <w:t>编制的《鄂托克旗建元煤焦化有限责任公司脱硫废液及硫泡沫制酸项目环境影响报告书》（以下简称《报告书》）收悉。我局综合保障中心组织专家对该项目进行了技术评估，并形成了技术评估报告。根据《报告书》和《技术评估报告》，经研究，现批复如下：</w:t>
      </w:r>
    </w:p>
    <w:p>
      <w:pPr>
        <w:pStyle w:val="11"/>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cs="Times New Roman"/>
          <w:bCs/>
          <w:kern w:val="2"/>
          <w:sz w:val="32"/>
          <w:szCs w:val="32"/>
          <w:highlight w:val="yellow"/>
        </w:rPr>
      </w:pPr>
      <w:r>
        <w:rPr>
          <w:rFonts w:hint="eastAsia" w:eastAsia="仿宋" w:cs="Times New Roman"/>
          <w:sz w:val="32"/>
          <w:szCs w:val="32"/>
        </w:rPr>
        <w:t>一、</w:t>
      </w:r>
      <w:r>
        <w:rPr>
          <w:rFonts w:eastAsia="仿宋" w:cs="Times New Roman"/>
          <w:sz w:val="32"/>
          <w:szCs w:val="32"/>
        </w:rPr>
        <w:t>本</w:t>
      </w:r>
      <w:r>
        <w:rPr>
          <w:rFonts w:hint="eastAsia" w:eastAsia="仿宋" w:cs="Times New Roman"/>
          <w:bCs/>
          <w:kern w:val="2"/>
          <w:sz w:val="32"/>
          <w:szCs w:val="32"/>
        </w:rPr>
        <w:t>技改</w:t>
      </w:r>
      <w:r>
        <w:rPr>
          <w:rFonts w:eastAsia="仿宋" w:cs="Times New Roman"/>
          <w:bCs/>
          <w:kern w:val="2"/>
          <w:sz w:val="32"/>
          <w:szCs w:val="32"/>
        </w:rPr>
        <w:t>项目位于鄂尔多斯市鄂托克旗棋盘井工业园区</w:t>
      </w:r>
      <w:r>
        <w:rPr>
          <w:rFonts w:hint="eastAsia" w:eastAsia="仿宋" w:cs="Times New Roman"/>
          <w:bCs/>
          <w:kern w:val="2"/>
          <w:sz w:val="32"/>
          <w:szCs w:val="32"/>
        </w:rPr>
        <w:t>鄂托克旗建</w:t>
      </w:r>
      <w:r>
        <w:rPr>
          <w:rFonts w:hint="eastAsia" w:eastAsia="仿宋" w:cs="Times New Roman"/>
          <w:bCs/>
          <w:color w:val="auto"/>
          <w:kern w:val="2"/>
          <w:sz w:val="32"/>
          <w:szCs w:val="32"/>
        </w:rPr>
        <w:t>元煤焦化有限责任公司厂区内</w:t>
      </w:r>
      <w:r>
        <w:rPr>
          <w:rFonts w:eastAsia="仿宋" w:cs="Times New Roman"/>
          <w:color w:val="auto"/>
          <w:sz w:val="32"/>
          <w:szCs w:val="32"/>
          <w:lang w:bidi="ar"/>
        </w:rPr>
        <w:t>。《鄂托克旗建元煤焦化有限责任公司280万吨/年焦化项目环境影响报告书》于20</w:t>
      </w:r>
      <w:r>
        <w:rPr>
          <w:rFonts w:hint="eastAsia" w:eastAsia="仿宋" w:cs="Times New Roman"/>
          <w:color w:val="auto"/>
          <w:sz w:val="32"/>
          <w:szCs w:val="32"/>
          <w:lang w:bidi="ar"/>
        </w:rPr>
        <w:t>15</w:t>
      </w:r>
      <w:r>
        <w:rPr>
          <w:rFonts w:eastAsia="仿宋" w:cs="Times New Roman"/>
          <w:color w:val="auto"/>
          <w:sz w:val="32"/>
          <w:szCs w:val="32"/>
          <w:lang w:bidi="ar"/>
        </w:rPr>
        <w:t>年12月</w:t>
      </w:r>
      <w:r>
        <w:rPr>
          <w:rFonts w:hint="eastAsia" w:eastAsia="仿宋" w:cs="Times New Roman"/>
          <w:color w:val="auto"/>
          <w:sz w:val="32"/>
          <w:szCs w:val="32"/>
          <w:lang w:bidi="ar"/>
        </w:rPr>
        <w:t>30</w:t>
      </w:r>
      <w:r>
        <w:rPr>
          <w:rFonts w:eastAsia="仿宋" w:cs="Times New Roman"/>
          <w:color w:val="auto"/>
          <w:sz w:val="32"/>
          <w:szCs w:val="32"/>
          <w:lang w:bidi="ar"/>
        </w:rPr>
        <w:t>日由原</w:t>
      </w:r>
      <w:r>
        <w:rPr>
          <w:rFonts w:hint="eastAsia" w:eastAsia="仿宋" w:cs="Times New Roman"/>
          <w:color w:val="auto"/>
          <w:sz w:val="32"/>
          <w:szCs w:val="32"/>
          <w:lang w:bidi="ar"/>
        </w:rPr>
        <w:t>鄂托克旗环境保护局</w:t>
      </w:r>
      <w:r>
        <w:rPr>
          <w:rFonts w:eastAsia="仿宋" w:cs="Times New Roman"/>
          <w:color w:val="auto"/>
          <w:sz w:val="32"/>
          <w:szCs w:val="32"/>
          <w:lang w:bidi="ar"/>
        </w:rPr>
        <w:t>进行了批复（鄂环审字</w:t>
      </w:r>
      <w:r>
        <w:rPr>
          <w:rFonts w:hint="eastAsia" w:eastAsia="仿宋" w:cs="Times New Roman"/>
          <w:color w:val="auto"/>
          <w:sz w:val="32"/>
          <w:szCs w:val="32"/>
          <w:lang w:bidi="ar"/>
        </w:rPr>
        <w:t>〔20</w:t>
      </w:r>
      <w:r>
        <w:rPr>
          <w:rFonts w:eastAsia="仿宋" w:cs="Times New Roman"/>
          <w:color w:val="auto"/>
          <w:sz w:val="32"/>
          <w:szCs w:val="32"/>
          <w:lang w:bidi="ar"/>
        </w:rPr>
        <w:t>15</w:t>
      </w:r>
      <w:r>
        <w:rPr>
          <w:rFonts w:hint="eastAsia" w:eastAsia="仿宋" w:cs="Times New Roman"/>
          <w:color w:val="auto"/>
          <w:sz w:val="32"/>
          <w:szCs w:val="32"/>
          <w:lang w:bidi="ar"/>
        </w:rPr>
        <w:t>〕</w:t>
      </w:r>
      <w:r>
        <w:rPr>
          <w:rFonts w:eastAsia="仿宋" w:cs="Times New Roman"/>
          <w:color w:val="auto"/>
          <w:sz w:val="32"/>
          <w:szCs w:val="32"/>
          <w:lang w:bidi="ar"/>
        </w:rPr>
        <w:t>101号）；2021年4月8日</w:t>
      </w:r>
      <w:r>
        <w:rPr>
          <w:rFonts w:hint="eastAsia" w:eastAsia="仿宋" w:cs="Times New Roman"/>
          <w:color w:val="auto"/>
          <w:sz w:val="32"/>
          <w:szCs w:val="32"/>
          <w:lang w:bidi="ar"/>
        </w:rPr>
        <w:t>，</w:t>
      </w:r>
      <w:r>
        <w:rPr>
          <w:rFonts w:eastAsia="仿宋" w:cs="Times New Roman"/>
          <w:color w:val="auto"/>
          <w:sz w:val="32"/>
          <w:szCs w:val="32"/>
          <w:lang w:bidi="ar"/>
        </w:rPr>
        <w:t>鄂托克旗建元煤焦化有限责任公司</w:t>
      </w:r>
      <w:r>
        <w:rPr>
          <w:rFonts w:hint="eastAsia" w:eastAsia="仿宋" w:cs="Times New Roman"/>
          <w:color w:val="auto"/>
          <w:sz w:val="32"/>
          <w:szCs w:val="32"/>
          <w:lang w:bidi="ar"/>
        </w:rPr>
        <w:t>组织完成了该项目的自主</w:t>
      </w:r>
      <w:r>
        <w:rPr>
          <w:rFonts w:eastAsia="仿宋" w:cs="Times New Roman"/>
          <w:color w:val="auto"/>
          <w:sz w:val="32"/>
          <w:szCs w:val="32"/>
          <w:lang w:bidi="ar"/>
        </w:rPr>
        <w:t>竣工环境保护验收</w:t>
      </w:r>
      <w:r>
        <w:rPr>
          <w:rFonts w:hint="eastAsia" w:eastAsia="仿宋" w:cs="Times New Roman"/>
          <w:color w:val="auto"/>
          <w:sz w:val="32"/>
          <w:szCs w:val="32"/>
          <w:lang w:bidi="ar"/>
        </w:rPr>
        <w:t>。技改</w:t>
      </w:r>
      <w:r>
        <w:rPr>
          <w:rFonts w:eastAsia="仿宋" w:cs="Times New Roman"/>
          <w:color w:val="auto"/>
          <w:sz w:val="32"/>
          <w:szCs w:val="32"/>
          <w:lang w:bidi="ar"/>
        </w:rPr>
        <w:t>后，</w:t>
      </w:r>
      <w:r>
        <w:rPr>
          <w:rFonts w:eastAsia="仿宋" w:cs="Times New Roman"/>
          <w:bCs/>
          <w:color w:val="auto"/>
          <w:kern w:val="2"/>
          <w:sz w:val="32"/>
          <w:szCs w:val="32"/>
        </w:rPr>
        <w:t>主要建设内容包括</w:t>
      </w:r>
      <w:r>
        <w:rPr>
          <w:rFonts w:hint="eastAsia" w:eastAsia="仿宋" w:cs="Times New Roman"/>
          <w:bCs/>
          <w:color w:val="auto"/>
          <w:kern w:val="2"/>
          <w:sz w:val="32"/>
          <w:szCs w:val="32"/>
        </w:rPr>
        <w:t>预处理工程（离心、蒸发浓缩）、制酸工段</w:t>
      </w:r>
      <w:r>
        <w:rPr>
          <w:rFonts w:hint="eastAsia" w:eastAsia="仿宋" w:cs="Times New Roman"/>
          <w:bCs/>
          <w:color w:val="auto"/>
          <w:kern w:val="2"/>
          <w:sz w:val="32"/>
          <w:szCs w:val="32"/>
          <w:lang w:eastAsia="zh-CN"/>
        </w:rPr>
        <w:t>（</w:t>
      </w:r>
      <w:r>
        <w:rPr>
          <w:rFonts w:hint="eastAsia" w:eastAsia="仿宋" w:cs="Times New Roman"/>
          <w:bCs/>
          <w:color w:val="auto"/>
          <w:kern w:val="2"/>
          <w:sz w:val="32"/>
          <w:szCs w:val="32"/>
        </w:rPr>
        <w:t>焚烧、炉</w:t>
      </w:r>
      <w:r>
        <w:rPr>
          <w:rFonts w:hint="eastAsia" w:eastAsia="仿宋" w:cs="Times New Roman"/>
          <w:bCs/>
          <w:kern w:val="2"/>
          <w:sz w:val="32"/>
          <w:szCs w:val="32"/>
        </w:rPr>
        <w:t>气净化、干吸、转化、尾气处理</w:t>
      </w:r>
      <w:r>
        <w:rPr>
          <w:rFonts w:hint="eastAsia" w:eastAsia="仿宋" w:cs="Times New Roman"/>
          <w:bCs/>
          <w:color w:val="auto"/>
          <w:kern w:val="2"/>
          <w:sz w:val="32"/>
          <w:szCs w:val="32"/>
          <w:lang w:eastAsia="zh-CN"/>
        </w:rPr>
        <w:t>）</w:t>
      </w:r>
      <w:r>
        <w:rPr>
          <w:rFonts w:hint="eastAsia" w:eastAsia="仿宋" w:cs="Times New Roman"/>
          <w:bCs/>
          <w:kern w:val="2"/>
          <w:sz w:val="32"/>
          <w:szCs w:val="32"/>
        </w:rPr>
        <w:t>、循环水系统和槽罐等其他公辅工程及环保工程，给排水系统、污水处理设施、事故水池、消防水池、浓硫酸储存罐</w:t>
      </w:r>
      <w:r>
        <w:rPr>
          <w:rFonts w:hint="eastAsia" w:eastAsia="仿宋" w:cs="Times New Roman"/>
          <w:bCs/>
          <w:kern w:val="2"/>
          <w:sz w:val="32"/>
          <w:szCs w:val="32"/>
          <w:lang w:eastAsia="zh-CN"/>
        </w:rPr>
        <w:t>、</w:t>
      </w:r>
      <w:r>
        <w:rPr>
          <w:rFonts w:hint="eastAsia" w:eastAsia="仿宋" w:cs="Times New Roman"/>
          <w:bCs/>
          <w:kern w:val="2"/>
          <w:sz w:val="32"/>
          <w:szCs w:val="32"/>
        </w:rPr>
        <w:t>临时危废暂存间</w:t>
      </w:r>
      <w:r>
        <w:rPr>
          <w:rFonts w:hint="eastAsia" w:eastAsia="仿宋" w:cs="Times New Roman"/>
          <w:bCs/>
          <w:kern w:val="2"/>
          <w:sz w:val="32"/>
          <w:szCs w:val="32"/>
          <w:lang w:eastAsia="zh-CN"/>
        </w:rPr>
        <w:t>和办公生活区</w:t>
      </w:r>
      <w:r>
        <w:rPr>
          <w:rFonts w:hint="eastAsia" w:eastAsia="仿宋" w:cs="Times New Roman"/>
          <w:bCs/>
          <w:kern w:val="2"/>
          <w:sz w:val="32"/>
          <w:szCs w:val="32"/>
        </w:rPr>
        <w:t>等依托现有工程，不再新建。项目以280万吨/年焦化项目脱硫过程中产生的脱硫废液和硫泡沫为原料生产硫酸，建成后，</w:t>
      </w:r>
      <w:bookmarkStart w:id="1" w:name="_Hlk75527780"/>
      <w:r>
        <w:rPr>
          <w:rFonts w:hint="eastAsia" w:eastAsia="仿宋" w:cs="Times New Roman"/>
          <w:bCs/>
          <w:kern w:val="2"/>
          <w:sz w:val="32"/>
          <w:szCs w:val="32"/>
        </w:rPr>
        <w:t>年产硫酸（以100wt%计）35000吨</w:t>
      </w:r>
      <w:bookmarkEnd w:id="1"/>
      <w:r>
        <w:rPr>
          <w:rFonts w:hint="eastAsia" w:eastAsia="仿宋" w:cs="Times New Roman"/>
          <w:bCs/>
          <w:kern w:val="2"/>
          <w:sz w:val="32"/>
          <w:szCs w:val="32"/>
        </w:rPr>
        <w:t>，同时年产副产品0.6MPa、160℃的低压饱和蒸汽26600吨。项目总投资12631.43万元，其中环保投资320万元。</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报告书》和《技术评估报告》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二、项目建设与运行管理中应重点做好的工作：</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1.加强施工期环境管理，施工场地四周设围挡，定期洒水抑尘；现场搅拌应封闭作业，水泥、石灰粉等建筑材料存放于库房或严密遮盖，散体材料必须覆盖，场内装卸、搬运物料应遮盖、封闭或洒水；材料运输中要采取遮盖措施或利用密闭性运输车，运输车辆行驶路线要避开居民区等环境敏感点，并限制运输车辆的车速；施工期产生的废水和固体废弃物须集中收集后统一处置，不得外排。</w:t>
      </w:r>
    </w:p>
    <w:p>
      <w:pPr>
        <w:keepNext w:val="0"/>
        <w:keepLines w:val="0"/>
        <w:pageBreakBefore w:val="0"/>
        <w:kinsoku/>
        <w:wordWrap/>
        <w:overflowPunct/>
        <w:topLinePunct w:val="0"/>
        <w:autoSpaceDE/>
        <w:autoSpaceDN/>
        <w:bidi w:val="0"/>
        <w:spacing w:line="560" w:lineRule="exact"/>
        <w:ind w:left="0" w:leftChars="0" w:firstLine="640"/>
        <w:textAlignment w:val="auto"/>
        <w:outlineLvl w:val="9"/>
        <w:rPr>
          <w:rFonts w:eastAsia="仿宋"/>
          <w:szCs w:val="32"/>
        </w:rPr>
      </w:pPr>
      <w:r>
        <w:rPr>
          <w:rFonts w:eastAsia="仿宋"/>
          <w:szCs w:val="32"/>
        </w:rPr>
        <w:t>2.严格落实《报告书》和《技术评估报告》中提出的大气污染防治措施。</w:t>
      </w:r>
      <w:r>
        <w:rPr>
          <w:rFonts w:hint="eastAsia" w:ascii="仿宋_GB2312" w:hAnsi="仿宋_GB2312" w:cs="仿宋_GB2312"/>
          <w:szCs w:val="32"/>
        </w:rPr>
        <w:t>预处理工段不凝气通过管道输送至燃烧炉进行焚烧处理。尾气净化工序废气经尾气粗洗塔、尾气精洗塔和尾气电除雾器处理后，废气排放须满足《硫酸工业污染物排放标准》（GB26132-2010</w:t>
      </w:r>
      <w:r>
        <w:rPr>
          <w:rFonts w:hint="eastAsia" w:ascii="仿宋_GB2312" w:hAnsi="仿宋_GB2312" w:cs="仿宋_GB2312"/>
          <w:szCs w:val="32"/>
          <w:lang w:eastAsia="zh-CN"/>
        </w:rPr>
        <w:t>）</w:t>
      </w:r>
      <w:r>
        <w:rPr>
          <w:rFonts w:hint="eastAsia" w:ascii="仿宋_GB2312" w:hAnsi="仿宋_GB2312" w:cs="仿宋_GB2312"/>
          <w:szCs w:val="32"/>
        </w:rPr>
        <w:t>（及其修改单）限值要求。</w:t>
      </w:r>
      <w:r>
        <w:rPr>
          <w:rFonts w:eastAsia="仿宋"/>
          <w:szCs w:val="32"/>
        </w:rPr>
        <w:t>加强运营期管理，确保废气中各污染物排放满足相关标准限值要求。</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3.按照《报告书》和《技术评估报告》提出的要求，强化废水处理与回用，实行雨污分流、清污分流。</w:t>
      </w:r>
      <w:r>
        <w:rPr>
          <w:rFonts w:hint="eastAsia" w:eastAsia="仿宋"/>
          <w:szCs w:val="32"/>
        </w:rPr>
        <w:t>运营期产生的预处理工段产生的冷凝水通过管道送至280万吨/年焦化项目化产车间脱硫</w:t>
      </w:r>
      <w:r>
        <w:rPr>
          <w:rFonts w:hint="eastAsia" w:eastAsia="仿宋"/>
          <w:color w:val="auto"/>
          <w:szCs w:val="32"/>
        </w:rPr>
        <w:t>工段进行回用；炉气净化工段排出的废酸及尾气洗净塔洗涤废水通过管道送至</w:t>
      </w:r>
      <w:r>
        <w:rPr>
          <w:rFonts w:hint="eastAsia" w:eastAsia="仿宋"/>
          <w:color w:val="auto"/>
          <w:szCs w:val="32"/>
          <w:highlight w:val="none"/>
          <w:lang w:val="en-US" w:eastAsia="zh-CN"/>
        </w:rPr>
        <w:t>280万吨</w:t>
      </w:r>
      <w:r>
        <w:rPr>
          <w:rFonts w:hint="eastAsia" w:eastAsia="仿宋"/>
          <w:color w:val="auto"/>
          <w:szCs w:val="32"/>
          <w:highlight w:val="none"/>
        </w:rPr>
        <w:t>/年焦化项目</w:t>
      </w:r>
      <w:r>
        <w:rPr>
          <w:rFonts w:hint="eastAsia" w:eastAsia="仿宋"/>
          <w:color w:val="auto"/>
          <w:szCs w:val="32"/>
          <w:highlight w:val="none"/>
          <w:lang w:val="en-US" w:eastAsia="zh-CN"/>
        </w:rPr>
        <w:t>硫铵车间硫铵工序进行</w:t>
      </w:r>
      <w:r>
        <w:rPr>
          <w:rFonts w:hint="eastAsia" w:eastAsia="仿宋"/>
          <w:color w:val="auto"/>
          <w:szCs w:val="32"/>
          <w:highlight w:val="none"/>
          <w:lang w:eastAsia="zh-CN"/>
        </w:rPr>
        <w:t>回用</w:t>
      </w:r>
      <w:r>
        <w:rPr>
          <w:rFonts w:hint="eastAsia" w:eastAsia="仿宋"/>
          <w:color w:val="auto"/>
          <w:szCs w:val="32"/>
        </w:rPr>
        <w:t>；工艺装置区地面冲洗水收集后送至280万吨/年焦化项目污水处理站进行处理；余热锅炉排水通过管道送至280万吨/年焦化项目深度处理系统进一步处理，处理后全部回用。生活污水经现有污水处理设施处理后，全部</w:t>
      </w:r>
      <w:r>
        <w:rPr>
          <w:rFonts w:hint="eastAsia" w:eastAsia="仿宋"/>
          <w:szCs w:val="32"/>
        </w:rPr>
        <w:t>回用。以上各污（废）水处理后回用，均不得外排。</w:t>
      </w:r>
    </w:p>
    <w:p>
      <w:pPr>
        <w:pStyle w:val="4"/>
        <w:keepNext w:val="0"/>
        <w:keepLines w:val="0"/>
        <w:pageBreakBefore w:val="0"/>
        <w:kinsoku/>
        <w:wordWrap/>
        <w:overflowPunct/>
        <w:topLinePunct w:val="0"/>
        <w:autoSpaceDE/>
        <w:autoSpaceDN/>
        <w:bidi w:val="0"/>
        <w:spacing w:after="0" w:line="560" w:lineRule="exact"/>
        <w:ind w:left="0" w:leftChars="0" w:firstLine="640"/>
        <w:textAlignment w:val="auto"/>
        <w:outlineLvl w:val="9"/>
        <w:rPr>
          <w:rFonts w:eastAsia="仿宋"/>
          <w:szCs w:val="32"/>
        </w:rPr>
      </w:pPr>
      <w:r>
        <w:rPr>
          <w:rFonts w:eastAsia="仿宋"/>
          <w:szCs w:val="32"/>
        </w:rPr>
        <w:t>按照《报告书》、《技术评估报告》、《环境影响评价技术导则地下水环境》（HJ610-2016）、《地下水环境监测技术规范》（HJ164-2020）和《环境影响评价技术导则 土壤环境》（HJ964-2018）等相关要求，对厂区内重点污染防治区、一般污染防治区等采取分区防渗措施，同时按照要求布设地下水观测井和土壤跟踪监测点，做好地下水和土壤跟踪监测工作，定期对地下水和土壤进行跟踪监测，加强日常管理与巡查，以免造成地下水和土壤污染。</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4.应采取妥善控制措施，确保厂界噪声满足《工业企业厂界环境噪声排放标准》（GB12348-2008）3类标准要求。</w:t>
      </w:r>
    </w:p>
    <w:p>
      <w:pPr>
        <w:keepNext w:val="0"/>
        <w:keepLines w:val="0"/>
        <w:pageBreakBefore w:val="0"/>
        <w:kinsoku/>
        <w:wordWrap/>
        <w:overflowPunct/>
        <w:topLinePunct w:val="0"/>
        <w:autoSpaceDE/>
        <w:autoSpaceDN/>
        <w:bidi w:val="0"/>
        <w:spacing w:line="560" w:lineRule="exact"/>
        <w:ind w:left="0" w:leftChars="0" w:firstLine="640"/>
        <w:textAlignment w:val="auto"/>
        <w:outlineLvl w:val="9"/>
        <w:rPr>
          <w:rFonts w:eastAsia="仿宋"/>
          <w:szCs w:val="32"/>
        </w:rPr>
      </w:pPr>
      <w:r>
        <w:rPr>
          <w:rFonts w:eastAsia="仿宋"/>
          <w:szCs w:val="32"/>
        </w:rPr>
        <w:t>5.严格落实《报告书》和《技术评估报告》中提出的固废污染防治措施。建设单位须严格按照《一般工业固体废物贮存和填埋污染控制标准》（GB18599-2020）和《危险废物贮存污染控制标准》（GB18597-2001）（及其修改单）要求对一般固废和危险废物进行处置，不得乱弃。</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6.强化环境风险防范。制定环境风险应急预案，落实环境风险事故防范措施，提高事故风险防范和污染控制能力。</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三、项目建设必须严格执行环境保护“三同时”制度。工程竣工后，须按照规定程序实施竣工环境保护验收。</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四、你公司应在收到本批复20日内，将《报告书》（报批版）及批复文件送至鄂尔多斯市生态环境局鄂托克旗分局和</w:t>
      </w:r>
      <w:r>
        <w:rPr>
          <w:rFonts w:hint="eastAsia" w:eastAsia="仿宋"/>
          <w:szCs w:val="32"/>
          <w:lang w:eastAsia="zh-CN"/>
        </w:rPr>
        <w:t>鄂托克经济开发区</w:t>
      </w:r>
      <w:r>
        <w:rPr>
          <w:rFonts w:eastAsia="仿宋"/>
          <w:szCs w:val="32"/>
        </w:rPr>
        <w:t>环境保护局，我局委托鄂尔多斯市生态环境局鄂托克旗分局和</w:t>
      </w:r>
      <w:r>
        <w:rPr>
          <w:rFonts w:hint="eastAsia" w:eastAsia="仿宋"/>
          <w:szCs w:val="32"/>
          <w:lang w:eastAsia="zh-CN"/>
        </w:rPr>
        <w:t>鄂托克经济开发区</w:t>
      </w:r>
      <w:r>
        <w:rPr>
          <w:rFonts w:eastAsia="仿宋"/>
          <w:szCs w:val="32"/>
        </w:rPr>
        <w:t>环境保护局，负责该项目的日常监管工作。</w:t>
      </w:r>
    </w:p>
    <w:p>
      <w:pPr>
        <w:keepNext w:val="0"/>
        <w:keepLines w:val="0"/>
        <w:pageBreakBefore w:val="0"/>
        <w:kinsoku/>
        <w:wordWrap/>
        <w:overflowPunct/>
        <w:topLinePunct w:val="0"/>
        <w:autoSpaceDE/>
        <w:autoSpaceDN/>
        <w:bidi w:val="0"/>
        <w:adjustRightInd w:val="0"/>
        <w:snapToGrid w:val="0"/>
        <w:spacing w:line="560" w:lineRule="exact"/>
        <w:ind w:left="0" w:leftChars="0" w:firstLine="640"/>
        <w:textAlignment w:val="auto"/>
        <w:outlineLvl w:val="9"/>
        <w:rPr>
          <w:rFonts w:eastAsia="仿宋"/>
          <w:szCs w:val="32"/>
        </w:rPr>
      </w:pPr>
      <w:r>
        <w:rPr>
          <w:rFonts w:eastAsia="仿宋"/>
          <w:szCs w:val="32"/>
        </w:rPr>
        <w:t>五、该项目从批准之日起超过5年方决定开工建设，其环评文件应重新审核。如果项目建设地点、规模、工艺、防治污染和防止生态破坏的措施等发生重大变化时，需重新报批环评文件。</w:t>
      </w:r>
    </w:p>
    <w:p>
      <w:pPr>
        <w:keepNext w:val="0"/>
        <w:keepLines w:val="0"/>
        <w:pageBreakBefore w:val="0"/>
        <w:kinsoku/>
        <w:wordWrap/>
        <w:overflowPunct/>
        <w:topLinePunct w:val="0"/>
        <w:autoSpaceDE/>
        <w:autoSpaceDN/>
        <w:bidi w:val="0"/>
        <w:adjustRightInd w:val="0"/>
        <w:snapToGrid w:val="0"/>
        <w:spacing w:line="560" w:lineRule="exact"/>
        <w:ind w:left="0" w:leftChars="0" w:firstLine="640"/>
        <w:jc w:val="center"/>
        <w:textAlignment w:val="auto"/>
        <w:outlineLvl w:val="9"/>
        <w:rPr>
          <w:rFonts w:eastAsia="仿宋"/>
          <w:szCs w:val="32"/>
        </w:rPr>
      </w:pPr>
      <w:r>
        <w:rPr>
          <w:rFonts w:eastAsia="仿宋"/>
          <w:szCs w:val="32"/>
        </w:rPr>
        <w:t xml:space="preserve">                    </w:t>
      </w:r>
    </w:p>
    <w:p>
      <w:pPr>
        <w:keepNext w:val="0"/>
        <w:keepLines w:val="0"/>
        <w:pageBreakBefore w:val="0"/>
        <w:kinsoku/>
        <w:wordWrap/>
        <w:overflowPunct/>
        <w:topLinePunct w:val="0"/>
        <w:autoSpaceDE/>
        <w:autoSpaceDN/>
        <w:bidi w:val="0"/>
        <w:adjustRightInd w:val="0"/>
        <w:snapToGrid w:val="0"/>
        <w:spacing w:line="560" w:lineRule="exact"/>
        <w:ind w:left="0" w:leftChars="0" w:firstLine="640"/>
        <w:jc w:val="center"/>
        <w:textAlignment w:val="auto"/>
        <w:outlineLvl w:val="9"/>
        <w:rPr>
          <w:rFonts w:eastAsia="仿宋"/>
          <w:szCs w:val="32"/>
        </w:rPr>
      </w:pPr>
    </w:p>
    <w:p>
      <w:pPr>
        <w:pStyle w:val="4"/>
      </w:pPr>
    </w:p>
    <w:p>
      <w:pPr>
        <w:keepNext w:val="0"/>
        <w:keepLines w:val="0"/>
        <w:pageBreakBefore w:val="0"/>
        <w:kinsoku/>
        <w:wordWrap/>
        <w:overflowPunct/>
        <w:topLinePunct w:val="0"/>
        <w:autoSpaceDE/>
        <w:autoSpaceDN/>
        <w:bidi w:val="0"/>
        <w:adjustRightInd w:val="0"/>
        <w:snapToGrid w:val="0"/>
        <w:spacing w:line="560" w:lineRule="exact"/>
        <w:ind w:left="0" w:leftChars="0" w:firstLine="640"/>
        <w:jc w:val="center"/>
        <w:textAlignment w:val="auto"/>
        <w:outlineLvl w:val="9"/>
        <w:rPr>
          <w:rFonts w:eastAsia="仿宋"/>
          <w:szCs w:val="32"/>
        </w:rPr>
      </w:pPr>
      <w:r>
        <w:rPr>
          <w:rFonts w:eastAsia="仿宋"/>
          <w:szCs w:val="32"/>
        </w:rPr>
        <w:t xml:space="preserve">                           鄂尔多斯市生态环境局</w:t>
      </w:r>
    </w:p>
    <w:p>
      <w:pPr>
        <w:keepNext w:val="0"/>
        <w:keepLines w:val="0"/>
        <w:pageBreakBefore w:val="0"/>
        <w:kinsoku/>
        <w:wordWrap/>
        <w:overflowPunct/>
        <w:topLinePunct w:val="0"/>
        <w:autoSpaceDE/>
        <w:autoSpaceDN/>
        <w:bidi w:val="0"/>
        <w:adjustRightInd w:val="0"/>
        <w:snapToGrid w:val="0"/>
        <w:spacing w:line="560" w:lineRule="exact"/>
        <w:ind w:left="0" w:leftChars="0" w:right="640" w:firstLine="640"/>
        <w:jc w:val="right"/>
        <w:textAlignment w:val="auto"/>
        <w:outlineLvl w:val="9"/>
        <w:rPr>
          <w:rFonts w:eastAsia="仿宋"/>
          <w:szCs w:val="32"/>
        </w:rPr>
      </w:pPr>
      <w:r>
        <w:rPr>
          <w:rFonts w:eastAsia="仿宋"/>
          <w:szCs w:val="32"/>
        </w:rPr>
        <w:t>2022年4月27日</w:t>
      </w:r>
    </w:p>
    <w:p>
      <w:pPr>
        <w:pStyle w:val="8"/>
        <w:spacing w:line="560" w:lineRule="exact"/>
        <w:ind w:left="640" w:hanging="320"/>
        <w:rPr>
          <w:rFonts w:eastAsia="仿宋"/>
          <w:szCs w:val="32"/>
        </w:rPr>
      </w:pPr>
    </w:p>
    <w:p>
      <w:pPr>
        <w:spacing w:line="560" w:lineRule="exact"/>
        <w:ind w:firstLine="640"/>
        <w:rPr>
          <w:rFonts w:eastAsia="仿宋"/>
          <w:szCs w:val="32"/>
        </w:rPr>
      </w:pPr>
    </w:p>
    <w:p>
      <w:pPr>
        <w:pStyle w:val="8"/>
        <w:spacing w:line="560" w:lineRule="exact"/>
        <w:ind w:left="640" w:hanging="320"/>
        <w:rPr>
          <w:rFonts w:eastAsia="仿宋"/>
          <w:szCs w:val="32"/>
        </w:rPr>
      </w:pPr>
    </w:p>
    <w:p>
      <w:pPr>
        <w:spacing w:line="560" w:lineRule="exact"/>
        <w:ind w:firstLine="640"/>
        <w:rPr>
          <w:rFonts w:eastAsia="仿宋"/>
          <w:szCs w:val="32"/>
        </w:rPr>
      </w:pPr>
      <w:bookmarkStart w:id="2" w:name="_GoBack"/>
    </w:p>
    <w:bookmarkEnd w:id="2"/>
    <w:p>
      <w:pPr>
        <w:pStyle w:val="8"/>
        <w:spacing w:line="560" w:lineRule="exact"/>
        <w:ind w:left="640" w:hanging="320"/>
        <w:rPr>
          <w:rFonts w:eastAsia="仿宋"/>
          <w:szCs w:val="32"/>
        </w:rPr>
      </w:pPr>
    </w:p>
    <w:p>
      <w:pPr>
        <w:ind w:firstLine="640"/>
        <w:rPr>
          <w:rFonts w:eastAsia="仿宋"/>
          <w:szCs w:val="32"/>
        </w:rPr>
      </w:pPr>
    </w:p>
    <w:p>
      <w:pPr>
        <w:pStyle w:val="8"/>
        <w:ind w:left="640" w:hanging="320"/>
        <w:rPr>
          <w:rFonts w:eastAsia="仿宋"/>
          <w:szCs w:val="32"/>
        </w:rPr>
      </w:pPr>
    </w:p>
    <w:p>
      <w:pPr>
        <w:ind w:firstLine="640"/>
        <w:rPr>
          <w:rFonts w:eastAsia="仿宋"/>
          <w:szCs w:val="32"/>
        </w:rPr>
      </w:pPr>
    </w:p>
    <w:p>
      <w:pPr>
        <w:pStyle w:val="8"/>
        <w:ind w:left="640" w:hanging="320"/>
        <w:rPr>
          <w:rFonts w:eastAsia="仿宋"/>
          <w:szCs w:val="32"/>
        </w:rPr>
      </w:pPr>
    </w:p>
    <w:p>
      <w:pPr>
        <w:ind w:firstLine="640"/>
        <w:rPr>
          <w:rFonts w:eastAsia="仿宋"/>
          <w:szCs w:val="32"/>
        </w:rPr>
      </w:pPr>
    </w:p>
    <w:p>
      <w:pPr>
        <w:pStyle w:val="8"/>
        <w:ind w:left="640" w:hanging="320"/>
        <w:rPr>
          <w:rFonts w:eastAsia="仿宋"/>
          <w:szCs w:val="32"/>
        </w:rPr>
      </w:pPr>
    </w:p>
    <w:p>
      <w:pPr>
        <w:ind w:firstLine="640"/>
        <w:rPr>
          <w:rFonts w:eastAsia="仿宋"/>
          <w:szCs w:val="32"/>
        </w:rPr>
      </w:pPr>
    </w:p>
    <w:p>
      <w:pPr>
        <w:pStyle w:val="8"/>
        <w:ind w:left="640" w:hanging="320"/>
        <w:rPr>
          <w:rFonts w:eastAsia="仿宋"/>
          <w:szCs w:val="32"/>
        </w:rPr>
      </w:pPr>
    </w:p>
    <w:p>
      <w:pPr>
        <w:ind w:firstLine="640"/>
        <w:rPr>
          <w:rFonts w:eastAsia="仿宋"/>
          <w:szCs w:val="32"/>
        </w:rPr>
      </w:pPr>
    </w:p>
    <w:p>
      <w:pPr>
        <w:pStyle w:val="8"/>
        <w:ind w:left="640" w:hanging="320"/>
        <w:rPr>
          <w:rFonts w:eastAsia="仿宋"/>
          <w:szCs w:val="32"/>
        </w:rPr>
      </w:pPr>
    </w:p>
    <w:p>
      <w:pPr>
        <w:ind w:firstLine="640"/>
        <w:rPr>
          <w:rFonts w:eastAsia="仿宋"/>
          <w:szCs w:val="32"/>
        </w:rPr>
      </w:pPr>
    </w:p>
    <w:p>
      <w:pPr>
        <w:ind w:firstLine="0" w:firstLineChars="0"/>
        <w:rPr>
          <w:rFonts w:eastAsia="宋体"/>
          <w:sz w:val="24"/>
        </w:rPr>
      </w:pPr>
    </w:p>
    <w:p>
      <w:pPr>
        <w:pStyle w:val="4"/>
        <w:ind w:firstLine="480"/>
        <w:rPr>
          <w:sz w:val="24"/>
        </w:rPr>
      </w:pPr>
    </w:p>
    <w:p>
      <w:pPr>
        <w:ind w:firstLine="480"/>
        <w:rPr>
          <w:rFonts w:eastAsia="宋体"/>
          <w:sz w:val="24"/>
        </w:rPr>
      </w:pPr>
    </w:p>
    <w:p>
      <w:pPr>
        <w:pStyle w:val="4"/>
        <w:ind w:firstLine="480"/>
        <w:rPr>
          <w:sz w:val="24"/>
        </w:rPr>
      </w:pPr>
    </w:p>
    <w:p>
      <w:pPr>
        <w:ind w:firstLine="480"/>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rPr>
          <w:rFonts w:eastAsia="宋体"/>
          <w:sz w:val="24"/>
        </w:rPr>
      </w:pPr>
    </w:p>
    <w:p>
      <w:pPr>
        <w:pStyle w:val="4"/>
        <w:rPr>
          <w:rFonts w:eastAsia="宋体"/>
          <w:sz w:val="24"/>
        </w:rPr>
      </w:pPr>
    </w:p>
    <w:p>
      <w:pPr>
        <w:ind w:left="0" w:leftChars="0" w:firstLine="0" w:firstLineChars="0"/>
      </w:pPr>
    </w:p>
    <w:p>
      <w:pPr>
        <w:pStyle w:val="4"/>
        <w:ind w:firstLine="480"/>
        <w:rPr>
          <w:sz w:val="24"/>
        </w:rPr>
      </w:pPr>
    </w:p>
    <w:p>
      <w:pPr>
        <w:spacing w:line="400" w:lineRule="exact"/>
        <w:ind w:firstLine="0" w:firstLineChars="0"/>
        <w:rPr>
          <w:rFonts w:eastAsia="仿宋"/>
          <w:sz w:val="28"/>
          <w:szCs w:val="28"/>
        </w:rPr>
      </w:pPr>
      <w:r>
        <w:rPr>
          <w:rFonts w:eastAsia="仿宋"/>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m2277UAAAABAEAAA8AAAAAAAAAAQAgAAAAIgAA&#10;AGRycy9kb3ducmV2LnhtbFBLAQIUABQAAAAIAIdO4kBgBvXL0wEAAIwDAAAOAAAAAAAAAAEAIAAA&#10;ACMBAABkcnMvZTJvRG9jLnhtbFBLBQYAAAAABgAGAFkBAABoBQAAAAA=&#10;">
                <v:fill on="f" focussize="0,0"/>
                <v:stroke color="#000000" joinstyle="round"/>
                <v:imagedata o:title=""/>
                <o:lock v:ext="edit" aspectratio="f"/>
              </v:line>
            </w:pict>
          </mc:Fallback>
        </mc:AlternateContent>
      </w:r>
      <w:r>
        <w:rPr>
          <w:rFonts w:eastAsia="仿宋"/>
          <w:sz w:val="28"/>
          <w:szCs w:val="28"/>
        </w:rPr>
        <w:t>抄送：鄂尔多斯市生态环境局鄂托克旗分局，</w:t>
      </w:r>
      <w:r>
        <w:rPr>
          <w:rFonts w:hint="eastAsia" w:eastAsia="仿宋"/>
          <w:sz w:val="28"/>
          <w:szCs w:val="28"/>
        </w:rPr>
        <w:t>鄂托克经济开发区环境保护局</w:t>
      </w:r>
      <w:r>
        <w:rPr>
          <w:rFonts w:eastAsia="仿宋"/>
          <w:sz w:val="28"/>
          <w:szCs w:val="28"/>
        </w:rPr>
        <w:t>，市生态环境综合行政执法支队，</w:t>
      </w:r>
      <w:r>
        <w:rPr>
          <w:rFonts w:hint="eastAsia" w:eastAsia="仿宋"/>
          <w:sz w:val="28"/>
          <w:szCs w:val="28"/>
        </w:rPr>
        <w:t>内蒙古哈立斯环境科技有限公司</w:t>
      </w:r>
      <w:r>
        <w:rPr>
          <w:rFonts w:eastAsia="仿宋"/>
          <w:sz w:val="28"/>
          <w:szCs w:val="28"/>
        </w:rPr>
        <w:t>，市生态环境局综合保障中心。</w:t>
      </w:r>
    </w:p>
    <w:p>
      <w:pPr>
        <w:spacing w:line="400" w:lineRule="exact"/>
        <w:ind w:firstLine="0" w:firstLineChars="0"/>
      </w:pPr>
      <w:r>
        <w:rPr>
          <w:rFonts w:eastAsia="仿宋"/>
          <w:sz w:val="28"/>
          <w:szCs w:val="28"/>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297180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65pt;margin-top:23.4pt;height:0.05pt;width:447.85pt;z-index:251661312;mso-width-relative:page;mso-height-relative:page;" filled="f" stroked="t" coordsize="21600,21600" o:gfxdata="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mbXwNUAAAAHAQAADwAAAAAAAAABACAAAAAiAAAA&#10;ZHJzL2Rvd25yZXYueG1sUEsBAhQAFAAAAAgAh07iQI4oqXTRAQAAjAMAAA4AAAAAAAAAAQAgAAAA&#10;JAEAAGRycy9lMm9Eb2MueG1sUEsFBgAAAAAGAAYAWQEAAGcFAAAAAA==&#10;">
                <v:fill on="f" focussize="0,0"/>
                <v:stroke color="#000000" joinstyle="round"/>
                <v:imagedata o:title=""/>
                <o:lock v:ext="edit" aspectratio="f"/>
              </v:line>
            </w:pict>
          </mc:Fallback>
        </mc:AlternateContent>
      </w:r>
      <w:r>
        <w:rPr>
          <w:rFonts w:eastAsia="仿宋"/>
          <w:sz w:val="28"/>
          <w:szCs w:val="28"/>
        </w:rPr>
        <w:t>鄂尔多斯市生态环境局                        2022年4月27日印发</w:t>
      </w:r>
      <w:r>
        <w:rPr>
          <w:rFonts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HdblKnTAAAABAEAAA8AAAAAAAAAAQAgAAAAIgAAAGRy&#10;cy9kb3ducmV2LnhtbFBLAQIUABQAAAAIAIdO4kAFHu4X0QEAAIwDAAAOAAAAAAAAAAEAIAAAACIB&#10;AABkcnMvZTJvRG9jLnhtbFBLBQYAAAAABgAGAFkBAABlBQAAAAA=&#10;">
                <v:fill on="f" focussize="0,0"/>
                <v:stroke color="#000000" joinstyle="round"/>
                <v:imagedata o:title=""/>
                <o:lock v:ext="edit" aspectratio="f"/>
              </v:line>
            </w:pict>
          </mc:Fallback>
        </mc:AlternateConten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588"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等线">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宋三简体">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Arial Narrow">
    <w:altName w:val="Arial"/>
    <w:panose1 w:val="020B0606020202030204"/>
    <w:charset w:val="00"/>
    <w:family w:val="swiss"/>
    <w:pitch w:val="default"/>
    <w:sig w:usb0="00000000" w:usb1="00000000" w:usb2="00000000" w:usb3="00000000" w:csb0="000000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jc w:val="right"/>
      <w:rPr>
        <w:rFonts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rPr>
      <w:t>-</w:t>
    </w:r>
    <w:r>
      <w:rPr>
        <w:rFonts w:ascii="宋体"/>
        <w:sz w:val="28"/>
        <w:szCs w:val="28"/>
      </w:rPr>
      <w:t xml:space="preserve"> 7 -</w:t>
    </w:r>
    <w:r>
      <w:rPr>
        <w:rFonts w:hint="eastAsia" w:asci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rPr>
        <w:rFonts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rPr>
      <w:t>-</w:t>
    </w:r>
    <w:r>
      <w:rPr>
        <w:rFonts w:ascii="宋体"/>
        <w:sz w:val="28"/>
        <w:szCs w:val="28"/>
      </w:rPr>
      <w:t xml:space="preserve"> 6 -</w:t>
    </w:r>
    <w:r>
      <w:rPr>
        <w:rFonts w:hint="eastAsia" w:asci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75086"/>
    <w:rsid w:val="000B1A31"/>
    <w:rsid w:val="000D19DB"/>
    <w:rsid w:val="00196AB6"/>
    <w:rsid w:val="002924A9"/>
    <w:rsid w:val="00352740"/>
    <w:rsid w:val="003D516A"/>
    <w:rsid w:val="00413CBD"/>
    <w:rsid w:val="00531BA5"/>
    <w:rsid w:val="00557050"/>
    <w:rsid w:val="00702297"/>
    <w:rsid w:val="008744DB"/>
    <w:rsid w:val="00A20B18"/>
    <w:rsid w:val="00A804CC"/>
    <w:rsid w:val="00AE5E0D"/>
    <w:rsid w:val="00B54640"/>
    <w:rsid w:val="00C40CD4"/>
    <w:rsid w:val="00D85321"/>
    <w:rsid w:val="00DD19A0"/>
    <w:rsid w:val="04EB661E"/>
    <w:rsid w:val="154A2EDB"/>
    <w:rsid w:val="178B1627"/>
    <w:rsid w:val="28575086"/>
    <w:rsid w:val="39D23965"/>
    <w:rsid w:val="42397859"/>
    <w:rsid w:val="79397D67"/>
    <w:rsid w:val="79A62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unhideWhenUsed/>
    <w:uiPriority w:val="1"/>
  </w:style>
  <w:style w:type="table" w:default="1" w:styleId="10">
    <w:name w:val="Normal Table"/>
    <w:unhideWhenUsed/>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rPr>
      <w:rFonts w:eastAsia="宋体"/>
    </w:rPr>
  </w:style>
  <w:style w:type="paragraph" w:styleId="3">
    <w:name w:val="Body Text Indent"/>
    <w:basedOn w:val="1"/>
    <w:next w:val="1"/>
    <w:qFormat/>
    <w:uiPriority w:val="0"/>
    <w:pPr>
      <w:keepNext/>
      <w:spacing w:line="360" w:lineRule="auto"/>
    </w:pPr>
    <w:rPr>
      <w:rFonts w:eastAsia="宋体"/>
      <w:sz w:val="24"/>
    </w:rPr>
  </w:style>
  <w:style w:type="paragraph" w:styleId="4">
    <w:name w:val="Body Text First Indent"/>
    <w:basedOn w:val="2"/>
    <w:next w:val="1"/>
    <w:qFormat/>
    <w:uiPriority w:val="0"/>
    <w:pPr>
      <w:ind w:firstLine="420"/>
    </w:pPr>
  </w:style>
  <w:style w:type="paragraph" w:styleId="5">
    <w:name w:val="footer"/>
    <w:basedOn w:val="1"/>
    <w:qFormat/>
    <w:uiPriority w:val="0"/>
    <w:pPr>
      <w:tabs>
        <w:tab w:val="center" w:pos="4153"/>
        <w:tab w:val="right" w:pos="8306"/>
      </w:tabs>
      <w:snapToGrid w:val="0"/>
      <w:jc w:val="left"/>
    </w:pPr>
    <w:rPr>
      <w:rFonts w:eastAsia="宋体"/>
      <w:sz w:val="18"/>
      <w:szCs w:val="18"/>
    </w:rPr>
  </w:style>
  <w:style w:type="paragraph" w:styleId="6">
    <w:name w:val="Body Text First Indent 2"/>
    <w:basedOn w:val="3"/>
    <w:next w:val="1"/>
    <w:qFormat/>
    <w:uiPriority w:val="0"/>
    <w:pPr>
      <w:spacing w:line="440" w:lineRule="exact"/>
      <w:ind w:firstLine="420"/>
    </w:pPr>
  </w:style>
  <w:style w:type="paragraph" w:styleId="7">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8">
    <w:name w:val="toc 2"/>
    <w:basedOn w:val="1"/>
    <w:next w:val="1"/>
    <w:qFormat/>
    <w:uiPriority w:val="0"/>
    <w:pPr>
      <w:tabs>
        <w:tab w:val="right" w:leader="dot" w:pos="8494"/>
      </w:tabs>
      <w:spacing w:line="360" w:lineRule="auto"/>
      <w:ind w:left="420" w:leftChars="100" w:hanging="210" w:hangingChars="100"/>
    </w:pPr>
    <w:rPr>
      <w:rFonts w:eastAsia="宋体"/>
    </w:rPr>
  </w:style>
  <w:style w:type="paragraph" w:customStyle="1" w:styleId="11">
    <w:name w:val="电石"/>
    <w:basedOn w:val="12"/>
    <w:qFormat/>
    <w:uiPriority w:val="0"/>
    <w:rPr>
      <w:rFonts w:ascii="Times New Roman" w:hAnsi="Times New Roman" w:cs="宋体"/>
      <w:szCs w:val="20"/>
    </w:rPr>
  </w:style>
  <w:style w:type="paragraph" w:customStyle="1" w:styleId="12">
    <w:name w:val="正文样式1"/>
    <w:basedOn w:val="1"/>
    <w:qFormat/>
    <w:uiPriority w:val="0"/>
    <w:pPr>
      <w:widowControl/>
      <w:spacing w:line="360" w:lineRule="auto"/>
      <w:ind w:firstLine="480"/>
    </w:pPr>
    <w:rPr>
      <w:rFonts w:ascii="宋体" w:hAnsi="Courier New" w:eastAsia="宋体"/>
      <w:kern w:val="0"/>
      <w:sz w:val="24"/>
    </w:rPr>
  </w:style>
  <w:style w:type="paragraph" w:customStyle="1" w:styleId="13">
    <w:name w:val="1正文"/>
    <w:basedOn w:val="1"/>
    <w:qFormat/>
    <w:uiPriority w:val="0"/>
    <w:pPr>
      <w:spacing w:line="360" w:lineRule="auto"/>
      <w:ind w:firstLine="198"/>
    </w:pPr>
    <w:rPr>
      <w:rFonts w:eastAsia="宋体"/>
      <w:sz w:val="24"/>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345</Words>
  <Characters>1968</Characters>
  <Lines>16</Lines>
  <Paragraphs>4</Paragraphs>
  <ScaleCrop>false</ScaleCrop>
  <LinksUpToDate>false</LinksUpToDate>
  <CharactersWithSpaces>2309</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2022-04-27T22:35:00Z</dcterms:created>
  <dc:creator>闫建成</dc:creator>
  <cp:lastModifiedBy>刘海龙(协办科室内部运转)</cp:lastModifiedBy>
  <cp:lastPrinted>2022-05-05T03:13:00Z</cp:lastPrinted>
  <dcterms:modified xsi:type="dcterms:W3CDTF">2022-05-05T03:36:25Z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93134F61A2E94270860A9A1034F500CF</vt:lpwstr>
  </property>
</Properties>
</file>