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640"/>
        <w:rPr>
          <w:rStyle w:val="10"/>
          <w:rFonts w:eastAsia="仿宋"/>
          <w:sz w:val="32"/>
        </w:rPr>
      </w:pPr>
    </w:p>
    <w:p>
      <w:pPr>
        <w:tabs>
          <w:tab w:val="left" w:pos="8280"/>
        </w:tabs>
        <w:spacing w:line="540" w:lineRule="exact"/>
        <w:ind w:right="26" w:firstLine="5120" w:firstLineChars="1600"/>
        <w:rPr>
          <w:rStyle w:val="10"/>
          <w:rFonts w:eastAsia="仿宋"/>
          <w:sz w:val="32"/>
        </w:rPr>
      </w:pPr>
    </w:p>
    <w:p>
      <w:pPr>
        <w:tabs>
          <w:tab w:val="left" w:pos="8280"/>
        </w:tabs>
        <w:spacing w:line="540" w:lineRule="exact"/>
        <w:ind w:right="26" w:firstLine="5120" w:firstLineChars="1600"/>
        <w:rPr>
          <w:rStyle w:val="10"/>
          <w:rFonts w:eastAsia="仿宋"/>
          <w:sz w:val="32"/>
        </w:rPr>
      </w:pPr>
    </w:p>
    <w:p>
      <w:pPr>
        <w:tabs>
          <w:tab w:val="left" w:pos="8280"/>
        </w:tabs>
        <w:spacing w:line="540" w:lineRule="exact"/>
        <w:ind w:right="26" w:firstLine="5120" w:firstLineChars="1600"/>
        <w:rPr>
          <w:rStyle w:val="10"/>
          <w:rFonts w:eastAsia="仿宋"/>
          <w:sz w:val="32"/>
        </w:rPr>
      </w:pPr>
    </w:p>
    <w:p>
      <w:pPr>
        <w:tabs>
          <w:tab w:val="left" w:pos="8280"/>
        </w:tabs>
        <w:spacing w:line="540" w:lineRule="exact"/>
        <w:ind w:right="26" w:firstLine="5120" w:firstLineChars="1600"/>
        <w:rPr>
          <w:rStyle w:val="10"/>
          <w:rFonts w:eastAsia="仿宋"/>
          <w:sz w:val="32"/>
        </w:rPr>
      </w:pPr>
    </w:p>
    <w:p>
      <w:pPr>
        <w:tabs>
          <w:tab w:val="left" w:pos="8280"/>
        </w:tabs>
        <w:spacing w:line="540" w:lineRule="exact"/>
        <w:ind w:right="26" w:firstLine="5120" w:firstLineChars="1600"/>
        <w:rPr>
          <w:rStyle w:val="10"/>
          <w:rFonts w:eastAsia="仿宋"/>
          <w:sz w:val="32"/>
        </w:rPr>
      </w:pPr>
    </w:p>
    <w:p>
      <w:pPr>
        <w:tabs>
          <w:tab w:val="left" w:pos="8280"/>
        </w:tabs>
        <w:spacing w:line="540" w:lineRule="exact"/>
        <w:ind w:right="26" w:firstLine="5120" w:firstLineChars="1600"/>
        <w:rPr>
          <w:rStyle w:val="10"/>
          <w:rFonts w:eastAsia="仿宋"/>
          <w:sz w:val="32"/>
        </w:rPr>
      </w:pPr>
    </w:p>
    <w:p>
      <w:pPr>
        <w:tabs>
          <w:tab w:val="left" w:pos="8280"/>
        </w:tabs>
        <w:spacing w:line="540" w:lineRule="exact"/>
        <w:ind w:right="26" w:firstLine="5120" w:firstLineChars="1600"/>
        <w:rPr>
          <w:rStyle w:val="10"/>
          <w:rFonts w:eastAsia="仿宋"/>
          <w:sz w:val="32"/>
        </w:rPr>
      </w:pPr>
    </w:p>
    <w:p>
      <w:pPr>
        <w:tabs>
          <w:tab w:val="left" w:pos="8280"/>
        </w:tabs>
        <w:spacing w:line="540" w:lineRule="exact"/>
        <w:ind w:right="26" w:firstLine="5120" w:firstLineChars="1600"/>
        <w:rPr>
          <w:rStyle w:val="10"/>
          <w:rFonts w:eastAsia="仿宋"/>
          <w:sz w:val="32"/>
        </w:rPr>
      </w:pPr>
    </w:p>
    <w:p>
      <w:pPr>
        <w:tabs>
          <w:tab w:val="left" w:pos="8280"/>
        </w:tabs>
        <w:spacing w:line="540" w:lineRule="exact"/>
        <w:ind w:right="26" w:firstLine="5120" w:firstLineChars="1600"/>
        <w:rPr>
          <w:rStyle w:val="10"/>
          <w:rFonts w:eastAsia="仿宋"/>
          <w:sz w:val="32"/>
        </w:rPr>
      </w:pPr>
    </w:p>
    <w:p>
      <w:pPr>
        <w:keepNext w:val="0"/>
        <w:keepLines w:val="0"/>
        <w:pageBreakBefore w:val="0"/>
        <w:widowControl/>
        <w:tabs>
          <w:tab w:val="left" w:pos="8280"/>
        </w:tabs>
        <w:kinsoku/>
        <w:wordWrap/>
        <w:overflowPunct/>
        <w:topLinePunct w:val="0"/>
        <w:autoSpaceDE/>
        <w:autoSpaceDN/>
        <w:bidi w:val="0"/>
        <w:adjustRightInd/>
        <w:snapToGrid/>
        <w:spacing w:line="540" w:lineRule="exact"/>
        <w:ind w:left="0" w:leftChars="0" w:right="26" w:firstLineChars="0"/>
        <w:jc w:val="center"/>
        <w:textAlignment w:val="baseline"/>
        <w:outlineLvl w:val="9"/>
        <w:rPr>
          <w:rStyle w:val="10"/>
          <w:rFonts w:eastAsia="仿宋_GB2312"/>
          <w:sz w:val="32"/>
        </w:rPr>
      </w:pPr>
      <w:r>
        <w:rPr>
          <w:rStyle w:val="10"/>
          <w:rFonts w:eastAsia="仿宋_GB2312"/>
          <w:sz w:val="32"/>
        </w:rPr>
        <w:t>鄂环审字</w:t>
      </w:r>
      <w:bookmarkStart w:id="0" w:name="_Hlk101688460"/>
      <w:r>
        <w:rPr>
          <w:highlight w:val="white"/>
        </w:rPr>
        <w:t>〔2022〕</w:t>
      </w:r>
      <w:bookmarkEnd w:id="0"/>
      <w:r>
        <w:rPr>
          <w:highlight w:val="white"/>
        </w:rPr>
        <w:t>159号</w:t>
      </w:r>
    </w:p>
    <w:p>
      <w:pPr>
        <w:keepNext w:val="0"/>
        <w:keepLines w:val="0"/>
        <w:pageBreakBefore w:val="0"/>
        <w:widowControl/>
        <w:tabs>
          <w:tab w:val="left" w:pos="6780"/>
        </w:tabs>
        <w:kinsoku/>
        <w:wordWrap/>
        <w:overflowPunct/>
        <w:topLinePunct w:val="0"/>
        <w:autoSpaceDE/>
        <w:autoSpaceDN/>
        <w:bidi w:val="0"/>
        <w:adjustRightInd/>
        <w:snapToGrid/>
        <w:spacing w:line="540" w:lineRule="exact"/>
        <w:ind w:left="0" w:leftChars="0" w:firstLineChars="0"/>
        <w:textAlignment w:val="baseline"/>
        <w:outlineLvl w:val="9"/>
        <w:rPr>
          <w:rStyle w:val="10"/>
          <w:rFonts w:eastAsia="方正小标宋简体"/>
          <w:sz w:val="44"/>
          <w:szCs w:val="44"/>
        </w:rPr>
      </w:pPr>
      <w:r>
        <w:rPr>
          <w:rStyle w:val="10"/>
          <w:rFonts w:eastAsia="仿宋"/>
          <w:sz w:val="32"/>
        </w:rPr>
        <w:tab/>
      </w: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jc w:val="center"/>
        <w:textAlignment w:val="baseline"/>
        <w:outlineLvl w:val="9"/>
        <w:rPr>
          <w:rStyle w:val="10"/>
          <w:b/>
          <w:w w:val="95"/>
          <w:sz w:val="44"/>
          <w:szCs w:val="44"/>
        </w:rPr>
      </w:pPr>
      <w:r>
        <w:rPr>
          <w:rStyle w:val="10"/>
          <w:b/>
          <w:w w:val="95"/>
          <w:sz w:val="44"/>
          <w:szCs w:val="44"/>
        </w:rPr>
        <w:t>鄂尔多斯市生态环境局关于内蒙古蒙西煤炭有限责任公司洗煤分公司150万吨/年重介选煤厂</w:t>
      </w: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jc w:val="center"/>
        <w:textAlignment w:val="baseline"/>
        <w:outlineLvl w:val="9"/>
        <w:rPr>
          <w:rStyle w:val="10"/>
          <w:b/>
          <w:w w:val="95"/>
          <w:sz w:val="44"/>
          <w:szCs w:val="44"/>
        </w:rPr>
      </w:pPr>
      <w:r>
        <w:rPr>
          <w:rStyle w:val="10"/>
          <w:b/>
          <w:w w:val="95"/>
          <w:sz w:val="44"/>
          <w:szCs w:val="44"/>
        </w:rPr>
        <w:t>技术改造项目环境影响报告表的批复</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
          <w:sz w:val="32"/>
        </w:rPr>
      </w:pPr>
    </w:p>
    <w:p>
      <w:pPr>
        <w:keepNext w:val="0"/>
        <w:keepLines w:val="0"/>
        <w:pageBreakBefore w:val="0"/>
        <w:widowControl/>
        <w:kinsoku/>
        <w:wordWrap/>
        <w:overflowPunct/>
        <w:topLinePunct w:val="0"/>
        <w:autoSpaceDE/>
        <w:autoSpaceDN/>
        <w:bidi w:val="0"/>
        <w:adjustRightInd/>
        <w:snapToGrid/>
        <w:spacing w:line="540" w:lineRule="exact"/>
        <w:ind w:left="0" w:leftChars="0" w:firstLine="0" w:firstLineChars="0"/>
        <w:textAlignment w:val="baseline"/>
        <w:outlineLvl w:val="9"/>
        <w:rPr>
          <w:rStyle w:val="10"/>
          <w:rFonts w:eastAsia="仿宋"/>
          <w:color w:val="000000"/>
          <w:sz w:val="32"/>
          <w:szCs w:val="32"/>
        </w:rPr>
      </w:pPr>
      <w:r>
        <w:rPr>
          <w:rStyle w:val="10"/>
          <w:rFonts w:eastAsia="仿宋"/>
          <w:sz w:val="32"/>
          <w:szCs w:val="32"/>
        </w:rPr>
        <w:t>内蒙古蒙西煤炭有限责任公司洗煤分公司</w:t>
      </w:r>
      <w:r>
        <w:rPr>
          <w:rStyle w:val="10"/>
          <w:rFonts w:eastAsia="仿宋"/>
          <w:color w:val="000000"/>
          <w:sz w:val="32"/>
          <w:szCs w:val="32"/>
        </w:rPr>
        <w:t>：</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
          <w:sz w:val="32"/>
          <w:szCs w:val="32"/>
        </w:rPr>
      </w:pPr>
      <w:r>
        <w:rPr>
          <w:rStyle w:val="10"/>
          <w:rFonts w:eastAsia="仿宋"/>
          <w:color w:val="000000"/>
          <w:sz w:val="32"/>
          <w:szCs w:val="32"/>
        </w:rPr>
        <w:t>你公司报送的由内蒙</w:t>
      </w:r>
      <w:r>
        <w:rPr>
          <w:rStyle w:val="10"/>
          <w:rFonts w:eastAsia="仿宋"/>
          <w:sz w:val="32"/>
          <w:szCs w:val="32"/>
        </w:rPr>
        <w:t>古新创环境科技有限公司编制的《内蒙古蒙西煤炭有限责任公司洗煤分公司150万吨/年重介选煤厂技术改造项目环境影响报告表》（以下简称《报告表</w:t>
      </w:r>
      <w:r>
        <w:rPr>
          <w:rStyle w:val="10"/>
          <w:rFonts w:eastAsia="仿宋"/>
          <w:color w:val="000000"/>
          <w:sz w:val="32"/>
          <w:szCs w:val="32"/>
        </w:rPr>
        <w:t>》）收悉，经研究，</w:t>
      </w:r>
      <w:r>
        <w:rPr>
          <w:rStyle w:val="10"/>
          <w:rFonts w:eastAsia="仿宋"/>
          <w:sz w:val="32"/>
          <w:szCs w:val="32"/>
        </w:rPr>
        <w:t>现批复如下：</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
          <w:color w:val="000000"/>
          <w:sz w:val="32"/>
          <w:szCs w:val="32"/>
        </w:rPr>
      </w:pPr>
      <w:r>
        <w:rPr>
          <w:rStyle w:val="10"/>
          <w:rFonts w:eastAsia="仿宋"/>
          <w:color w:val="000000"/>
          <w:sz w:val="32"/>
          <w:szCs w:val="32"/>
        </w:rPr>
        <w:t>一、本</w:t>
      </w:r>
      <w:r>
        <w:rPr>
          <w:rStyle w:val="10"/>
          <w:rFonts w:hint="eastAsia" w:eastAsia="仿宋"/>
          <w:color w:val="000000"/>
          <w:sz w:val="32"/>
          <w:szCs w:val="32"/>
        </w:rPr>
        <w:t>技术改造</w:t>
      </w:r>
      <w:r>
        <w:rPr>
          <w:rStyle w:val="10"/>
          <w:rFonts w:eastAsia="仿宋"/>
          <w:color w:val="000000"/>
          <w:sz w:val="32"/>
          <w:szCs w:val="32"/>
        </w:rPr>
        <w:t>项目位于鄂尔多斯市鄂托克旗棋盘井镇乌仁都西嘎查蒙西煤矿矿区。</w:t>
      </w:r>
      <w:r>
        <w:rPr>
          <w:rStyle w:val="10"/>
          <w:rFonts w:hint="eastAsia" w:eastAsia="仿宋"/>
          <w:color w:val="000000"/>
          <w:sz w:val="32"/>
          <w:szCs w:val="32"/>
        </w:rPr>
        <w:t>《内蒙古蒙西煤炭有限责任公司洗煤分公司150万吨/年重介选煤厂变更项目环境影响报告表》于2017年9月4日由原鄂尔多斯市环境保护局进行了批复（鄂环评字〔20</w:t>
      </w:r>
      <w:r>
        <w:rPr>
          <w:rStyle w:val="10"/>
          <w:rFonts w:eastAsia="仿宋"/>
          <w:color w:val="000000"/>
          <w:sz w:val="32"/>
          <w:szCs w:val="32"/>
        </w:rPr>
        <w:t>17</w:t>
      </w:r>
      <w:r>
        <w:rPr>
          <w:rStyle w:val="10"/>
          <w:rFonts w:hint="eastAsia" w:eastAsia="仿宋"/>
          <w:color w:val="000000"/>
          <w:sz w:val="32"/>
          <w:szCs w:val="32"/>
        </w:rPr>
        <w:t>〕112号）</w:t>
      </w:r>
      <w:r>
        <w:rPr>
          <w:rStyle w:val="10"/>
          <w:rFonts w:eastAsia="仿宋"/>
          <w:color w:val="000000"/>
          <w:sz w:val="32"/>
          <w:szCs w:val="32"/>
        </w:rPr>
        <w:t>。技术改造</w:t>
      </w:r>
      <w:r>
        <w:rPr>
          <w:rStyle w:val="10"/>
          <w:rFonts w:hint="eastAsia" w:eastAsia="仿宋"/>
          <w:color w:val="000000"/>
          <w:sz w:val="32"/>
          <w:szCs w:val="32"/>
        </w:rPr>
        <w:t>后，</w:t>
      </w:r>
      <w:r>
        <w:rPr>
          <w:rStyle w:val="10"/>
          <w:rFonts w:eastAsia="仿宋"/>
          <w:color w:val="000000"/>
          <w:sz w:val="32"/>
          <w:szCs w:val="32"/>
        </w:rPr>
        <w:t>主要建设内容包括新建全封闭储煤棚</w:t>
      </w:r>
      <w:r>
        <w:rPr>
          <w:rStyle w:val="10"/>
          <w:rFonts w:hint="eastAsia" w:eastAsia="仿宋"/>
          <w:color w:val="000000"/>
          <w:sz w:val="32"/>
          <w:szCs w:val="32"/>
        </w:rPr>
        <w:t>、</w:t>
      </w:r>
      <w:r>
        <w:rPr>
          <w:rStyle w:val="10"/>
          <w:rFonts w:eastAsia="仿宋"/>
          <w:color w:val="000000"/>
          <w:sz w:val="32"/>
          <w:szCs w:val="32"/>
        </w:rPr>
        <w:t>受煤斗、全封闭带式输送机栈桥、事故池</w:t>
      </w:r>
      <w:r>
        <w:rPr>
          <w:rStyle w:val="10"/>
          <w:rFonts w:hint="eastAsia" w:eastAsia="仿宋"/>
          <w:color w:val="000000"/>
          <w:sz w:val="32"/>
          <w:szCs w:val="32"/>
          <w:lang w:eastAsia="zh-CN"/>
        </w:rPr>
        <w:t>、浓缩池</w:t>
      </w:r>
      <w:r>
        <w:rPr>
          <w:rStyle w:val="10"/>
          <w:rFonts w:hint="eastAsia" w:eastAsia="仿宋"/>
          <w:color w:val="000000"/>
          <w:sz w:val="32"/>
          <w:szCs w:val="32"/>
        </w:rPr>
        <w:t>和</w:t>
      </w:r>
      <w:r>
        <w:rPr>
          <w:rStyle w:val="10"/>
          <w:rFonts w:eastAsia="仿宋"/>
          <w:color w:val="000000"/>
          <w:sz w:val="32"/>
          <w:szCs w:val="32"/>
        </w:rPr>
        <w:t>新建生活污水处理站等</w:t>
      </w:r>
      <w:r>
        <w:rPr>
          <w:rStyle w:val="10"/>
          <w:rFonts w:hint="eastAsia" w:eastAsia="仿宋"/>
          <w:color w:val="000000"/>
          <w:sz w:val="32"/>
          <w:szCs w:val="32"/>
        </w:rPr>
        <w:t>其他公辅工程及环保工程</w:t>
      </w:r>
      <w:r>
        <w:rPr>
          <w:rStyle w:val="10"/>
          <w:rFonts w:eastAsia="仿宋"/>
          <w:color w:val="000000"/>
          <w:sz w:val="32"/>
          <w:szCs w:val="32"/>
        </w:rPr>
        <w:t>，</w:t>
      </w:r>
      <w:r>
        <w:rPr>
          <w:rStyle w:val="10"/>
          <w:rFonts w:hint="eastAsia" w:eastAsia="仿宋"/>
          <w:color w:val="000000"/>
          <w:sz w:val="32"/>
          <w:szCs w:val="32"/>
          <w:lang w:eastAsia="zh-CN"/>
        </w:rPr>
        <w:t>同时</w:t>
      </w:r>
      <w:r>
        <w:rPr>
          <w:rStyle w:val="10"/>
          <w:rFonts w:eastAsia="仿宋"/>
          <w:color w:val="000000"/>
          <w:sz w:val="32"/>
          <w:szCs w:val="32"/>
        </w:rPr>
        <w:t>对原选煤厂生产系统</w:t>
      </w:r>
      <w:r>
        <w:rPr>
          <w:rStyle w:val="10"/>
          <w:rFonts w:hint="eastAsia" w:eastAsia="仿宋"/>
          <w:color w:val="000000"/>
          <w:sz w:val="32"/>
          <w:szCs w:val="32"/>
          <w:lang w:eastAsia="zh-CN"/>
        </w:rPr>
        <w:t>、公辅工程、环保工程等进行改造</w:t>
      </w:r>
      <w:r>
        <w:rPr>
          <w:rStyle w:val="10"/>
          <w:rFonts w:eastAsia="仿宋"/>
          <w:color w:val="000000"/>
          <w:sz w:val="32"/>
          <w:szCs w:val="32"/>
        </w:rPr>
        <w:t>，生产能力由1.50Mt/a提升至3.0Mt/a。</w:t>
      </w:r>
      <w:r>
        <w:rPr>
          <w:rStyle w:val="10"/>
          <w:rFonts w:eastAsia="仿宋"/>
          <w:sz w:val="32"/>
          <w:szCs w:val="32"/>
        </w:rPr>
        <w:t>项目总投资2160万元，其中环保投资为270.8万元。</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_GB2312"/>
          <w:color w:val="000000"/>
          <w:sz w:val="32"/>
          <w:szCs w:val="32"/>
        </w:rPr>
      </w:pPr>
      <w:r>
        <w:rPr>
          <w:rStyle w:val="10"/>
          <w:rFonts w:eastAsia="仿宋_GB2312"/>
          <w:color w:val="000000"/>
          <w:sz w:val="32"/>
          <w:szCs w:val="32"/>
        </w:rPr>
        <w:t>《报告表》认为，在全面落实各项生态环境保护和环境污染防治措施的前提下，项目建设对环境的不利影响能够得到一定的缓解和控制。因此，我局原则同意你公司按照《报告表》中所列的建设项目性质、规模、地点、环境保护措施进行建设。</w:t>
      </w:r>
    </w:p>
    <w:p>
      <w:pPr>
        <w:keepNext w:val="0"/>
        <w:keepLines w:val="0"/>
        <w:pageBreakBefore w:val="0"/>
        <w:widowControl/>
        <w:kinsoku/>
        <w:wordWrap/>
        <w:overflowPunct/>
        <w:topLinePunct w:val="0"/>
        <w:autoSpaceDE/>
        <w:autoSpaceDN/>
        <w:bidi w:val="0"/>
        <w:adjustRightInd/>
        <w:snapToGrid/>
        <w:spacing w:line="540" w:lineRule="exact"/>
        <w:ind w:left="0" w:leftChars="0" w:firstLineChars="0"/>
        <w:textAlignment w:val="baseline"/>
        <w:outlineLvl w:val="9"/>
        <w:rPr>
          <w:rStyle w:val="10"/>
          <w:rFonts w:eastAsia="仿宋_GB2312"/>
          <w:color w:val="000000"/>
          <w:sz w:val="32"/>
          <w:szCs w:val="32"/>
        </w:rPr>
      </w:pPr>
      <w:r>
        <w:rPr>
          <w:rStyle w:val="10"/>
          <w:rFonts w:eastAsia="仿宋_GB2312"/>
          <w:sz w:val="32"/>
          <w:szCs w:val="32"/>
        </w:rPr>
        <w:t xml:space="preserve">    二</w:t>
      </w:r>
      <w:r>
        <w:rPr>
          <w:rStyle w:val="10"/>
          <w:rFonts w:eastAsia="仿宋_GB2312"/>
          <w:color w:val="000000"/>
          <w:sz w:val="32"/>
          <w:szCs w:val="32"/>
        </w:rPr>
        <w:t>、项目建设与运行管理中应重点做好的工作</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_GB2312"/>
          <w:sz w:val="32"/>
        </w:rPr>
      </w:pPr>
      <w:r>
        <w:rPr>
          <w:rStyle w:val="10"/>
          <w:rFonts w:eastAsia="仿宋_GB2312"/>
          <w:sz w:val="32"/>
        </w:rPr>
        <w:t>1.加强施工期环境管理。施工单位在土石方开挖及设备安装过程中应严格按照设计要求施工，尽可能缩小施工活动范围，施工场地四周须建立围挡，定期进行洒水和清扫；禁止在敏感建筑物集中区域内进行打桩、搅拌混凝土、鸣笛等活动；施工结束后须尽快对临时占地和周边进行生态植被恢复，防止水土流失；施工期产生的废水和固体废弃物要集中收集统一处置。</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_GB2312"/>
          <w:sz w:val="32"/>
        </w:rPr>
      </w:pPr>
      <w:r>
        <w:rPr>
          <w:rStyle w:val="10"/>
          <w:rFonts w:eastAsia="仿宋_GB2312"/>
          <w:color w:val="000000"/>
          <w:sz w:val="32"/>
        </w:rPr>
        <w:t>2.严格按照《报告表》提出的要求，做好</w:t>
      </w:r>
      <w:r>
        <w:rPr>
          <w:rStyle w:val="10"/>
          <w:rFonts w:hint="eastAsia"/>
          <w:color w:val="000000"/>
          <w:sz w:val="32"/>
          <w:lang w:eastAsia="zh-CN"/>
        </w:rPr>
        <w:t>大气</w:t>
      </w:r>
      <w:r>
        <w:rPr>
          <w:rStyle w:val="10"/>
          <w:rFonts w:eastAsia="仿宋_GB2312"/>
          <w:color w:val="000000"/>
          <w:sz w:val="32"/>
        </w:rPr>
        <w:t>污染防治工作。</w:t>
      </w:r>
      <w:r>
        <w:rPr>
          <w:rStyle w:val="10"/>
          <w:rFonts w:hint="eastAsia" w:eastAsia="仿宋_GB2312"/>
          <w:color w:val="000000"/>
          <w:sz w:val="32"/>
          <w:lang w:eastAsia="zh-CN"/>
        </w:rPr>
        <w:t>冬季供暖由电暖气提供，不得新建以煤等为燃料的锅炉。</w:t>
      </w:r>
      <w:r>
        <w:rPr>
          <w:rStyle w:val="10"/>
          <w:rFonts w:eastAsia="仿宋_GB2312"/>
          <w:color w:val="000000"/>
          <w:sz w:val="32"/>
        </w:rPr>
        <w:t>原煤贮存于全封闭储棚内，四周设置喷淋洒水抑尘装置；受煤坑置于全封闭原</w:t>
      </w:r>
      <w:r>
        <w:rPr>
          <w:rStyle w:val="10"/>
          <w:rFonts w:eastAsia="仿宋_GB2312"/>
          <w:sz w:val="32"/>
        </w:rPr>
        <w:t>煤储棚内，顶部设置喷淋洒水抑尘装置；筛分、破碎系统置于全封闭准备车间内，产尘点处设置集尘罩+布袋除尘器装置抑尘；产品煤、煤泥和煤矸石分别进入全封闭储棚内储存；煤炭厂内运输采用全封闭输煤栈桥，同时在各转载点设置喷雾洒水装置。通过采取以上措施，确保粉尘排放满足《煤炭工业污染物排放标准》（GB 20426-2006）限值要求。加强运营期管理，运输道路硬化，定时洒水抑尘，同时加强对运输车辆的管理，减少扬尘污染。</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_GB2312"/>
          <w:sz w:val="32"/>
          <w:highlight w:val="none"/>
        </w:rPr>
      </w:pPr>
      <w:r>
        <w:rPr>
          <w:rStyle w:val="10"/>
          <w:rFonts w:eastAsia="仿宋_GB2312"/>
          <w:sz w:val="32"/>
        </w:rPr>
        <w:t>3.强化废水处理与回用，实行雨污分流、清污分流。煤泥水闭路循环，不外排</w:t>
      </w:r>
      <w:r>
        <w:rPr>
          <w:rStyle w:val="10"/>
          <w:rFonts w:hint="eastAsia"/>
          <w:sz w:val="32"/>
          <w:lang w:eastAsia="zh-CN"/>
        </w:rPr>
        <w:t>；</w:t>
      </w:r>
      <w:r>
        <w:rPr>
          <w:rStyle w:val="10"/>
          <w:rFonts w:eastAsia="仿宋_GB2312"/>
          <w:sz w:val="32"/>
        </w:rPr>
        <w:t>地面冲洗废水经沉淀池沉淀后回用于洗煤补水</w:t>
      </w:r>
      <w:r>
        <w:rPr>
          <w:rStyle w:val="10"/>
          <w:rFonts w:hint="eastAsia"/>
          <w:sz w:val="32"/>
          <w:lang w:eastAsia="zh-CN"/>
        </w:rPr>
        <w:t>；</w:t>
      </w:r>
      <w:r>
        <w:rPr>
          <w:rStyle w:val="10"/>
          <w:rFonts w:eastAsia="仿宋_GB2312"/>
          <w:sz w:val="32"/>
        </w:rPr>
        <w:t>生活污水经化粪池集中收集后经一体化地埋式处理设施进行处理</w:t>
      </w:r>
      <w:r>
        <w:rPr>
          <w:rStyle w:val="10"/>
          <w:rFonts w:hint="eastAsia" w:eastAsia="仿宋_GB2312"/>
          <w:sz w:val="32"/>
          <w:lang w:eastAsia="zh-CN"/>
        </w:rPr>
        <w:t>，处理后回用，</w:t>
      </w:r>
      <w:r>
        <w:rPr>
          <w:rStyle w:val="10"/>
          <w:rFonts w:eastAsia="仿宋_GB2312"/>
          <w:sz w:val="32"/>
        </w:rPr>
        <w:t>以上污（废）水均不得外排。厂区各车间、原煤储棚、产品棚、煤泥储棚等地面均须进行硬化，避免废水下渗对区域地下水产生影响。厂区内地面须硬化，四周设置导流渠对雨水进行收集，最终进入沉淀池内储存，避免雨</w:t>
      </w:r>
      <w:r>
        <w:rPr>
          <w:rStyle w:val="10"/>
          <w:rFonts w:eastAsia="仿宋_GB2312"/>
          <w:sz w:val="32"/>
          <w:highlight w:val="none"/>
        </w:rPr>
        <w:t>水冲刷对周边环境造成影响。</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_GB2312"/>
          <w:sz w:val="32"/>
          <w:highlight w:val="none"/>
        </w:rPr>
      </w:pPr>
      <w:r>
        <w:rPr>
          <w:rStyle w:val="10"/>
          <w:rFonts w:eastAsia="仿宋_GB2312"/>
          <w:sz w:val="32"/>
          <w:highlight w:val="none"/>
        </w:rPr>
        <w:t>4.应采取妥善控制措施，确保厂界噪声满足《工业企业厂界环境噪声排放标准》（GB12348-2008）2类标准要求。</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_GB2312"/>
          <w:sz w:val="32"/>
          <w:highlight w:val="none"/>
        </w:rPr>
      </w:pPr>
      <w:r>
        <w:rPr>
          <w:rStyle w:val="10"/>
          <w:rFonts w:eastAsia="仿宋_GB2312"/>
          <w:sz w:val="32"/>
          <w:highlight w:val="none"/>
        </w:rPr>
        <w:t>5.按照《报告表》提出的要求，做好固体废弃物分类处置工作。洗选矸石处置须符合《煤矸石综合利用管理办法》（2014年修订版）要求。建设单位须严格按照《一般工业固体废物贮存和填埋污染控制标准》(GB18599-2020）和《危险废物贮存污染控制标准》（GB18597-2001）（及其修改单）要求处置一般固废和危险废物，不得乱弃。</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_GB2312"/>
          <w:sz w:val="32"/>
          <w:highlight w:val="none"/>
        </w:rPr>
      </w:pPr>
      <w:r>
        <w:rPr>
          <w:rStyle w:val="10"/>
          <w:rFonts w:eastAsia="仿宋_GB2312"/>
          <w:sz w:val="32"/>
          <w:highlight w:val="none"/>
        </w:rPr>
        <w:t>6.项目建成投运前，建设单位须按照相关要求在可视范围内设置视频监控点位系统，保证监控区域无死角和监控画质高清晰，并与鄂尔多斯市环境网格化监管平台联网，办理视频监控审核备案手续。</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_GB2312"/>
          <w:sz w:val="32"/>
          <w:highlight w:val="none"/>
        </w:rPr>
      </w:pPr>
      <w:r>
        <w:rPr>
          <w:rStyle w:val="10"/>
          <w:rFonts w:eastAsia="仿宋_GB2312"/>
          <w:sz w:val="32"/>
          <w:highlight w:val="none"/>
        </w:rPr>
        <w:t>7.建设单位须强化环境风险防范。制定环境风险应急预案，落实环境风险事故防范措施，提高事故风险防范和污染控制能力。</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_GB2312"/>
          <w:sz w:val="32"/>
          <w:highlight w:val="none"/>
        </w:rPr>
      </w:pPr>
      <w:r>
        <w:rPr>
          <w:rStyle w:val="10"/>
          <w:rFonts w:eastAsia="仿宋_GB2312"/>
          <w:sz w:val="32"/>
          <w:highlight w:val="none"/>
        </w:rPr>
        <w:t>三、项目建设必须严格执行环境保护“三同时”制度。项目竣工后，须按照规定程序实施竣工环境保护验收。</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_GB2312"/>
          <w:sz w:val="32"/>
          <w:highlight w:val="none"/>
        </w:rPr>
      </w:pPr>
      <w:r>
        <w:rPr>
          <w:rStyle w:val="10"/>
          <w:rFonts w:eastAsia="仿宋_GB2312"/>
          <w:sz w:val="32"/>
          <w:highlight w:val="none"/>
        </w:rPr>
        <w:t>四、你公司应在收到本批复20日内，将《报告表》（报批版）及批复文件送至鄂尔多斯市生态环境局</w:t>
      </w:r>
      <w:r>
        <w:rPr>
          <w:rStyle w:val="10"/>
          <w:rFonts w:eastAsia="仿宋"/>
          <w:color w:val="000000"/>
          <w:sz w:val="32"/>
          <w:szCs w:val="32"/>
          <w:highlight w:val="none"/>
        </w:rPr>
        <w:t>鄂托克旗</w:t>
      </w:r>
      <w:r>
        <w:rPr>
          <w:rStyle w:val="10"/>
          <w:rFonts w:eastAsia="仿宋_GB2312"/>
          <w:sz w:val="32"/>
          <w:highlight w:val="none"/>
        </w:rPr>
        <w:t>分局，我局委托鄂尔多斯市生态环境局鄂托克旗分局负责该项目的日常监管工作。</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_GB2312"/>
          <w:sz w:val="32"/>
          <w:highlight w:val="none"/>
        </w:rPr>
      </w:pPr>
      <w:r>
        <w:rPr>
          <w:rStyle w:val="10"/>
          <w:rFonts w:eastAsia="仿宋_GB2312"/>
          <w:sz w:val="32"/>
          <w:highlight w:val="none"/>
        </w:rPr>
        <w:t>五、该项目从批准之日起超过5年方决定开工建设，其环评文件应重新审核。如果项目建设地点、规模、工艺、防治污染和防止生态破坏的措施等发生重大变化时，需重新报批环评文件。</w:t>
      </w:r>
    </w:p>
    <w:p>
      <w:pPr>
        <w:keepNext w:val="0"/>
        <w:keepLines w:val="0"/>
        <w:pageBreakBefore w:val="0"/>
        <w:widowControl/>
        <w:kinsoku/>
        <w:wordWrap/>
        <w:overflowPunct/>
        <w:topLinePunct w:val="0"/>
        <w:autoSpaceDE/>
        <w:autoSpaceDN/>
        <w:bidi w:val="0"/>
        <w:adjustRightInd/>
        <w:snapToGrid/>
        <w:spacing w:line="540" w:lineRule="exact"/>
        <w:ind w:left="0" w:leftChars="0" w:firstLine="640"/>
        <w:textAlignment w:val="baseline"/>
        <w:outlineLvl w:val="9"/>
        <w:rPr>
          <w:rStyle w:val="10"/>
          <w:rFonts w:eastAsia="仿宋_GB2312"/>
          <w:sz w:val="32"/>
          <w:highlight w:val="none"/>
        </w:rPr>
      </w:pPr>
    </w:p>
    <w:p>
      <w:pPr>
        <w:pStyle w:val="2"/>
      </w:pPr>
      <w:bookmarkStart w:id="1" w:name="_GoBack"/>
      <w:bookmarkEnd w:id="1"/>
    </w:p>
    <w:p>
      <w:pPr>
        <w:keepNext w:val="0"/>
        <w:keepLines w:val="0"/>
        <w:pageBreakBefore w:val="0"/>
        <w:widowControl/>
        <w:kinsoku/>
        <w:wordWrap/>
        <w:overflowPunct/>
        <w:topLinePunct w:val="0"/>
        <w:autoSpaceDE/>
        <w:autoSpaceDN/>
        <w:bidi w:val="0"/>
        <w:adjustRightInd/>
        <w:snapToGrid/>
        <w:spacing w:line="540" w:lineRule="exact"/>
        <w:ind w:left="0" w:leftChars="0" w:firstLineChars="0"/>
        <w:jc w:val="center"/>
        <w:textAlignment w:val="baseline"/>
        <w:outlineLvl w:val="9"/>
        <w:rPr>
          <w:rStyle w:val="10"/>
          <w:rFonts w:eastAsia="仿宋_GB2312"/>
          <w:color w:val="000000"/>
          <w:sz w:val="32"/>
          <w:szCs w:val="32"/>
          <w:highlight w:val="none"/>
        </w:rPr>
      </w:pPr>
      <w:r>
        <w:rPr>
          <w:rStyle w:val="10"/>
          <w:rFonts w:eastAsia="仿宋_GB2312"/>
          <w:sz w:val="32"/>
          <w:szCs w:val="32"/>
          <w:highlight w:val="none"/>
        </w:rPr>
        <w:t xml:space="preserve">                     </w:t>
      </w:r>
      <w:r>
        <w:rPr>
          <w:rStyle w:val="10"/>
          <w:rFonts w:eastAsia="仿宋_GB2312"/>
          <w:color w:val="000000"/>
          <w:sz w:val="32"/>
          <w:szCs w:val="32"/>
          <w:highlight w:val="none"/>
        </w:rPr>
        <w:t xml:space="preserve">       鄂尔多斯市生态环境局</w:t>
      </w:r>
    </w:p>
    <w:p>
      <w:pPr>
        <w:keepNext w:val="0"/>
        <w:keepLines w:val="0"/>
        <w:pageBreakBefore w:val="0"/>
        <w:widowControl/>
        <w:kinsoku/>
        <w:wordWrap/>
        <w:overflowPunct/>
        <w:topLinePunct w:val="0"/>
        <w:autoSpaceDE/>
        <w:autoSpaceDN/>
        <w:bidi w:val="0"/>
        <w:adjustRightInd/>
        <w:snapToGrid/>
        <w:spacing w:line="540" w:lineRule="exact"/>
        <w:ind w:left="0" w:leftChars="0" w:firstLine="640"/>
        <w:jc w:val="center"/>
        <w:textAlignment w:val="baseline"/>
        <w:outlineLvl w:val="9"/>
        <w:rPr>
          <w:rStyle w:val="10"/>
          <w:rFonts w:eastAsia="仿宋"/>
          <w:sz w:val="32"/>
          <w:szCs w:val="32"/>
          <w:highlight w:val="none"/>
        </w:rPr>
      </w:pPr>
      <w:r>
        <w:rPr>
          <w:rStyle w:val="10"/>
          <w:rFonts w:eastAsia="仿宋_GB2312"/>
          <w:color w:val="000000"/>
          <w:sz w:val="32"/>
          <w:szCs w:val="32"/>
          <w:highlight w:val="none"/>
        </w:rPr>
        <w:t xml:space="preserve">                        2022年</w:t>
      </w:r>
      <w:r>
        <w:rPr>
          <w:rStyle w:val="10"/>
          <w:rFonts w:hint="eastAsia"/>
          <w:color w:val="000000"/>
          <w:sz w:val="32"/>
          <w:szCs w:val="32"/>
          <w:highlight w:val="none"/>
          <w:lang w:val="en-US" w:eastAsia="zh-CN"/>
        </w:rPr>
        <w:t>3</w:t>
      </w:r>
      <w:r>
        <w:rPr>
          <w:rStyle w:val="10"/>
          <w:rFonts w:eastAsia="仿宋_GB2312"/>
          <w:color w:val="000000"/>
          <w:sz w:val="32"/>
          <w:szCs w:val="32"/>
          <w:highlight w:val="none"/>
        </w:rPr>
        <w:t>月2</w:t>
      </w:r>
      <w:r>
        <w:rPr>
          <w:rStyle w:val="10"/>
          <w:rFonts w:hint="eastAsia"/>
          <w:color w:val="000000"/>
          <w:sz w:val="32"/>
          <w:szCs w:val="32"/>
          <w:highlight w:val="none"/>
          <w:lang w:val="en-US" w:eastAsia="zh-CN"/>
        </w:rPr>
        <w:t>8</w:t>
      </w:r>
      <w:r>
        <w:rPr>
          <w:rStyle w:val="10"/>
          <w:rFonts w:eastAsia="仿宋_GB2312"/>
          <w:color w:val="000000"/>
          <w:sz w:val="32"/>
          <w:szCs w:val="32"/>
          <w:highlight w:val="none"/>
        </w:rPr>
        <w:t>日</w:t>
      </w:r>
    </w:p>
    <w:p>
      <w:pPr>
        <w:pStyle w:val="41"/>
        <w:ind w:firstLineChars="0"/>
        <w:rPr>
          <w:rStyle w:val="10"/>
          <w:rFonts w:eastAsia="仿宋"/>
          <w:szCs w:val="32"/>
          <w:highlight w:val="none"/>
        </w:rPr>
      </w:pPr>
    </w:p>
    <w:p>
      <w:pPr>
        <w:spacing w:line="440" w:lineRule="exact"/>
        <w:ind w:firstLine="0" w:firstLineChars="0"/>
        <w:rPr>
          <w:rStyle w:val="10"/>
          <w:rFonts w:eastAsia="仿宋_GB2312"/>
          <w:sz w:val="28"/>
          <w:szCs w:val="28"/>
          <w:highlight w:val="none"/>
        </w:rPr>
      </w:pPr>
      <w:r>
        <w:rPr>
          <w:highlight w:val="none"/>
        </w:rPr>
        <w:pict>
          <v:shape id="_x0000_s1030" o:spid="_x0000_s1030" o:spt="100" style="position:absolute;left:0pt;margin-left:0pt;margin-top:0pt;height:50pt;width:50pt;visibility:hidden;z-index:251656192;mso-width-relative:page;mso-height-relative:page;" filled="f" stroked="f" coordsize="21600,21600" adj="">
            <v:fill on="f" focussize="0,0"/>
            <v:stroke on="f"/>
            <v:imagedata o:title=""/>
            <o:lock v:ext="edit" selection="t"/>
          </v:shape>
        </w:pict>
      </w:r>
      <w:r>
        <w:rPr>
          <w:highlight w:val="none"/>
        </w:rPr>
        <w:pict>
          <v:line id="_x0000_s1027" o:spid="_x0000_s1027" o:spt="20" style="position:absolute;left:0pt;margin-left:0pt;margin-top:2.8pt;height:0.05pt;width:447.85pt;z-index:251657216;mso-width-relative:page;mso-height-relative:page;" coordsize="21600,21600">
            <v:path arrowok="t"/>
            <v:fill focussize="0,0"/>
            <v:stroke/>
            <v:imagedata o:title=""/>
            <o:lock v:ext="edit"/>
          </v:line>
        </w:pict>
      </w:r>
      <w:r>
        <w:rPr>
          <w:rStyle w:val="10"/>
          <w:rFonts w:eastAsia="仿宋_GB2312"/>
          <w:sz w:val="28"/>
          <w:szCs w:val="28"/>
          <w:highlight w:val="none"/>
        </w:rPr>
        <w:t>抄送：鄂尔多斯市生态环境局鄂托克旗分局，市生态环境综合行政执法支队，内蒙古新创环境科技有限公司。</w:t>
      </w:r>
    </w:p>
    <w:p>
      <w:pPr>
        <w:spacing w:line="560" w:lineRule="exact"/>
        <w:ind w:firstLineChars="0"/>
        <w:rPr>
          <w:rStyle w:val="10"/>
          <w:rFonts w:eastAsia="仿宋_GB2312"/>
          <w:sz w:val="32"/>
          <w:highlight w:val="none"/>
        </w:rPr>
      </w:pPr>
      <w:r>
        <w:rPr>
          <w:highlight w:val="none"/>
        </w:rPr>
        <w:pict>
          <v:line id="_x0000_s1028" o:spid="_x0000_s1028" o:spt="20" style="position:absolute;left:0pt;margin-left:1.65pt;margin-top:29.4pt;height:0.05pt;width:447.85pt;z-index:251659264;mso-width-relative:page;mso-height-relative:page;" coordsize="21600,21600">
            <v:path arrowok="t"/>
            <v:fill focussize="0,0"/>
            <v:stroke/>
            <v:imagedata o:title=""/>
            <o:lock v:ext="edit"/>
          </v:line>
        </w:pict>
      </w:r>
      <w:r>
        <w:rPr>
          <w:rStyle w:val="10"/>
          <w:rFonts w:eastAsia="仿宋_GB2312"/>
          <w:sz w:val="28"/>
          <w:szCs w:val="28"/>
          <w:highlight w:val="none"/>
        </w:rPr>
        <w:t>鄂尔多斯市生态环境局                      2022年</w:t>
      </w:r>
      <w:r>
        <w:rPr>
          <w:rStyle w:val="10"/>
          <w:rFonts w:hint="eastAsia"/>
          <w:sz w:val="28"/>
          <w:szCs w:val="28"/>
          <w:highlight w:val="none"/>
          <w:lang w:val="en-US" w:eastAsia="zh-CN"/>
        </w:rPr>
        <w:t>3</w:t>
      </w:r>
      <w:r>
        <w:rPr>
          <w:rStyle w:val="10"/>
          <w:rFonts w:eastAsia="仿宋_GB2312"/>
          <w:sz w:val="28"/>
          <w:szCs w:val="28"/>
          <w:highlight w:val="none"/>
        </w:rPr>
        <w:t>月28日印发</w:t>
      </w:r>
      <w:r>
        <w:rPr>
          <w:highlight w:val="none"/>
        </w:rPr>
        <w:pict>
          <v:line id="_x0000_s1029" o:spid="_x0000_s1029" o:spt="20" style="position:absolute;left:0pt;margin-left:0pt;margin-top:0.6pt;height:0.05pt;width:447.85pt;z-index:251658240;mso-width-relative:page;mso-height-relative:page;" coordsize="21600,21600">
            <v:path arrowok="t"/>
            <v:fill focussize="0,0"/>
            <v:stroke/>
            <v:imagedata o:title=""/>
            <o:lock v:ext="edit"/>
          </v:line>
        </w:pict>
      </w:r>
    </w:p>
    <w:sectPr>
      <w:headerReference r:id="rId5" w:type="first"/>
      <w:footerReference r:id="rId8" w:type="first"/>
      <w:headerReference r:id="rId3" w:type="default"/>
      <w:footerReference r:id="rId6" w:type="default"/>
      <w:headerReference r:id="rId4" w:type="even"/>
      <w:footerReference r:id="rId7" w:type="even"/>
      <w:pgSz w:w="11906" w:h="16838"/>
      <w:pgMar w:top="2098" w:right="1531" w:bottom="1588" w:left="1531"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Arial Unicode MS">
    <w:altName w:val="宋体"/>
    <w:panose1 w:val="020B0604020202020204"/>
    <w:charset w:val="86"/>
    <w:family w:val="auto"/>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等线">
    <w:altName w:val="宋体"/>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560"/>
      <w:jc w:val="right"/>
      <w:rPr>
        <w:rStyle w:val="10"/>
        <w:rFonts w:asci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560"/>
      <w:rPr>
        <w:rStyle w:val="10"/>
        <w:rFonts w:ascii="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rPr>
        <w:rStyle w:val="10"/>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ind w:firstLine="360"/>
      <w:rPr>
        <w:rStyle w:val="10"/>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ind w:firstLine="360"/>
      <w:rPr>
        <w:rStyle w:val="10"/>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ind w:firstLine="360"/>
      <w:rPr>
        <w:rStyle w:val="10"/>
        <w:sz w:val="18"/>
        <w:szCs w:val="18"/>
      </w:rPr>
    </w:pPr>
  </w:p>
  <w:p>
    <w:pPr>
      <w:ind w:firstLine="640"/>
      <w:rPr>
        <w:rStyle w:val="10"/>
        <w:rFonts w:eastAsia="仿宋_GB2312"/>
        <w:sz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evenAndOddHeaders w:val="1"/>
  <w:doNotUseMarginsForDrawingGridOrigin w:val="1"/>
  <w:drawingGridHorizontalOrigin w:val="1800"/>
  <w:drawingGridVerticalOrigin w:val="1440"/>
  <w:characterSpacingControl w:val="doNotCompress"/>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rsids>
    <w:rsidRoot w:val="00364B04"/>
    <w:rsid w:val="001463A9"/>
    <w:rsid w:val="001475D9"/>
    <w:rsid w:val="003217E0"/>
    <w:rsid w:val="00364B04"/>
    <w:rsid w:val="0054367C"/>
    <w:rsid w:val="005D694C"/>
    <w:rsid w:val="00A272F6"/>
    <w:rsid w:val="00C054EE"/>
    <w:rsid w:val="00DE5655"/>
    <w:rsid w:val="07AD4D87"/>
    <w:rsid w:val="0E423CCE"/>
    <w:rsid w:val="21237EE7"/>
    <w:rsid w:val="24E05C6F"/>
    <w:rsid w:val="2D190507"/>
    <w:rsid w:val="37755C78"/>
    <w:rsid w:val="48E4123E"/>
    <w:rsid w:val="51AF47B1"/>
    <w:rsid w:val="53382015"/>
    <w:rsid w:val="5770542B"/>
    <w:rsid w:val="57B9321F"/>
    <w:rsid w:val="5B9A70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ind w:firstLine="200" w:firstLineChars="200"/>
      <w:jc w:val="both"/>
      <w:textAlignment w:val="baseline"/>
    </w:pPr>
    <w:rPr>
      <w:rFonts w:ascii="Times New Roman" w:hAnsi="Times New Roman" w:eastAsia="仿宋_GB2312" w:cs="Times New Roman"/>
      <w:kern w:val="2"/>
      <w:sz w:val="32"/>
      <w:szCs w:val="24"/>
      <w:lang w:val="en-US" w:eastAsia="zh-CN" w:bidi="ar-SA"/>
    </w:rPr>
  </w:style>
  <w:style w:type="character" w:default="1" w:styleId="7">
    <w:name w:val="Default Paragraph Font"/>
    <w:unhideWhenUsed/>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customStyle="1" w:styleId="2">
    <w:name w:val="BodyText1I2"/>
    <w:basedOn w:val="3"/>
    <w:next w:val="1"/>
    <w:qFormat/>
    <w:uiPriority w:val="0"/>
    <w:pPr>
      <w:spacing w:after="120" w:line="240" w:lineRule="auto"/>
      <w:ind w:left="420" w:leftChars="200" w:firstLine="420"/>
    </w:pPr>
    <w:rPr>
      <w:sz w:val="21"/>
    </w:rPr>
  </w:style>
  <w:style w:type="paragraph" w:customStyle="1" w:styleId="3">
    <w:name w:val="BodyTextIndent"/>
    <w:basedOn w:val="1"/>
    <w:next w:val="1"/>
    <w:uiPriority w:val="0"/>
    <w:pPr>
      <w:keepNext/>
      <w:spacing w:line="360" w:lineRule="auto"/>
    </w:pPr>
    <w:rPr>
      <w:rFonts w:eastAsia="宋体"/>
      <w:sz w:val="24"/>
    </w:rPr>
  </w:style>
  <w:style w:type="paragraph" w:styleId="4">
    <w:name w:val="Date"/>
    <w:basedOn w:val="1"/>
    <w:next w:val="1"/>
    <w:link w:val="30"/>
    <w:qFormat/>
    <w:uiPriority w:val="0"/>
    <w:pPr>
      <w:ind w:left="2500" w:leftChars="2500"/>
    </w:pPr>
    <w:rPr>
      <w:rFonts w:eastAsia="宋体"/>
    </w:rPr>
  </w:style>
  <w:style w:type="paragraph" w:styleId="5">
    <w:name w:val="footer"/>
    <w:basedOn w:val="1"/>
    <w:qFormat/>
    <w:uiPriority w:val="0"/>
    <w:pPr>
      <w:tabs>
        <w:tab w:val="center" w:pos="4153"/>
        <w:tab w:val="right" w:pos="8306"/>
      </w:tabs>
      <w:snapToGrid w:val="0"/>
      <w:jc w:val="left"/>
    </w:pPr>
    <w:rPr>
      <w:rFonts w:eastAsia="宋体"/>
      <w:sz w:val="18"/>
      <w:szCs w:val="18"/>
    </w:rPr>
  </w:style>
  <w:style w:type="paragraph" w:styleId="6">
    <w:name w:val="header"/>
    <w:basedOn w:val="1"/>
    <w:qFormat/>
    <w:uiPriority w:val="0"/>
    <w:pPr>
      <w:pBdr>
        <w:bottom w:val="single" w:color="000000" w:sz="6" w:space="1"/>
      </w:pBdr>
      <w:tabs>
        <w:tab w:val="center" w:pos="4153"/>
        <w:tab w:val="right" w:pos="8306"/>
      </w:tabs>
      <w:snapToGrid w:val="0"/>
      <w:jc w:val="center"/>
    </w:pPr>
    <w:rPr>
      <w:rFonts w:eastAsia="宋体"/>
      <w:sz w:val="18"/>
      <w:szCs w:val="18"/>
    </w:rPr>
  </w:style>
  <w:style w:type="paragraph" w:customStyle="1" w:styleId="9">
    <w:name w:val="Heading4"/>
    <w:basedOn w:val="1"/>
    <w:next w:val="1"/>
    <w:qFormat/>
    <w:uiPriority w:val="0"/>
    <w:pPr>
      <w:keepNext/>
      <w:keepLines/>
      <w:spacing w:before="280" w:after="290" w:line="376" w:lineRule="auto"/>
    </w:pPr>
    <w:rPr>
      <w:rFonts w:ascii="Arial" w:hAnsi="Arial" w:eastAsia="黑体"/>
      <w:sz w:val="28"/>
      <w:szCs w:val="28"/>
    </w:rPr>
  </w:style>
  <w:style w:type="character" w:customStyle="1" w:styleId="10">
    <w:name w:val="NormalCharacter"/>
    <w:qFormat/>
    <w:uiPriority w:val="0"/>
    <w:rPr>
      <w:rFonts w:ascii="Times New Roman" w:hAnsi="Times New Roman" w:eastAsia="宋体"/>
      <w:sz w:val="24"/>
      <w:szCs w:val="24"/>
    </w:rPr>
  </w:style>
  <w:style w:type="table" w:customStyle="1" w:styleId="11">
    <w:name w:val="TableNormal"/>
    <w:qFormat/>
    <w:uiPriority w:val="0"/>
    <w:tblPr>
      <w:tblLayout w:type="fixed"/>
      <w:tblCellMar>
        <w:top w:w="0" w:type="dxa"/>
        <w:left w:w="0" w:type="dxa"/>
        <w:bottom w:w="0" w:type="dxa"/>
        <w:right w:w="0" w:type="dxa"/>
      </w:tblCellMar>
    </w:tblPr>
  </w:style>
  <w:style w:type="character" w:customStyle="1" w:styleId="12">
    <w:name w:val="UserStyle_0"/>
    <w:link w:val="13"/>
    <w:qFormat/>
    <w:uiPriority w:val="0"/>
    <w:rPr>
      <w:rFonts w:ascii="Arial Unicode MS" w:hAnsi="Arial Unicode MS" w:eastAsia="Arial Unicode MS"/>
      <w:sz w:val="24"/>
    </w:rPr>
  </w:style>
  <w:style w:type="paragraph" w:customStyle="1" w:styleId="13">
    <w:name w:val="HtmlNormal"/>
    <w:basedOn w:val="1"/>
    <w:link w:val="12"/>
    <w:qFormat/>
    <w:uiPriority w:val="0"/>
    <w:pPr>
      <w:spacing w:before="100" w:after="100"/>
      <w:ind w:firstLine="0" w:firstLineChars="0"/>
      <w:jc w:val="left"/>
    </w:pPr>
    <w:rPr>
      <w:rFonts w:ascii="Arial Unicode MS" w:hAnsi="Arial Unicode MS" w:eastAsia="Arial Unicode MS"/>
      <w:kern w:val="0"/>
      <w:sz w:val="24"/>
      <w:szCs w:val="20"/>
    </w:rPr>
  </w:style>
  <w:style w:type="character" w:customStyle="1" w:styleId="14">
    <w:name w:val="UserStyle_1"/>
    <w:link w:val="15"/>
    <w:qFormat/>
    <w:uiPriority w:val="0"/>
    <w:rPr>
      <w:rFonts w:ascii="Times New Roman" w:hAnsi="Times New Roman" w:eastAsia="仿宋_GB2312"/>
      <w:kern w:val="2"/>
      <w:sz w:val="32"/>
      <w:szCs w:val="24"/>
    </w:rPr>
  </w:style>
  <w:style w:type="paragraph" w:customStyle="1" w:styleId="15">
    <w:name w:val="NormalIndent"/>
    <w:basedOn w:val="1"/>
    <w:next w:val="2"/>
    <w:link w:val="14"/>
    <w:qFormat/>
    <w:uiPriority w:val="0"/>
    <w:rPr>
      <w:rFonts w:eastAsia="宋体"/>
    </w:rPr>
  </w:style>
  <w:style w:type="character" w:customStyle="1" w:styleId="16">
    <w:name w:val="UserStyle_2"/>
    <w:link w:val="17"/>
    <w:qFormat/>
    <w:uiPriority w:val="0"/>
    <w:rPr>
      <w:rFonts w:ascii="Times New Roman" w:hAnsi="Times New Roman" w:eastAsia="仿宋_GB2312"/>
      <w:kern w:val="2"/>
      <w:sz w:val="24"/>
      <w:szCs w:val="24"/>
    </w:rPr>
  </w:style>
  <w:style w:type="paragraph" w:customStyle="1" w:styleId="17">
    <w:name w:val="UserStyle_3"/>
    <w:basedOn w:val="1"/>
    <w:link w:val="16"/>
    <w:qFormat/>
    <w:uiPriority w:val="0"/>
    <w:pPr>
      <w:spacing w:line="360" w:lineRule="auto"/>
    </w:pPr>
    <w:rPr>
      <w:rFonts w:eastAsia="宋体"/>
      <w:sz w:val="24"/>
    </w:rPr>
  </w:style>
  <w:style w:type="character" w:customStyle="1" w:styleId="18">
    <w:name w:val="UserStyle_4"/>
    <w:qFormat/>
    <w:uiPriority w:val="0"/>
    <w:rPr>
      <w:rFonts w:ascii="Times New Roman" w:hAnsi="Times New Roman" w:eastAsia="宋体"/>
      <w:sz w:val="24"/>
      <w:szCs w:val="24"/>
    </w:rPr>
  </w:style>
  <w:style w:type="character" w:customStyle="1" w:styleId="19">
    <w:name w:val="UserStyle_5"/>
    <w:link w:val="20"/>
    <w:qFormat/>
    <w:uiPriority w:val="0"/>
    <w:rPr>
      <w:rFonts w:ascii="宋体" w:hAnsi="宋体" w:eastAsia="宋体"/>
      <w:sz w:val="24"/>
      <w:szCs w:val="24"/>
      <w:lang w:bidi="ar-SA"/>
    </w:rPr>
  </w:style>
  <w:style w:type="paragraph" w:customStyle="1" w:styleId="20">
    <w:name w:val="UserStyle_6"/>
    <w:basedOn w:val="1"/>
    <w:link w:val="19"/>
    <w:qFormat/>
    <w:uiPriority w:val="0"/>
    <w:pPr>
      <w:tabs>
        <w:tab w:val="left" w:pos="0"/>
        <w:tab w:val="left" w:pos="7012"/>
      </w:tabs>
      <w:spacing w:line="360" w:lineRule="auto"/>
    </w:pPr>
    <w:rPr>
      <w:rFonts w:ascii="宋体" w:hAnsi="宋体" w:eastAsia="宋体"/>
      <w:kern w:val="0"/>
      <w:sz w:val="24"/>
    </w:rPr>
  </w:style>
  <w:style w:type="character" w:customStyle="1" w:styleId="21">
    <w:name w:val="PageNumber"/>
    <w:qFormat/>
    <w:uiPriority w:val="0"/>
    <w:rPr>
      <w:rFonts w:ascii="Times New Roman" w:hAnsi="Times New Roman" w:eastAsia="宋体"/>
    </w:rPr>
  </w:style>
  <w:style w:type="character" w:customStyle="1" w:styleId="22">
    <w:name w:val="UserStyle_7"/>
    <w:link w:val="23"/>
    <w:qFormat/>
    <w:uiPriority w:val="0"/>
    <w:rPr>
      <w:rFonts w:ascii="Times New Roman" w:hAnsi="Times New Roman" w:eastAsia="仿宋_GB2312"/>
      <w:kern w:val="2"/>
      <w:sz w:val="24"/>
      <w:szCs w:val="24"/>
      <w:lang w:val="en-US" w:eastAsia="zh-CN" w:bidi="ar-SA"/>
    </w:rPr>
  </w:style>
  <w:style w:type="paragraph" w:customStyle="1" w:styleId="23">
    <w:name w:val="UserStyle_8"/>
    <w:basedOn w:val="1"/>
    <w:next w:val="1"/>
    <w:link w:val="22"/>
    <w:qFormat/>
    <w:uiPriority w:val="0"/>
    <w:pPr>
      <w:spacing w:line="360" w:lineRule="auto"/>
    </w:pPr>
    <w:rPr>
      <w:rFonts w:eastAsia="宋体"/>
      <w:sz w:val="24"/>
    </w:rPr>
  </w:style>
  <w:style w:type="character" w:customStyle="1" w:styleId="24">
    <w:name w:val="UserStyle_9"/>
    <w:link w:val="25"/>
    <w:qFormat/>
    <w:uiPriority w:val="0"/>
    <w:rPr>
      <w:rFonts w:ascii="宋体" w:hAnsi="Times New Roman" w:eastAsia="宋体"/>
      <w:kern w:val="2"/>
      <w:sz w:val="24"/>
      <w:szCs w:val="24"/>
      <w:lang w:val="en-US" w:eastAsia="zh-CN" w:bidi="ar-SA"/>
    </w:rPr>
  </w:style>
  <w:style w:type="paragraph" w:customStyle="1" w:styleId="25">
    <w:name w:val="UserStyle_10"/>
    <w:basedOn w:val="1"/>
    <w:link w:val="24"/>
    <w:qFormat/>
    <w:uiPriority w:val="0"/>
    <w:pPr>
      <w:spacing w:line="460" w:lineRule="exact"/>
    </w:pPr>
    <w:rPr>
      <w:rFonts w:ascii="宋体" w:eastAsia="宋体"/>
      <w:sz w:val="24"/>
    </w:rPr>
  </w:style>
  <w:style w:type="character" w:customStyle="1" w:styleId="26">
    <w:name w:val="UserStyle_11"/>
    <w:link w:val="27"/>
    <w:qFormat/>
    <w:uiPriority w:val="0"/>
    <w:rPr>
      <w:rFonts w:ascii="仿宋_GB2312" w:hAnsi="宋体" w:eastAsia="仿宋_GB2312"/>
      <w:color w:val="000000"/>
      <w:sz w:val="32"/>
      <w:szCs w:val="32"/>
    </w:rPr>
  </w:style>
  <w:style w:type="paragraph" w:customStyle="1" w:styleId="27">
    <w:name w:val="UserStyle_12"/>
    <w:basedOn w:val="3"/>
    <w:link w:val="26"/>
    <w:qFormat/>
    <w:uiPriority w:val="0"/>
    <w:pPr>
      <w:tabs>
        <w:tab w:val="left" w:pos="5250"/>
      </w:tabs>
      <w:snapToGrid w:val="0"/>
      <w:spacing w:line="560" w:lineRule="exact"/>
      <w:ind w:left="17" w:firstLine="640"/>
    </w:pPr>
    <w:rPr>
      <w:rFonts w:ascii="仿宋_GB2312" w:hAnsi="宋体" w:eastAsia="仿宋_GB2312"/>
      <w:color w:val="000000"/>
      <w:kern w:val="0"/>
      <w:sz w:val="32"/>
      <w:szCs w:val="32"/>
    </w:rPr>
  </w:style>
  <w:style w:type="character" w:customStyle="1" w:styleId="28">
    <w:name w:val="UserStyle_13"/>
    <w:link w:val="29"/>
    <w:qFormat/>
    <w:uiPriority w:val="0"/>
    <w:rPr>
      <w:rFonts w:ascii="宋体" w:hAnsi="宋体" w:eastAsia="仿宋_GB2312"/>
      <w:kern w:val="2"/>
      <w:sz w:val="24"/>
      <w:szCs w:val="24"/>
      <w:lang w:val="zh-CN"/>
    </w:rPr>
  </w:style>
  <w:style w:type="paragraph" w:customStyle="1" w:styleId="29">
    <w:name w:val="UserStyle_14"/>
    <w:basedOn w:val="1"/>
    <w:link w:val="28"/>
    <w:qFormat/>
    <w:uiPriority w:val="0"/>
    <w:pPr>
      <w:topLinePunct/>
      <w:spacing w:line="360" w:lineRule="auto"/>
    </w:pPr>
    <w:rPr>
      <w:rFonts w:ascii="宋体" w:hAnsi="宋体" w:eastAsia="宋体"/>
      <w:sz w:val="24"/>
      <w:lang w:val="zh-CN"/>
    </w:rPr>
  </w:style>
  <w:style w:type="character" w:customStyle="1" w:styleId="30">
    <w:name w:val="日期 字符"/>
    <w:link w:val="4"/>
    <w:qFormat/>
    <w:uiPriority w:val="0"/>
    <w:rPr>
      <w:rFonts w:ascii="Times New Roman" w:hAnsi="Times New Roman" w:eastAsia="仿宋_GB2312"/>
      <w:kern w:val="2"/>
      <w:sz w:val="32"/>
      <w:szCs w:val="24"/>
    </w:rPr>
  </w:style>
  <w:style w:type="paragraph" w:customStyle="1" w:styleId="31">
    <w:name w:val="UserStyle_16"/>
    <w:qFormat/>
    <w:uiPriority w:val="0"/>
    <w:pPr>
      <w:textAlignment w:val="baseline"/>
    </w:pPr>
    <w:rPr>
      <w:rFonts w:ascii="仿宋_GB2312" w:hAnsi="仿宋_GB2312" w:eastAsia="仿宋_GB2312" w:cs="Times New Roman"/>
      <w:color w:val="000000"/>
      <w:sz w:val="24"/>
      <w:lang w:val="en-US" w:eastAsia="zh-CN" w:bidi="ar-SA"/>
    </w:rPr>
  </w:style>
  <w:style w:type="paragraph" w:customStyle="1" w:styleId="32">
    <w:name w:val="BodyText"/>
    <w:basedOn w:val="1"/>
    <w:qFormat/>
    <w:uiPriority w:val="0"/>
    <w:pPr>
      <w:spacing w:after="120"/>
    </w:pPr>
    <w:rPr>
      <w:rFonts w:eastAsia="宋体"/>
    </w:rPr>
  </w:style>
  <w:style w:type="paragraph" w:customStyle="1" w:styleId="33">
    <w:name w:val="Acetate"/>
    <w:basedOn w:val="1"/>
    <w:qFormat/>
    <w:uiPriority w:val="0"/>
    <w:rPr>
      <w:rFonts w:eastAsia="宋体"/>
      <w:sz w:val="18"/>
      <w:szCs w:val="18"/>
    </w:rPr>
  </w:style>
  <w:style w:type="paragraph" w:customStyle="1" w:styleId="34">
    <w:name w:val="UserStyle_17"/>
    <w:basedOn w:val="1"/>
    <w:qFormat/>
    <w:uiPriority w:val="0"/>
    <w:pPr>
      <w:spacing w:line="360" w:lineRule="auto"/>
    </w:pPr>
    <w:rPr>
      <w:rFonts w:ascii="宋体" w:eastAsia="宋体"/>
      <w:sz w:val="24"/>
    </w:rPr>
  </w:style>
  <w:style w:type="paragraph" w:customStyle="1" w:styleId="35">
    <w:name w:val="UserStyle_18"/>
    <w:basedOn w:val="1"/>
    <w:qFormat/>
    <w:uiPriority w:val="0"/>
    <w:pPr>
      <w:spacing w:line="360" w:lineRule="auto"/>
    </w:pPr>
    <w:rPr>
      <w:rFonts w:eastAsia="宋体"/>
      <w:sz w:val="24"/>
    </w:rPr>
  </w:style>
  <w:style w:type="paragraph" w:customStyle="1" w:styleId="36">
    <w:name w:val="UserStyle_19"/>
    <w:basedOn w:val="1"/>
    <w:qFormat/>
    <w:uiPriority w:val="0"/>
    <w:pPr>
      <w:ind w:firstLine="0" w:firstLineChars="0"/>
    </w:pPr>
    <w:rPr>
      <w:rFonts w:eastAsia="宋体"/>
      <w:kern w:val="0"/>
      <w:sz w:val="21"/>
      <w:szCs w:val="21"/>
    </w:rPr>
  </w:style>
  <w:style w:type="paragraph" w:customStyle="1" w:styleId="37">
    <w:name w:val="NavPane"/>
    <w:basedOn w:val="1"/>
    <w:qFormat/>
    <w:uiPriority w:val="0"/>
    <w:pPr>
      <w:shd w:val="clear" w:color="auto" w:fill="000080"/>
    </w:pPr>
    <w:rPr>
      <w:rFonts w:eastAsia="宋体"/>
    </w:rPr>
  </w:style>
  <w:style w:type="paragraph" w:customStyle="1" w:styleId="38">
    <w:name w:val="UserStyle_20"/>
    <w:basedOn w:val="1"/>
    <w:next w:val="1"/>
    <w:qFormat/>
    <w:uiPriority w:val="0"/>
    <w:pPr>
      <w:keepNext/>
      <w:keepLines/>
      <w:spacing w:before="360" w:after="480" w:line="360" w:lineRule="auto"/>
      <w:jc w:val="left"/>
    </w:pPr>
    <w:rPr>
      <w:rFonts w:ascii="宋体" w:eastAsia="宋体" w:cs="宋体"/>
      <w:kern w:val="0"/>
      <w:sz w:val="30"/>
      <w:szCs w:val="28"/>
    </w:rPr>
  </w:style>
  <w:style w:type="paragraph" w:customStyle="1" w:styleId="39">
    <w:name w:val="UserStyle_21"/>
    <w:basedOn w:val="1"/>
    <w:qFormat/>
    <w:uiPriority w:val="0"/>
    <w:pPr>
      <w:spacing w:line="520" w:lineRule="exact"/>
      <w:ind w:firstLine="480"/>
    </w:pPr>
    <w:rPr>
      <w:rFonts w:eastAsia="宋体"/>
      <w:kern w:val="0"/>
      <w:sz w:val="24"/>
      <w:szCs w:val="22"/>
    </w:rPr>
  </w:style>
  <w:style w:type="paragraph" w:customStyle="1" w:styleId="40">
    <w:name w:val="UserStyle_22"/>
    <w:basedOn w:val="1"/>
    <w:next w:val="1"/>
    <w:qFormat/>
    <w:uiPriority w:val="0"/>
    <w:pPr>
      <w:spacing w:line="360" w:lineRule="auto"/>
    </w:pPr>
    <w:rPr>
      <w:rFonts w:eastAsia="宋体"/>
      <w:sz w:val="21"/>
      <w:szCs w:val="20"/>
    </w:rPr>
  </w:style>
  <w:style w:type="paragraph" w:customStyle="1" w:styleId="41">
    <w:name w:val="UserStyle_23"/>
    <w:basedOn w:val="15"/>
    <w:qFormat/>
    <w:uiPriority w:val="0"/>
    <w:pPr>
      <w:spacing w:line="360" w:lineRule="auto"/>
    </w:pPr>
    <w:rPr>
      <w:sz w:val="24"/>
    </w:rPr>
  </w:style>
  <w:style w:type="paragraph" w:customStyle="1" w:styleId="42">
    <w:name w:val="UserStyle_24"/>
    <w:basedOn w:val="1"/>
    <w:qFormat/>
    <w:uiPriority w:val="0"/>
    <w:rPr>
      <w:rFonts w:eastAsia="宋体"/>
      <w:sz w:val="24"/>
    </w:rPr>
  </w:style>
  <w:style w:type="paragraph" w:customStyle="1" w:styleId="43">
    <w:name w:val="UserStyle_25"/>
    <w:basedOn w:val="1"/>
    <w:qFormat/>
    <w:uiPriority w:val="0"/>
    <w:pPr>
      <w:spacing w:line="360" w:lineRule="auto"/>
    </w:pPr>
    <w:rPr>
      <w:rFonts w:ascii="宋体" w:hAnsi="宋体" w:eastAsia="宋体"/>
      <w:color w:val="000000"/>
      <w:sz w:val="24"/>
    </w:rPr>
  </w:style>
  <w:style w:type="paragraph" w:customStyle="1" w:styleId="44">
    <w:name w:val="UserStyle_26"/>
    <w:basedOn w:val="1"/>
    <w:qFormat/>
    <w:uiPriority w:val="0"/>
    <w:pPr>
      <w:spacing w:line="360" w:lineRule="auto"/>
      <w:jc w:val="left"/>
    </w:pPr>
    <w:rPr>
      <w:rFonts w:eastAsia="宋体"/>
      <w:color w:val="000000"/>
      <w:sz w:val="24"/>
    </w:rPr>
  </w:style>
  <w:style w:type="paragraph" w:customStyle="1" w:styleId="45">
    <w:name w:val="UserStyle_27"/>
    <w:basedOn w:val="1"/>
    <w:qFormat/>
    <w:uiPriority w:val="0"/>
    <w:pPr>
      <w:snapToGrid w:val="0"/>
      <w:jc w:val="center"/>
    </w:pPr>
    <w:rPr>
      <w:rFonts w:eastAsia="宋体"/>
      <w:szCs w:val="21"/>
    </w:rPr>
  </w:style>
  <w:style w:type="paragraph" w:customStyle="1" w:styleId="46">
    <w:name w:val="UserStyle_28"/>
    <w:basedOn w:val="1"/>
    <w:next w:val="1"/>
    <w:qFormat/>
    <w:uiPriority w:val="0"/>
    <w:pPr>
      <w:keepNext/>
      <w:keepLines/>
      <w:spacing w:line="360" w:lineRule="auto"/>
      <w:jc w:val="left"/>
    </w:pPr>
    <w:rPr>
      <w:rFonts w:asci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0"/>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302</Words>
  <Characters>1725</Characters>
  <Lines>14</Lines>
  <Paragraphs>4</Paragraphs>
  <ScaleCrop>false</ScaleCrop>
  <LinksUpToDate>false</LinksUpToDate>
  <CharactersWithSpaces>2023</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2022-04-24T02:11:00Z</dcterms:created>
  <dc:creator>User</dc:creator>
  <cp:lastModifiedBy>刘海龙(协办科室内部运转)</cp:lastModifiedBy>
  <cp:lastPrinted>2022-05-24T07:36:38Z</cp:lastPrinted>
  <dcterms:modified xsi:type="dcterms:W3CDTF">2022-05-24T07:36:48Z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