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center"/>
        <w:rPr>
          <w:rFonts w:ascii="Times New Roman" w:hAnsi="Times New Roman" w:eastAsia="仿宋"/>
          <w:highlight w:val="none"/>
        </w:rPr>
      </w:pPr>
    </w:p>
    <w:p>
      <w:pPr>
        <w:spacing w:line="560" w:lineRule="exact"/>
        <w:ind w:firstLine="0" w:firstLineChars="0"/>
        <w:jc w:val="center"/>
        <w:rPr>
          <w:rFonts w:ascii="Times New Roman" w:hAnsi="Times New Roman" w:eastAsia="仿宋"/>
          <w:highlight w:val="none"/>
        </w:rPr>
      </w:pPr>
    </w:p>
    <w:p>
      <w:pPr>
        <w:spacing w:line="560" w:lineRule="exact"/>
        <w:ind w:firstLine="0" w:firstLineChars="0"/>
        <w:jc w:val="center"/>
        <w:rPr>
          <w:rFonts w:ascii="Times New Roman" w:hAnsi="Times New Roman" w:eastAsia="仿宋"/>
          <w:highlight w:val="none"/>
        </w:rPr>
      </w:pPr>
    </w:p>
    <w:p>
      <w:pPr>
        <w:spacing w:line="560" w:lineRule="exact"/>
        <w:ind w:firstLine="0" w:firstLineChars="0"/>
        <w:jc w:val="center"/>
        <w:rPr>
          <w:rFonts w:ascii="Times New Roman" w:hAnsi="Times New Roman" w:eastAsia="仿宋"/>
          <w:highlight w:val="none"/>
        </w:rPr>
      </w:pPr>
    </w:p>
    <w:p>
      <w:pPr>
        <w:spacing w:line="560" w:lineRule="exact"/>
        <w:ind w:firstLine="0" w:firstLineChars="0"/>
        <w:jc w:val="center"/>
        <w:rPr>
          <w:rFonts w:ascii="Times New Roman" w:hAnsi="Times New Roman" w:eastAsia="仿宋"/>
          <w:highlight w:val="none"/>
        </w:rPr>
      </w:pPr>
    </w:p>
    <w:p>
      <w:pPr>
        <w:spacing w:line="560" w:lineRule="exact"/>
        <w:ind w:firstLine="0" w:firstLineChars="0"/>
        <w:jc w:val="center"/>
        <w:rPr>
          <w:rFonts w:ascii="Times New Roman" w:hAnsi="Times New Roman" w:eastAsia="仿宋"/>
          <w:highlight w:val="none"/>
        </w:rPr>
      </w:pPr>
    </w:p>
    <w:p>
      <w:pPr>
        <w:spacing w:line="560" w:lineRule="exact"/>
        <w:ind w:firstLine="0" w:firstLineChars="0"/>
        <w:jc w:val="center"/>
        <w:rPr>
          <w:rFonts w:ascii="Times New Roman" w:hAnsi="Times New Roman" w:eastAsia="仿宋"/>
          <w:highlight w:val="none"/>
        </w:rPr>
      </w:pPr>
    </w:p>
    <w:p>
      <w:pPr>
        <w:spacing w:line="560" w:lineRule="exact"/>
        <w:ind w:firstLine="0" w:firstLineChars="0"/>
        <w:jc w:val="center"/>
        <w:rPr>
          <w:rFonts w:ascii="Times New Roman" w:hAnsi="Times New Roman" w:eastAsia="仿宋"/>
          <w:highlight w:val="none"/>
        </w:rPr>
      </w:pPr>
    </w:p>
    <w:p>
      <w:pPr>
        <w:spacing w:line="560" w:lineRule="exact"/>
        <w:ind w:firstLine="0" w:firstLineChars="0"/>
        <w:jc w:val="center"/>
        <w:rPr>
          <w:rFonts w:ascii="Times New Roman" w:hAnsi="Times New Roman" w:eastAsia="仿宋"/>
          <w:highlight w:val="none"/>
        </w:rPr>
      </w:pPr>
    </w:p>
    <w:p>
      <w:pPr>
        <w:spacing w:line="560" w:lineRule="exact"/>
        <w:ind w:firstLine="0" w:firstLineChars="0"/>
        <w:jc w:val="center"/>
        <w:rPr>
          <w:rFonts w:ascii="Times New Roman" w:hAnsi="Times New Roman" w:eastAsia="仿宋"/>
          <w:highlight w:val="none"/>
        </w:rPr>
      </w:pPr>
    </w:p>
    <w:p>
      <w:pPr>
        <w:keepNext w:val="0"/>
        <w:keepLines w:val="0"/>
        <w:pageBreakBefore w:val="0"/>
        <w:widowControl w:val="0"/>
        <w:kinsoku/>
        <w:wordWrap/>
        <w:overflowPunct/>
        <w:topLinePunct w:val="0"/>
        <w:autoSpaceDE/>
        <w:autoSpaceDN/>
        <w:bidi w:val="0"/>
        <w:spacing w:line="600" w:lineRule="exact"/>
        <w:ind w:firstLine="0" w:firstLineChars="0"/>
        <w:jc w:val="center"/>
        <w:rPr>
          <w:rFonts w:ascii="Times New Roman" w:hAnsi="Times New Roman" w:eastAsia="仿宋"/>
          <w:highlight w:val="none"/>
        </w:rPr>
      </w:pPr>
      <w:r>
        <w:rPr>
          <w:rFonts w:ascii="Times New Roman" w:hAnsi="Times New Roman" w:eastAsia="仿宋"/>
          <w:highlight w:val="none"/>
        </w:rPr>
        <w:t>鄂环审字〔202</w:t>
      </w:r>
      <w:r>
        <w:rPr>
          <w:rFonts w:hint="eastAsia" w:ascii="Times New Roman" w:hAnsi="Times New Roman" w:eastAsia="仿宋"/>
          <w:highlight w:val="none"/>
        </w:rPr>
        <w:t>1</w:t>
      </w:r>
      <w:r>
        <w:rPr>
          <w:rFonts w:ascii="Times New Roman" w:hAnsi="Times New Roman" w:eastAsia="仿宋"/>
          <w:highlight w:val="none"/>
        </w:rPr>
        <w:t>〕</w:t>
      </w:r>
      <w:r>
        <w:rPr>
          <w:rFonts w:hint="eastAsia" w:ascii="Times New Roman" w:hAnsi="Times New Roman" w:eastAsia="仿宋"/>
          <w:highlight w:val="none"/>
        </w:rPr>
        <w:t>404</w:t>
      </w:r>
      <w:r>
        <w:rPr>
          <w:rFonts w:ascii="Times New Roman" w:hAnsi="Times New Roman" w:eastAsia="仿宋"/>
          <w:highlight w:val="none"/>
        </w:rPr>
        <w:t>号</w:t>
      </w:r>
    </w:p>
    <w:p>
      <w:pPr>
        <w:keepNext w:val="0"/>
        <w:keepLines w:val="0"/>
        <w:pageBreakBefore w:val="0"/>
        <w:widowControl w:val="0"/>
        <w:kinsoku/>
        <w:wordWrap/>
        <w:overflowPunct/>
        <w:topLinePunct w:val="0"/>
        <w:autoSpaceDE/>
        <w:autoSpaceDN/>
        <w:bidi w:val="0"/>
        <w:spacing w:line="600" w:lineRule="exact"/>
        <w:ind w:firstLine="0" w:firstLineChars="0"/>
        <w:jc w:val="center"/>
        <w:rPr>
          <w:rFonts w:ascii="Times New Roman" w:hAnsi="Times New Roman"/>
          <w:highlight w:val="none"/>
        </w:rPr>
      </w:pPr>
    </w:p>
    <w:p>
      <w:pPr>
        <w:keepNext w:val="0"/>
        <w:keepLines w:val="0"/>
        <w:pageBreakBefore w:val="0"/>
        <w:widowControl w:val="0"/>
        <w:kinsoku/>
        <w:wordWrap/>
        <w:overflowPunct/>
        <w:topLinePunct w:val="0"/>
        <w:autoSpaceDE/>
        <w:autoSpaceDN/>
        <w:bidi w:val="0"/>
        <w:spacing w:line="600" w:lineRule="exact"/>
        <w:ind w:firstLine="0" w:firstLineChars="0"/>
        <w:jc w:val="center"/>
        <w:rPr>
          <w:rFonts w:ascii="Times New Roman" w:hAnsi="Times New Roman" w:eastAsia="宋体"/>
          <w:b/>
          <w:bCs/>
          <w:sz w:val="44"/>
          <w:szCs w:val="44"/>
          <w:highlight w:val="none"/>
        </w:rPr>
      </w:pPr>
      <w:r>
        <w:rPr>
          <w:rFonts w:ascii="Times New Roman" w:hAnsi="Times New Roman" w:eastAsia="宋体"/>
          <w:b/>
          <w:bCs/>
          <w:sz w:val="44"/>
          <w:szCs w:val="44"/>
          <w:highlight w:val="none"/>
        </w:rPr>
        <w:t>鄂尔多斯市生态环境局</w:t>
      </w:r>
    </w:p>
    <w:p>
      <w:pPr>
        <w:keepNext w:val="0"/>
        <w:keepLines w:val="0"/>
        <w:pageBreakBefore w:val="0"/>
        <w:widowControl w:val="0"/>
        <w:kinsoku/>
        <w:wordWrap/>
        <w:overflowPunct/>
        <w:topLinePunct w:val="0"/>
        <w:autoSpaceDE/>
        <w:autoSpaceDN/>
        <w:bidi w:val="0"/>
        <w:spacing w:line="600" w:lineRule="exact"/>
        <w:ind w:firstLine="0" w:firstLineChars="0"/>
        <w:jc w:val="center"/>
        <w:rPr>
          <w:rFonts w:ascii="Times New Roman" w:hAnsi="Times New Roman" w:eastAsia="宋体"/>
          <w:b/>
          <w:bCs/>
          <w:sz w:val="44"/>
          <w:szCs w:val="44"/>
          <w:highlight w:val="none"/>
        </w:rPr>
      </w:pPr>
      <w:r>
        <w:rPr>
          <w:rFonts w:ascii="Times New Roman" w:hAnsi="Times New Roman" w:eastAsia="宋体"/>
          <w:b/>
          <w:bCs/>
          <w:sz w:val="44"/>
          <w:szCs w:val="44"/>
          <w:highlight w:val="none"/>
        </w:rPr>
        <w:t>关于鄂尔多斯市保信机动车拆解有限责任公司机动车回收拆解项目环境影响报告</w:t>
      </w:r>
      <w:r>
        <w:rPr>
          <w:rFonts w:hint="eastAsia" w:ascii="Times New Roman" w:hAnsi="Times New Roman" w:eastAsia="宋体"/>
          <w:b/>
          <w:bCs/>
          <w:sz w:val="44"/>
          <w:szCs w:val="44"/>
          <w:highlight w:val="none"/>
        </w:rPr>
        <w:t>表</w:t>
      </w:r>
      <w:r>
        <w:rPr>
          <w:rFonts w:ascii="Times New Roman" w:hAnsi="Times New Roman" w:eastAsia="宋体"/>
          <w:b/>
          <w:bCs/>
          <w:sz w:val="44"/>
          <w:szCs w:val="44"/>
          <w:highlight w:val="none"/>
        </w:rPr>
        <w:t>的批复</w:t>
      </w:r>
    </w:p>
    <w:p>
      <w:pPr>
        <w:keepNext w:val="0"/>
        <w:keepLines w:val="0"/>
        <w:pageBreakBefore w:val="0"/>
        <w:widowControl w:val="0"/>
        <w:kinsoku/>
        <w:wordWrap/>
        <w:overflowPunct/>
        <w:topLinePunct w:val="0"/>
        <w:autoSpaceDE/>
        <w:autoSpaceDN/>
        <w:bidi w:val="0"/>
        <w:spacing w:line="600" w:lineRule="exact"/>
        <w:ind w:firstLine="0" w:firstLineChars="0"/>
        <w:jc w:val="left"/>
        <w:rPr>
          <w:rFonts w:ascii="Times New Roman" w:hAnsi="Times New Roman"/>
          <w:szCs w:val="32"/>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rPr>
          <w:rFonts w:ascii="Times New Roman" w:hAnsi="Times New Roman" w:eastAsia="仿宋"/>
          <w:color w:val="000000"/>
          <w:szCs w:val="32"/>
          <w:highlight w:val="none"/>
        </w:rPr>
      </w:pPr>
      <w:r>
        <w:rPr>
          <w:rFonts w:ascii="Times New Roman" w:hAnsi="Times New Roman" w:eastAsia="仿宋"/>
          <w:color w:val="000000"/>
          <w:szCs w:val="32"/>
          <w:highlight w:val="none"/>
        </w:rPr>
        <w:t>鄂尔多斯市保信机动车拆解有限责任公司：</w:t>
      </w:r>
    </w:p>
    <w:p>
      <w:pPr>
        <w:keepNext w:val="0"/>
        <w:keepLines w:val="0"/>
        <w:pageBreakBefore w:val="0"/>
        <w:widowControl w:val="0"/>
        <w:kinsoku/>
        <w:wordWrap/>
        <w:overflowPunct/>
        <w:topLinePunct w:val="0"/>
        <w:autoSpaceDE/>
        <w:autoSpaceDN/>
        <w:bidi w:val="0"/>
        <w:adjustRightInd w:val="0"/>
        <w:snapToGrid w:val="0"/>
        <w:spacing w:line="600" w:lineRule="exact"/>
        <w:ind w:firstLine="640"/>
        <w:rPr>
          <w:rFonts w:ascii="Times New Roman" w:hAnsi="Times New Roman" w:eastAsia="仿宋"/>
          <w:color w:val="000000"/>
          <w:szCs w:val="32"/>
          <w:highlight w:val="none"/>
        </w:rPr>
      </w:pPr>
      <w:r>
        <w:rPr>
          <w:rFonts w:ascii="Times New Roman" w:hAnsi="Times New Roman" w:eastAsia="仿宋"/>
          <w:color w:val="000000"/>
          <w:szCs w:val="32"/>
          <w:highlight w:val="none"/>
        </w:rPr>
        <w:t>你公司报送的由</w:t>
      </w:r>
      <w:r>
        <w:rPr>
          <w:rFonts w:hint="eastAsia" w:ascii="Times New Roman" w:hAnsi="Times New Roman" w:eastAsia="仿宋"/>
          <w:color w:val="000000"/>
          <w:szCs w:val="32"/>
          <w:highlight w:val="none"/>
        </w:rPr>
        <w:t>内蒙古蒙源环保科技有限责任公司</w:t>
      </w:r>
      <w:r>
        <w:rPr>
          <w:rFonts w:ascii="Times New Roman" w:hAnsi="Times New Roman" w:eastAsia="仿宋"/>
          <w:color w:val="000000"/>
          <w:szCs w:val="32"/>
          <w:highlight w:val="none"/>
        </w:rPr>
        <w:t>编制的《鄂尔多斯市保信机动车拆解有限责任公司机动车回收拆解项目环</w:t>
      </w:r>
      <w:r>
        <w:rPr>
          <w:rFonts w:ascii="Times New Roman" w:hAnsi="Times New Roman" w:eastAsia="仿宋"/>
          <w:szCs w:val="32"/>
          <w:highlight w:val="none"/>
        </w:rPr>
        <w:t>境影响</w:t>
      </w:r>
      <w:r>
        <w:rPr>
          <w:rFonts w:hint="eastAsia" w:ascii="Times New Roman" w:hAnsi="Times New Roman" w:eastAsia="仿宋"/>
          <w:szCs w:val="32"/>
          <w:highlight w:val="none"/>
          <w:lang w:eastAsia="zh-CN"/>
        </w:rPr>
        <w:t>报告表</w:t>
      </w:r>
      <w:r>
        <w:rPr>
          <w:rFonts w:ascii="Times New Roman" w:hAnsi="Times New Roman" w:eastAsia="仿宋"/>
          <w:szCs w:val="32"/>
          <w:highlight w:val="none"/>
        </w:rPr>
        <w:t>》</w:t>
      </w:r>
      <w:r>
        <w:rPr>
          <w:rFonts w:ascii="Times New Roman" w:hAnsi="Times New Roman"/>
          <w:szCs w:val="32"/>
          <w:highlight w:val="none"/>
        </w:rPr>
        <w:t>（以下简称《报告</w:t>
      </w:r>
      <w:r>
        <w:rPr>
          <w:rFonts w:hint="eastAsia" w:ascii="Times New Roman" w:hAnsi="Times New Roman"/>
          <w:szCs w:val="32"/>
          <w:highlight w:val="none"/>
        </w:rPr>
        <w:t>表</w:t>
      </w:r>
      <w:r>
        <w:rPr>
          <w:rFonts w:ascii="Times New Roman" w:hAnsi="Times New Roman"/>
          <w:szCs w:val="32"/>
          <w:highlight w:val="none"/>
        </w:rPr>
        <w:t>》）</w:t>
      </w:r>
      <w:r>
        <w:rPr>
          <w:rFonts w:ascii="Times New Roman" w:hAnsi="Times New Roman" w:eastAsia="仿宋"/>
          <w:color w:val="000000"/>
          <w:szCs w:val="32"/>
          <w:highlight w:val="none"/>
        </w:rPr>
        <w:t>收</w:t>
      </w:r>
      <w:r>
        <w:rPr>
          <w:rFonts w:ascii="Times New Roman" w:hAnsi="Times New Roman" w:eastAsia="仿宋"/>
          <w:szCs w:val="32"/>
          <w:highlight w:val="none"/>
        </w:rPr>
        <w:t>悉。经</w:t>
      </w:r>
      <w:r>
        <w:rPr>
          <w:rFonts w:hint="eastAsia" w:ascii="Times New Roman" w:hAnsi="Times New Roman" w:eastAsia="仿宋"/>
          <w:szCs w:val="32"/>
          <w:highlight w:val="none"/>
        </w:rPr>
        <w:t>研究</w:t>
      </w:r>
      <w:r>
        <w:rPr>
          <w:rFonts w:ascii="Times New Roman" w:hAnsi="Times New Roman" w:eastAsia="仿宋"/>
          <w:szCs w:val="32"/>
          <w:highlight w:val="none"/>
        </w:rPr>
        <w:t>，现批复如下：</w:t>
      </w:r>
    </w:p>
    <w:p>
      <w:pPr>
        <w:keepNext w:val="0"/>
        <w:keepLines w:val="0"/>
        <w:pageBreakBefore w:val="0"/>
        <w:widowControl w:val="0"/>
        <w:kinsoku/>
        <w:wordWrap/>
        <w:overflowPunct/>
        <w:topLinePunct w:val="0"/>
        <w:autoSpaceDE/>
        <w:autoSpaceDN/>
        <w:bidi w:val="0"/>
        <w:spacing w:line="600" w:lineRule="exact"/>
        <w:ind w:firstLine="640"/>
        <w:rPr>
          <w:rFonts w:ascii="Times New Roman" w:hAnsi="Times New Roman"/>
          <w:szCs w:val="21"/>
          <w:highlight w:val="none"/>
        </w:rPr>
      </w:pPr>
      <w:r>
        <w:rPr>
          <w:rFonts w:ascii="Times New Roman" w:hAnsi="Times New Roman" w:eastAsia="仿宋"/>
          <w:szCs w:val="32"/>
          <w:highlight w:val="none"/>
        </w:rPr>
        <w:t>一、该项目位于鄂尔多斯</w:t>
      </w:r>
      <w:r>
        <w:rPr>
          <w:rFonts w:hint="eastAsia" w:ascii="Times New Roman" w:hAnsi="Times New Roman" w:eastAsia="仿宋"/>
          <w:szCs w:val="32"/>
          <w:highlight w:val="none"/>
        </w:rPr>
        <w:t>市</w:t>
      </w:r>
      <w:r>
        <w:rPr>
          <w:rFonts w:ascii="Times New Roman" w:hAnsi="Times New Roman" w:eastAsia="仿宋"/>
          <w:szCs w:val="32"/>
          <w:highlight w:val="none"/>
        </w:rPr>
        <w:t>达拉特旗经济开发区三晌梁工业园区。</w:t>
      </w:r>
      <w:r>
        <w:rPr>
          <w:rFonts w:ascii="Times New Roman" w:hAnsi="Times New Roman" w:eastAsia="仿宋"/>
          <w:szCs w:val="32"/>
          <w:highlight w:val="none"/>
        </w:rPr>
        <w:t>主要建设内容包括</w:t>
      </w:r>
      <w:r>
        <w:rPr>
          <w:rFonts w:hint="eastAsia" w:ascii="Times New Roman" w:hAnsi="Times New Roman"/>
          <w:szCs w:val="21"/>
          <w:highlight w:val="none"/>
        </w:rPr>
        <w:t>待拆场、预拆解车间、拆解车间、切割分选打包车间、</w:t>
      </w:r>
      <w:r>
        <w:rPr>
          <w:rFonts w:hint="eastAsia" w:ascii="Times New Roman" w:hAnsi="Times New Roman" w:eastAsia="仿宋"/>
          <w:szCs w:val="32"/>
          <w:highlight w:val="none"/>
        </w:rPr>
        <w:t>危废库、</w:t>
      </w:r>
      <w:r>
        <w:rPr>
          <w:rFonts w:hint="eastAsia" w:ascii="Times New Roman" w:hAnsi="Times New Roman"/>
          <w:szCs w:val="21"/>
          <w:highlight w:val="none"/>
        </w:rPr>
        <w:t>一般固废暂存间</w:t>
      </w:r>
      <w:r>
        <w:rPr>
          <w:rFonts w:ascii="Times New Roman" w:hAnsi="Times New Roman"/>
          <w:szCs w:val="21"/>
          <w:highlight w:val="none"/>
        </w:rPr>
        <w:t>和给排水系统等其他公辅工程及环保工程，建成后，</w:t>
      </w:r>
      <w:r>
        <w:rPr>
          <w:rFonts w:hint="eastAsia" w:ascii="Times New Roman" w:hAnsi="Times New Roman"/>
          <w:szCs w:val="21"/>
          <w:highlight w:val="none"/>
        </w:rPr>
        <w:t>拆解报废机动车10000辆/年，</w:t>
      </w:r>
      <w:r>
        <w:rPr>
          <w:rFonts w:ascii="Times New Roman" w:hAnsi="Times New Roman"/>
          <w:szCs w:val="21"/>
          <w:highlight w:val="none"/>
        </w:rPr>
        <w:t>对拆解得到的可回收的零部件等直接外售，不进行进一步的加工。</w:t>
      </w:r>
      <w:r>
        <w:rPr>
          <w:rFonts w:ascii="Times New Roman" w:hAnsi="Times New Roman" w:eastAsia="仿宋"/>
          <w:szCs w:val="32"/>
          <w:highlight w:val="none"/>
        </w:rPr>
        <w:t>项目总投资</w:t>
      </w:r>
      <w:r>
        <w:rPr>
          <w:rFonts w:hint="eastAsia" w:ascii="Times New Roman" w:hAnsi="Times New Roman" w:eastAsia="仿宋"/>
          <w:szCs w:val="32"/>
          <w:highlight w:val="none"/>
        </w:rPr>
        <w:t>1</w:t>
      </w:r>
      <w:r>
        <w:rPr>
          <w:rFonts w:ascii="Times New Roman" w:hAnsi="Times New Roman" w:eastAsia="仿宋"/>
          <w:szCs w:val="32"/>
          <w:highlight w:val="none"/>
        </w:rPr>
        <w:t>000万元，其中环保投资</w:t>
      </w:r>
      <w:r>
        <w:rPr>
          <w:rFonts w:hint="eastAsia" w:ascii="Times New Roman" w:hAnsi="Times New Roman" w:eastAsia="仿宋"/>
          <w:szCs w:val="32"/>
          <w:highlight w:val="none"/>
        </w:rPr>
        <w:t>313</w:t>
      </w:r>
      <w:r>
        <w:rPr>
          <w:rFonts w:ascii="Times New Roman" w:hAnsi="Times New Roman" w:eastAsia="仿宋"/>
          <w:szCs w:val="32"/>
          <w:highlight w:val="none"/>
        </w:rPr>
        <w:t>万元。</w:t>
      </w:r>
    </w:p>
    <w:p>
      <w:pPr>
        <w:keepNext w:val="0"/>
        <w:keepLines w:val="0"/>
        <w:pageBreakBefore w:val="0"/>
        <w:widowControl w:val="0"/>
        <w:kinsoku/>
        <w:wordWrap/>
        <w:overflowPunct/>
        <w:topLinePunct w:val="0"/>
        <w:autoSpaceDE/>
        <w:autoSpaceDN/>
        <w:bidi w:val="0"/>
        <w:adjustRightInd w:val="0"/>
        <w:snapToGrid w:val="0"/>
        <w:spacing w:line="600" w:lineRule="exact"/>
        <w:ind w:firstLine="640"/>
        <w:rPr>
          <w:rFonts w:eastAsia="仿宋"/>
          <w:color w:val="000000"/>
          <w:szCs w:val="32"/>
          <w:highlight w:val="none"/>
        </w:rPr>
      </w:pPr>
      <w:r>
        <w:rPr>
          <w:rFonts w:eastAsia="仿宋"/>
          <w:color w:val="000000"/>
          <w:szCs w:val="32"/>
          <w:highlight w:val="none"/>
        </w:rPr>
        <w:t>《报告表》认为，在全面落实各项生态环境保护和环境污染防治措施的前提下，项目建设对环境的不利影响能够得到一定的缓解和控制。因此，我局原则同意你公司按照《报告表》中所列的建设项目性质、规模、地点、工艺、环境保护措施进行建设。</w:t>
      </w:r>
    </w:p>
    <w:p>
      <w:pPr>
        <w:keepNext w:val="0"/>
        <w:keepLines w:val="0"/>
        <w:pageBreakBefore w:val="0"/>
        <w:widowControl w:val="0"/>
        <w:kinsoku/>
        <w:wordWrap/>
        <w:overflowPunct/>
        <w:topLinePunct w:val="0"/>
        <w:autoSpaceDE/>
        <w:autoSpaceDN/>
        <w:bidi w:val="0"/>
        <w:adjustRightInd w:val="0"/>
        <w:snapToGrid w:val="0"/>
        <w:spacing w:line="600" w:lineRule="exact"/>
        <w:ind w:firstLine="640"/>
        <w:rPr>
          <w:rFonts w:ascii="Times New Roman" w:hAnsi="Times New Roman" w:eastAsia="仿宋"/>
          <w:szCs w:val="32"/>
          <w:highlight w:val="none"/>
        </w:rPr>
      </w:pPr>
      <w:r>
        <w:rPr>
          <w:rFonts w:ascii="Times New Roman" w:hAnsi="Times New Roman" w:eastAsia="仿宋"/>
          <w:szCs w:val="32"/>
          <w:highlight w:val="none"/>
        </w:rPr>
        <w:t>二、项目建设与运行管理中应重点做好的工作：</w:t>
      </w:r>
    </w:p>
    <w:p>
      <w:pPr>
        <w:keepNext w:val="0"/>
        <w:keepLines w:val="0"/>
        <w:pageBreakBefore w:val="0"/>
        <w:widowControl w:val="0"/>
        <w:kinsoku/>
        <w:wordWrap/>
        <w:overflowPunct/>
        <w:topLinePunct w:val="0"/>
        <w:autoSpaceDE/>
        <w:autoSpaceDN/>
        <w:bidi w:val="0"/>
        <w:adjustRightInd w:val="0"/>
        <w:snapToGrid w:val="0"/>
        <w:spacing w:line="600" w:lineRule="exact"/>
        <w:ind w:firstLine="640"/>
        <w:rPr>
          <w:rFonts w:ascii="Times New Roman" w:hAnsi="Times New Roman" w:eastAsia="仿宋"/>
          <w:szCs w:val="32"/>
          <w:highlight w:val="none"/>
        </w:rPr>
      </w:pPr>
      <w:r>
        <w:rPr>
          <w:rFonts w:ascii="Times New Roman" w:hAnsi="Times New Roman" w:eastAsia="仿宋"/>
          <w:szCs w:val="32"/>
          <w:highlight w:val="none"/>
        </w:rPr>
        <w:t>1.加强施工期环境管理，土石方开挖及设备安装过程中应严格按照设计要求施工，尽可能缩小施工活动范围，并及时采取场地洒水等措施，减少裸露土地面积和扬尘。严禁在施工场地焚烧废弃物以及其它能产生有毒有害气体、烟尘、臭气的物质。加强车辆运输的密闭管理。施工期产生的废水和固废须集中收集后统一处置。</w:t>
      </w:r>
    </w:p>
    <w:p>
      <w:pPr>
        <w:pStyle w:val="6"/>
        <w:keepNext w:val="0"/>
        <w:keepLines w:val="0"/>
        <w:pageBreakBefore w:val="0"/>
        <w:widowControl w:val="0"/>
        <w:kinsoku/>
        <w:wordWrap/>
        <w:overflowPunct/>
        <w:topLinePunct w:val="0"/>
        <w:autoSpaceDE/>
        <w:autoSpaceDN/>
        <w:bidi w:val="0"/>
        <w:adjustRightInd w:val="0"/>
        <w:snapToGrid w:val="0"/>
        <w:spacing w:line="600" w:lineRule="exact"/>
        <w:ind w:firstLine="640"/>
        <w:rPr>
          <w:rFonts w:ascii="Times New Roman" w:hAnsi="Times New Roman" w:eastAsia="仿宋"/>
          <w:szCs w:val="32"/>
          <w:highlight w:val="none"/>
        </w:rPr>
      </w:pPr>
      <w:r>
        <w:rPr>
          <w:rFonts w:ascii="Times New Roman" w:hAnsi="Times New Roman" w:eastAsia="仿宋"/>
          <w:szCs w:val="32"/>
          <w:highlight w:val="none"/>
        </w:rPr>
        <w:t>2.认真落实《报告</w:t>
      </w:r>
      <w:r>
        <w:rPr>
          <w:rFonts w:hint="eastAsia" w:ascii="Times New Roman" w:hAnsi="Times New Roman" w:eastAsia="仿宋"/>
          <w:szCs w:val="32"/>
          <w:highlight w:val="none"/>
        </w:rPr>
        <w:t>表</w:t>
      </w:r>
      <w:r>
        <w:rPr>
          <w:rFonts w:ascii="Times New Roman" w:hAnsi="Times New Roman" w:eastAsia="仿宋"/>
          <w:szCs w:val="32"/>
          <w:highlight w:val="none"/>
        </w:rPr>
        <w:t>》中提出的大气污染防治措施</w:t>
      </w:r>
      <w:r>
        <w:rPr>
          <w:rFonts w:hint="eastAsia" w:ascii="Times New Roman" w:hAnsi="Times New Roman" w:eastAsia="仿宋"/>
          <w:szCs w:val="32"/>
          <w:highlight w:val="none"/>
        </w:rPr>
        <w:t>。</w:t>
      </w:r>
      <w:r>
        <w:rPr>
          <w:rFonts w:hint="eastAsia" w:ascii="Times New Roman" w:hAnsi="Times New Roman"/>
          <w:szCs w:val="21"/>
          <w:highlight w:val="none"/>
        </w:rPr>
        <w:t>拆解预处理过程中产生有机废气、制冷剂废气，经集气罩收集送至一级活性炭吸附装置处理后由15m高排气筒排放</w:t>
      </w:r>
      <w:r>
        <w:rPr>
          <w:rFonts w:hint="eastAsia" w:ascii="Times New Roman" w:hAnsi="Times New Roman"/>
          <w:szCs w:val="21"/>
          <w:highlight w:val="none"/>
          <w:lang w:eastAsia="zh-CN"/>
        </w:rPr>
        <w:t>，</w:t>
      </w:r>
      <w:r>
        <w:rPr>
          <w:rFonts w:hint="eastAsia" w:ascii="Times New Roman" w:hAnsi="Times New Roman" w:eastAsia="仿宋"/>
          <w:szCs w:val="32"/>
          <w:highlight w:val="none"/>
          <w:lang w:eastAsia="zh-CN"/>
        </w:rPr>
        <w:t>执行</w:t>
      </w:r>
      <w:r>
        <w:rPr>
          <w:rFonts w:hint="eastAsia" w:ascii="Times New Roman" w:hAnsi="Times New Roman" w:eastAsia="仿宋"/>
          <w:szCs w:val="32"/>
          <w:highlight w:val="none"/>
        </w:rPr>
        <w:t>《环境空气质量非甲烷总烃限值》（DB13/1577-2012）</w:t>
      </w:r>
      <w:r>
        <w:rPr>
          <w:rFonts w:hint="eastAsia" w:ascii="Times New Roman" w:hAnsi="Times New Roman" w:eastAsia="仿宋"/>
          <w:szCs w:val="32"/>
          <w:highlight w:val="none"/>
          <w:lang w:eastAsia="zh-CN"/>
        </w:rPr>
        <w:t>标准值；拆解、切割产生的含尘废气经封闭厂房截留和移动式烟尘净化器捕集后满足</w:t>
      </w:r>
      <w:r>
        <w:rPr>
          <w:rFonts w:ascii="Times New Roman" w:hAnsi="Times New Roman" w:eastAsia="仿宋"/>
          <w:szCs w:val="32"/>
          <w:highlight w:val="none"/>
        </w:rPr>
        <w:t>《大气污染物综合排放标准》（GB16297-1996）</w:t>
      </w:r>
      <w:r>
        <w:rPr>
          <w:rFonts w:hint="eastAsia" w:ascii="Times New Roman" w:hAnsi="Times New Roman" w:eastAsia="仿宋"/>
          <w:szCs w:val="32"/>
          <w:highlight w:val="none"/>
        </w:rPr>
        <w:t>限值</w:t>
      </w:r>
      <w:r>
        <w:rPr>
          <w:rFonts w:ascii="Times New Roman" w:hAnsi="Times New Roman" w:eastAsia="仿宋"/>
          <w:szCs w:val="32"/>
          <w:highlight w:val="none"/>
        </w:rPr>
        <w:t>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rPr>
          <w:rFonts w:ascii="Times New Roman" w:hAnsi="Times New Roman" w:eastAsia="仿宋"/>
          <w:szCs w:val="32"/>
          <w:highlight w:val="none"/>
        </w:rPr>
      </w:pPr>
      <w:r>
        <w:rPr>
          <w:rFonts w:ascii="Times New Roman" w:hAnsi="Times New Roman" w:eastAsia="仿宋"/>
          <w:szCs w:val="32"/>
          <w:highlight w:val="none"/>
        </w:rPr>
        <w:t>3.</w:t>
      </w:r>
      <w:r>
        <w:rPr>
          <w:rFonts w:hint="eastAsia" w:ascii="Times New Roman" w:hAnsi="Times New Roman" w:eastAsia="仿宋"/>
          <w:szCs w:val="32"/>
          <w:highlight w:val="none"/>
        </w:rPr>
        <w:t>按照《报告表》提出的要求，</w:t>
      </w:r>
      <w:r>
        <w:rPr>
          <w:rFonts w:ascii="Times New Roman" w:hAnsi="Times New Roman" w:eastAsia="仿宋"/>
          <w:szCs w:val="32"/>
          <w:highlight w:val="none"/>
        </w:rPr>
        <w:t>严格落实各项水污染防治措施。根据“雨污分流、清污分流、分质处理、一水多用”的原则建设给排水系统。</w:t>
      </w:r>
      <w:r>
        <w:rPr>
          <w:rFonts w:ascii="Times New Roman" w:hAnsi="Times New Roman" w:eastAsia="仿宋"/>
          <w:szCs w:val="32"/>
          <w:highlight w:val="none"/>
          <w:lang w:val="zh-CN"/>
        </w:rPr>
        <w:t>待拆场初期雨水、整车清洗用水、车间地面冲洗用水经厂内综合污水处理站处理，生活污水经化粪池预处理，</w:t>
      </w:r>
      <w:r>
        <w:rPr>
          <w:rFonts w:hint="eastAsia" w:ascii="Times New Roman" w:hAnsi="Times New Roman" w:eastAsia="仿宋"/>
          <w:szCs w:val="32"/>
          <w:highlight w:val="none"/>
        </w:rPr>
        <w:t>出水水质达到</w:t>
      </w:r>
      <w:r>
        <w:rPr>
          <w:rFonts w:ascii="Times New Roman" w:hAnsi="Times New Roman" w:eastAsia="仿宋"/>
          <w:szCs w:val="32"/>
          <w:highlight w:val="none"/>
        </w:rPr>
        <w:t>《污水综合排放标准》（GB8978-1996）三级标准</w:t>
      </w:r>
      <w:r>
        <w:rPr>
          <w:rFonts w:hint="eastAsia" w:ascii="Times New Roman" w:hAnsi="Times New Roman" w:eastAsia="仿宋"/>
          <w:szCs w:val="32"/>
          <w:highlight w:val="none"/>
        </w:rPr>
        <w:t>限值要求</w:t>
      </w:r>
      <w:r>
        <w:rPr>
          <w:rFonts w:ascii="Times New Roman" w:hAnsi="Times New Roman" w:eastAsia="仿宋"/>
          <w:szCs w:val="32"/>
          <w:highlight w:val="none"/>
        </w:rPr>
        <w:t>后，进入</w:t>
      </w:r>
      <w:r>
        <w:rPr>
          <w:rFonts w:hint="eastAsia" w:ascii="Times New Roman" w:hAnsi="Times New Roman" w:eastAsia="仿宋"/>
          <w:szCs w:val="32"/>
          <w:highlight w:val="none"/>
        </w:rPr>
        <w:t>园区污水管网，最终由由三晌梁工业园区污水处理厂进行处理。以上各污（废）水均不得外排。</w:t>
      </w:r>
    </w:p>
    <w:p>
      <w:pPr>
        <w:keepNext w:val="0"/>
        <w:keepLines w:val="0"/>
        <w:pageBreakBefore w:val="0"/>
        <w:widowControl w:val="0"/>
        <w:kinsoku/>
        <w:wordWrap/>
        <w:overflowPunct/>
        <w:topLinePunct w:val="0"/>
        <w:autoSpaceDE/>
        <w:autoSpaceDN/>
        <w:bidi w:val="0"/>
        <w:adjustRightInd w:val="0"/>
        <w:snapToGrid w:val="0"/>
        <w:spacing w:line="560" w:lineRule="exact"/>
        <w:ind w:firstLine="640"/>
        <w:rPr>
          <w:rFonts w:ascii="Times New Roman" w:hAnsi="Times New Roman" w:eastAsia="仿宋"/>
          <w:szCs w:val="32"/>
          <w:highlight w:val="none"/>
        </w:rPr>
      </w:pPr>
      <w:r>
        <w:rPr>
          <w:rFonts w:ascii="Times New Roman" w:hAnsi="Times New Roman" w:eastAsia="仿宋"/>
          <w:szCs w:val="32"/>
          <w:highlight w:val="none"/>
        </w:rPr>
        <w:t>4.切实落实地下水污染防治措施。结合区域地下水分布现状、水文地质条件和防渗措施，进一步优化重点污染防治区平面布置，对重点污染防治区</w:t>
      </w:r>
      <w:r>
        <w:rPr>
          <w:rFonts w:hint="eastAsia" w:ascii="Times New Roman" w:hAnsi="Times New Roman" w:eastAsia="仿宋"/>
          <w:szCs w:val="32"/>
          <w:highlight w:val="none"/>
          <w:lang w:eastAsia="zh-CN"/>
        </w:rPr>
        <w:t>和</w:t>
      </w:r>
      <w:r>
        <w:rPr>
          <w:rFonts w:ascii="Times New Roman" w:hAnsi="Times New Roman" w:eastAsia="仿宋"/>
          <w:szCs w:val="32"/>
          <w:highlight w:val="none"/>
        </w:rPr>
        <w:t>一般污染防治区采取分区防渗措施。根据装置布置、地下水流向和保护目标，合理设置地下水监测井，开展定期监测</w:t>
      </w:r>
      <w:r>
        <w:rPr>
          <w:rFonts w:hint="eastAsia" w:ascii="Times New Roman" w:hAnsi="Times New Roman" w:eastAsia="仿宋"/>
          <w:szCs w:val="32"/>
          <w:highlight w:val="none"/>
          <w:lang w:eastAsia="zh-CN"/>
        </w:rPr>
        <w:t>，</w:t>
      </w:r>
      <w:r>
        <w:rPr>
          <w:rFonts w:hint="eastAsia" w:ascii="Times New Roman" w:hAnsi="Times New Roman" w:eastAsia="仿宋"/>
          <w:szCs w:val="32"/>
          <w:highlight w:val="none"/>
        </w:rPr>
        <w:t>并</w:t>
      </w:r>
      <w:r>
        <w:rPr>
          <w:rFonts w:ascii="Times New Roman" w:hAnsi="Times New Roman" w:eastAsia="仿宋"/>
          <w:szCs w:val="32"/>
          <w:highlight w:val="none"/>
        </w:rPr>
        <w:t>建立地下水质污染监控、预警体系</w:t>
      </w:r>
      <w:r>
        <w:rPr>
          <w:rFonts w:ascii="Times New Roman" w:hAnsi="Times New Roman"/>
          <w:szCs w:val="32"/>
          <w:highlight w:val="none"/>
        </w:rPr>
        <w:t>，确保不会对地下水造成影响。</w:t>
      </w:r>
    </w:p>
    <w:p>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baseline"/>
        <w:rPr>
          <w:rFonts w:ascii="Times New Roman" w:hAnsi="Times New Roman" w:eastAsia="仿宋"/>
          <w:spacing w:val="8"/>
          <w:szCs w:val="32"/>
          <w:highlight w:val="none"/>
        </w:rPr>
      </w:pPr>
      <w:r>
        <w:rPr>
          <w:rFonts w:ascii="Times New Roman" w:hAnsi="Times New Roman" w:eastAsia="仿宋"/>
          <w:szCs w:val="32"/>
          <w:highlight w:val="none"/>
        </w:rPr>
        <w:t>5.</w:t>
      </w:r>
      <w:r>
        <w:rPr>
          <w:rFonts w:ascii="Times New Roman" w:hAnsi="Times New Roman" w:eastAsia="仿宋"/>
          <w:color w:val="000000"/>
          <w:spacing w:val="8"/>
          <w:szCs w:val="32"/>
          <w:highlight w:val="none"/>
        </w:rPr>
        <w:t>强化声环境保护措施，优先选用低噪声设备，采取减震、隔声、</w:t>
      </w:r>
      <w:r>
        <w:rPr>
          <w:rFonts w:ascii="Times New Roman" w:hAnsi="Times New Roman" w:eastAsia="仿宋"/>
          <w:color w:val="000000"/>
          <w:spacing w:val="8"/>
          <w:w w:val="101"/>
          <w:szCs w:val="32"/>
          <w:highlight w:val="none"/>
        </w:rPr>
        <w:t>消声等降噪措施，</w:t>
      </w:r>
      <w:r>
        <w:rPr>
          <w:rFonts w:ascii="Times New Roman" w:hAnsi="Times New Roman" w:eastAsia="仿宋"/>
          <w:spacing w:val="8"/>
          <w:w w:val="101"/>
          <w:szCs w:val="32"/>
          <w:highlight w:val="none"/>
        </w:rPr>
        <w:t>确保厂界噪声满足</w:t>
      </w:r>
      <w:r>
        <w:rPr>
          <w:rFonts w:ascii="Times New Roman" w:hAnsi="Times New Roman" w:eastAsia="仿宋"/>
          <w:spacing w:val="8"/>
          <w:szCs w:val="32"/>
          <w:highlight w:val="none"/>
        </w:rPr>
        <w:t>《工业企业厂界环境噪声排放标准》（GB12348-2008）</w:t>
      </w:r>
      <w:r>
        <w:rPr>
          <w:rFonts w:hint="eastAsia" w:ascii="Times New Roman" w:hAnsi="Times New Roman" w:eastAsia="仿宋"/>
          <w:spacing w:val="8"/>
          <w:szCs w:val="32"/>
          <w:highlight w:val="none"/>
        </w:rPr>
        <w:t>2</w:t>
      </w:r>
      <w:r>
        <w:rPr>
          <w:rFonts w:ascii="Times New Roman" w:hAnsi="Times New Roman" w:eastAsia="仿宋"/>
          <w:spacing w:val="8"/>
          <w:szCs w:val="32"/>
          <w:highlight w:val="none"/>
        </w:rPr>
        <w:t>类标准限值要求。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72"/>
        <w:textAlignment w:val="baseline"/>
        <w:rPr>
          <w:rFonts w:ascii="Times New Roman" w:hAnsi="Times New Roman" w:eastAsia="仿宋"/>
          <w:color w:val="000000"/>
          <w:szCs w:val="32"/>
          <w:highlight w:val="none"/>
        </w:rPr>
      </w:pPr>
      <w:r>
        <w:rPr>
          <w:rFonts w:ascii="Times New Roman" w:hAnsi="Times New Roman" w:eastAsia="仿宋"/>
          <w:spacing w:val="8"/>
          <w:szCs w:val="32"/>
          <w:highlight w:val="none"/>
        </w:rPr>
        <w:t>6.</w:t>
      </w:r>
      <w:r>
        <w:rPr>
          <w:rFonts w:ascii="Times New Roman" w:hAnsi="Times New Roman" w:eastAsia="仿宋"/>
          <w:color w:val="000000"/>
          <w:spacing w:val="20"/>
          <w:szCs w:val="32"/>
          <w:highlight w:val="none"/>
        </w:rPr>
        <w:t>根据《报告</w:t>
      </w:r>
      <w:r>
        <w:rPr>
          <w:rFonts w:hint="eastAsia" w:ascii="Times New Roman" w:hAnsi="Times New Roman" w:eastAsia="仿宋"/>
          <w:color w:val="000000"/>
          <w:spacing w:val="20"/>
          <w:szCs w:val="32"/>
          <w:highlight w:val="none"/>
        </w:rPr>
        <w:t>表</w:t>
      </w:r>
      <w:r>
        <w:rPr>
          <w:rFonts w:ascii="Times New Roman" w:hAnsi="Times New Roman" w:eastAsia="仿宋"/>
          <w:color w:val="000000"/>
          <w:spacing w:val="20"/>
          <w:szCs w:val="32"/>
          <w:highlight w:val="none"/>
        </w:rPr>
        <w:t>》提出的固废污染防治措施，做好固体废物处置工作。一般固废暂存库和危废库须严格按照</w:t>
      </w:r>
      <w:r>
        <w:rPr>
          <w:rFonts w:ascii="Times New Roman" w:hAnsi="Times New Roman" w:eastAsia="仿宋"/>
          <w:color w:val="000000"/>
          <w:szCs w:val="32"/>
          <w:highlight w:val="none"/>
        </w:rPr>
        <w:t>《一般工业固体废物贮存、处置场污染控制标准》(GBl8599-2001)（及其修改单）</w:t>
      </w:r>
      <w:r>
        <w:rPr>
          <w:rFonts w:ascii="Times New Roman" w:hAnsi="Times New Roman" w:eastAsia="仿宋"/>
          <w:color w:val="000000"/>
          <w:spacing w:val="20"/>
          <w:szCs w:val="32"/>
          <w:highlight w:val="none"/>
        </w:rPr>
        <w:t>和</w:t>
      </w:r>
      <w:r>
        <w:rPr>
          <w:rFonts w:ascii="Times New Roman" w:hAnsi="Times New Roman" w:eastAsia="仿宋"/>
          <w:color w:val="000000"/>
          <w:szCs w:val="32"/>
          <w:highlight w:val="none"/>
        </w:rPr>
        <w:t xml:space="preserve">《危险废物贮存污染控制标准》（GB18597-2001）（及其修改单）要求进行设计、建设和管理。建设单位须严格按照《一般工业固体废物贮存、处置场污染控制标准》(GBl8599-2001)（及其修改单）及《危险废物贮存污染控制标准》（GB18597-2001）（及其修改单）要求对一般固废和危险废物进行处置，以上各类固废均不得乱弃。 </w:t>
      </w:r>
    </w:p>
    <w:p>
      <w:pPr>
        <w:keepNext w:val="0"/>
        <w:keepLines w:val="0"/>
        <w:pageBreakBefore w:val="0"/>
        <w:widowControl w:val="0"/>
        <w:kinsoku/>
        <w:wordWrap/>
        <w:overflowPunct/>
        <w:topLinePunct w:val="0"/>
        <w:autoSpaceDE/>
        <w:autoSpaceDN/>
        <w:bidi w:val="0"/>
        <w:adjustRightInd w:val="0"/>
        <w:snapToGrid w:val="0"/>
        <w:spacing w:line="560" w:lineRule="exact"/>
        <w:ind w:firstLine="640"/>
        <w:rPr>
          <w:rFonts w:ascii="Times New Roman" w:hAnsi="Times New Roman" w:eastAsia="仿宋"/>
          <w:color w:val="000000"/>
          <w:szCs w:val="32"/>
          <w:highlight w:val="none"/>
        </w:rPr>
      </w:pPr>
      <w:r>
        <w:rPr>
          <w:rFonts w:ascii="Times New Roman" w:hAnsi="Times New Roman" w:eastAsia="仿宋"/>
          <w:szCs w:val="32"/>
          <w:highlight w:val="none"/>
        </w:rPr>
        <w:t>7.</w:t>
      </w:r>
      <w:r>
        <w:rPr>
          <w:rFonts w:ascii="Times New Roman" w:hAnsi="Times New Roman" w:eastAsia="仿宋"/>
          <w:color w:val="000000"/>
          <w:szCs w:val="32"/>
          <w:highlight w:val="none"/>
        </w:rPr>
        <w:t>建设单位须强化环境风险防范措施。制定环境风险应急预案，落实环境风险事故防范措施，提高事故风险防范和污染控制能力。</w:t>
      </w:r>
    </w:p>
    <w:p>
      <w:pPr>
        <w:keepNext w:val="0"/>
        <w:keepLines w:val="0"/>
        <w:pageBreakBefore w:val="0"/>
        <w:widowControl w:val="0"/>
        <w:kinsoku/>
        <w:wordWrap/>
        <w:overflowPunct/>
        <w:topLinePunct w:val="0"/>
        <w:autoSpaceDE/>
        <w:autoSpaceDN/>
        <w:bidi w:val="0"/>
        <w:adjustRightInd w:val="0"/>
        <w:snapToGrid w:val="0"/>
        <w:spacing w:line="560" w:lineRule="exact"/>
        <w:ind w:firstLine="640"/>
        <w:rPr>
          <w:rFonts w:ascii="Times New Roman" w:hAnsi="Times New Roman" w:eastAsia="仿宋"/>
          <w:color w:val="000000"/>
          <w:szCs w:val="32"/>
          <w:highlight w:val="none"/>
        </w:rPr>
      </w:pPr>
      <w:r>
        <w:rPr>
          <w:rFonts w:ascii="Times New Roman" w:hAnsi="Times New Roman" w:eastAsia="仿宋"/>
          <w:highlight w:val="none"/>
        </w:rPr>
        <w:t>三、项目建设须严格执行环境保护“三同时”制度。项目竣工后，须按照规定程序实施竣工环境保护验收。</w:t>
      </w:r>
    </w:p>
    <w:p>
      <w:pPr>
        <w:keepNext w:val="0"/>
        <w:keepLines w:val="0"/>
        <w:pageBreakBefore w:val="0"/>
        <w:widowControl w:val="0"/>
        <w:kinsoku/>
        <w:wordWrap/>
        <w:overflowPunct/>
        <w:topLinePunct w:val="0"/>
        <w:autoSpaceDE/>
        <w:autoSpaceDN/>
        <w:bidi w:val="0"/>
        <w:adjustRightInd w:val="0"/>
        <w:snapToGrid w:val="0"/>
        <w:spacing w:line="560" w:lineRule="exact"/>
        <w:ind w:firstLine="640"/>
        <w:rPr>
          <w:rFonts w:ascii="Times New Roman" w:hAnsi="Times New Roman" w:eastAsia="仿宋"/>
          <w:highlight w:val="none"/>
        </w:rPr>
      </w:pPr>
      <w:r>
        <w:rPr>
          <w:rFonts w:ascii="Times New Roman" w:hAnsi="Times New Roman" w:eastAsia="仿宋"/>
          <w:highlight w:val="none"/>
        </w:rPr>
        <w:t>四、你公司应在收到本批复20日内，将《报告</w:t>
      </w:r>
      <w:r>
        <w:rPr>
          <w:rFonts w:hint="eastAsia" w:ascii="Times New Roman" w:hAnsi="Times New Roman" w:eastAsia="仿宋"/>
          <w:highlight w:val="none"/>
        </w:rPr>
        <w:t>表</w:t>
      </w:r>
      <w:r>
        <w:rPr>
          <w:rFonts w:ascii="Times New Roman" w:hAnsi="Times New Roman" w:eastAsia="仿宋"/>
          <w:highlight w:val="none"/>
        </w:rPr>
        <w:t>》（报批版）及批复文件送至鄂尔多斯市生态环境局</w:t>
      </w:r>
      <w:r>
        <w:rPr>
          <w:rFonts w:hint="eastAsia" w:ascii="Times New Roman" w:hAnsi="Times New Roman" w:eastAsia="仿宋"/>
          <w:highlight w:val="none"/>
        </w:rPr>
        <w:t>达拉特旗</w:t>
      </w:r>
      <w:r>
        <w:rPr>
          <w:rFonts w:ascii="Times New Roman" w:hAnsi="Times New Roman" w:eastAsia="仿宋"/>
          <w:highlight w:val="none"/>
        </w:rPr>
        <w:t>分局和</w:t>
      </w:r>
      <w:r>
        <w:rPr>
          <w:rFonts w:hint="eastAsia" w:ascii="Times New Roman" w:hAnsi="Times New Roman" w:eastAsia="仿宋"/>
          <w:highlight w:val="none"/>
        </w:rPr>
        <w:t>达拉特经济开发区环境保护</w:t>
      </w:r>
      <w:r>
        <w:rPr>
          <w:rFonts w:ascii="Times New Roman" w:hAnsi="Times New Roman" w:eastAsia="仿宋"/>
          <w:highlight w:val="none"/>
        </w:rPr>
        <w:t>局，我局委托鄂尔多斯市生态环境局达拉特旗分局和达拉特经济开发区环境保护局，负责该项目的日常监管工作。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0"/>
        <w:rPr>
          <w:rFonts w:ascii="Times New Roman" w:hAnsi="Times New Roman" w:eastAsia="仿宋"/>
          <w:highlight w:val="none"/>
        </w:rPr>
      </w:pPr>
      <w:r>
        <w:rPr>
          <w:rFonts w:ascii="Times New Roman" w:hAnsi="Times New Roman" w:eastAsia="仿宋"/>
          <w:highlight w:val="none"/>
        </w:rPr>
        <w:t>五、该项目从批准之日起超过5年方决定开工建设，其环评文件需重新审核。如果建设地点、规模、防治污染和防止生态破坏的措施等发生重大变化时，需重新报批环评文件。</w:t>
      </w:r>
    </w:p>
    <w:p>
      <w:pPr>
        <w:keepNext w:val="0"/>
        <w:keepLines w:val="0"/>
        <w:pageBreakBefore w:val="0"/>
        <w:widowControl w:val="0"/>
        <w:tabs>
          <w:tab w:val="left" w:pos="6660"/>
          <w:tab w:val="left" w:pos="6840"/>
          <w:tab w:val="left" w:pos="7020"/>
          <w:tab w:val="left" w:pos="8080"/>
          <w:tab w:val="left" w:pos="8222"/>
        </w:tabs>
        <w:kinsoku/>
        <w:wordWrap/>
        <w:overflowPunct/>
        <w:topLinePunct w:val="0"/>
        <w:autoSpaceDE/>
        <w:autoSpaceDN/>
        <w:bidi w:val="0"/>
        <w:adjustRightInd w:val="0"/>
        <w:snapToGrid w:val="0"/>
        <w:spacing w:line="560" w:lineRule="exact"/>
        <w:ind w:firstLine="4960" w:firstLineChars="1550"/>
        <w:rPr>
          <w:rFonts w:ascii="Times New Roman" w:hAnsi="Times New Roman" w:eastAsia="仿宋"/>
          <w:szCs w:val="32"/>
          <w:highlight w:val="none"/>
        </w:rPr>
      </w:pPr>
    </w:p>
    <w:p>
      <w:pPr>
        <w:keepNext w:val="0"/>
        <w:keepLines w:val="0"/>
        <w:pageBreakBefore w:val="0"/>
        <w:widowControl w:val="0"/>
        <w:tabs>
          <w:tab w:val="left" w:pos="6660"/>
          <w:tab w:val="left" w:pos="6840"/>
          <w:tab w:val="left" w:pos="7020"/>
          <w:tab w:val="left" w:pos="8080"/>
          <w:tab w:val="left" w:pos="8222"/>
        </w:tabs>
        <w:kinsoku/>
        <w:wordWrap/>
        <w:overflowPunct/>
        <w:topLinePunct w:val="0"/>
        <w:autoSpaceDE/>
        <w:autoSpaceDN/>
        <w:bidi w:val="0"/>
        <w:adjustRightInd w:val="0"/>
        <w:snapToGrid w:val="0"/>
        <w:spacing w:line="560" w:lineRule="exact"/>
        <w:ind w:firstLine="4960" w:firstLineChars="1550"/>
        <w:rPr>
          <w:rFonts w:ascii="Times New Roman" w:hAnsi="Times New Roman" w:eastAsia="仿宋"/>
          <w:szCs w:val="32"/>
          <w:highlight w:val="none"/>
        </w:rPr>
      </w:pPr>
    </w:p>
    <w:p>
      <w:pPr>
        <w:keepNext w:val="0"/>
        <w:keepLines w:val="0"/>
        <w:pageBreakBefore w:val="0"/>
        <w:widowControl w:val="0"/>
        <w:tabs>
          <w:tab w:val="left" w:pos="6660"/>
          <w:tab w:val="left" w:pos="6840"/>
          <w:tab w:val="left" w:pos="7020"/>
          <w:tab w:val="left" w:pos="8080"/>
          <w:tab w:val="left" w:pos="8222"/>
        </w:tabs>
        <w:kinsoku/>
        <w:wordWrap/>
        <w:overflowPunct/>
        <w:topLinePunct w:val="0"/>
        <w:autoSpaceDE/>
        <w:autoSpaceDN/>
        <w:bidi w:val="0"/>
        <w:adjustRightInd w:val="0"/>
        <w:snapToGrid w:val="0"/>
        <w:spacing w:line="560" w:lineRule="exact"/>
        <w:ind w:firstLine="4960" w:firstLineChars="1550"/>
        <w:rPr>
          <w:rFonts w:ascii="Times New Roman" w:hAnsi="Times New Roman" w:eastAsia="仿宋"/>
          <w:szCs w:val="32"/>
          <w:highlight w:val="none"/>
        </w:rPr>
      </w:pPr>
      <w:r>
        <w:rPr>
          <w:rFonts w:ascii="Times New Roman" w:hAnsi="Times New Roman" w:eastAsia="仿宋"/>
          <w:szCs w:val="32"/>
          <w:highlight w:val="none"/>
        </w:rPr>
        <w:t xml:space="preserve">  鄂尔多斯市生态环境局</w:t>
      </w:r>
    </w:p>
    <w:p>
      <w:pPr>
        <w:keepNext w:val="0"/>
        <w:keepLines w:val="0"/>
        <w:pageBreakBefore w:val="0"/>
        <w:widowControl w:val="0"/>
        <w:tabs>
          <w:tab w:val="left" w:pos="6660"/>
          <w:tab w:val="left" w:pos="6840"/>
          <w:tab w:val="left" w:pos="7020"/>
        </w:tabs>
        <w:kinsoku/>
        <w:wordWrap/>
        <w:overflowPunct/>
        <w:topLinePunct w:val="0"/>
        <w:autoSpaceDE/>
        <w:autoSpaceDN/>
        <w:bidi w:val="0"/>
        <w:adjustRightInd w:val="0"/>
        <w:snapToGrid w:val="0"/>
        <w:spacing w:line="560" w:lineRule="exact"/>
        <w:ind w:firstLine="5664" w:firstLineChars="1770"/>
        <w:rPr>
          <w:rFonts w:ascii="Times New Roman" w:hAnsi="Times New Roman" w:eastAsia="仿宋"/>
          <w:szCs w:val="32"/>
          <w:highlight w:val="none"/>
        </w:rPr>
      </w:pPr>
      <w:r>
        <w:rPr>
          <w:rFonts w:ascii="Times New Roman" w:hAnsi="Times New Roman" w:eastAsia="仿宋"/>
          <w:szCs w:val="32"/>
          <w:highlight w:val="none"/>
        </w:rPr>
        <w:t>202</w:t>
      </w:r>
      <w:r>
        <w:rPr>
          <w:rFonts w:hint="eastAsia" w:ascii="Times New Roman" w:hAnsi="Times New Roman" w:eastAsia="仿宋"/>
          <w:szCs w:val="32"/>
          <w:highlight w:val="none"/>
        </w:rPr>
        <w:t>1</w:t>
      </w:r>
      <w:r>
        <w:rPr>
          <w:rFonts w:ascii="Times New Roman" w:hAnsi="Times New Roman" w:eastAsia="仿宋"/>
          <w:szCs w:val="32"/>
          <w:highlight w:val="none"/>
        </w:rPr>
        <w:t>年</w:t>
      </w:r>
      <w:r>
        <w:rPr>
          <w:rFonts w:hint="eastAsia" w:ascii="Times New Roman" w:hAnsi="Times New Roman" w:eastAsia="仿宋"/>
          <w:szCs w:val="32"/>
          <w:highlight w:val="none"/>
        </w:rPr>
        <w:t>5</w:t>
      </w:r>
      <w:r>
        <w:rPr>
          <w:rFonts w:ascii="Times New Roman" w:hAnsi="Times New Roman" w:eastAsia="仿宋"/>
          <w:szCs w:val="32"/>
          <w:highlight w:val="none"/>
        </w:rPr>
        <w:t>月</w:t>
      </w:r>
      <w:r>
        <w:rPr>
          <w:rFonts w:hint="eastAsia" w:ascii="Times New Roman" w:hAnsi="Times New Roman" w:eastAsia="仿宋"/>
          <w:szCs w:val="32"/>
          <w:highlight w:val="none"/>
        </w:rPr>
        <w:t>12</w:t>
      </w:r>
      <w:r>
        <w:rPr>
          <w:rFonts w:ascii="Times New Roman" w:hAnsi="Times New Roman" w:eastAsia="仿宋"/>
          <w:szCs w:val="32"/>
          <w:highlight w:val="none"/>
        </w:rPr>
        <w:t>日</w:t>
      </w:r>
    </w:p>
    <w:p>
      <w:pPr>
        <w:pStyle w:val="15"/>
        <w:ind w:firstLine="0" w:firstLineChars="0"/>
        <w:rPr>
          <w:rFonts w:eastAsia="仿宋" w:cs="Times New Roman"/>
          <w:szCs w:val="32"/>
          <w:highlight w:val="none"/>
        </w:rPr>
      </w:pPr>
    </w:p>
    <w:p>
      <w:pPr>
        <w:pStyle w:val="15"/>
        <w:ind w:firstLine="0" w:firstLineChars="0"/>
        <w:rPr>
          <w:rFonts w:eastAsia="仿宋" w:cs="Times New Roman"/>
          <w:szCs w:val="32"/>
          <w:highlight w:val="none"/>
        </w:rPr>
      </w:pPr>
    </w:p>
    <w:p>
      <w:pPr>
        <w:spacing w:line="440" w:lineRule="exact"/>
        <w:ind w:left="840" w:hanging="840" w:hangingChars="300"/>
        <w:rPr>
          <w:sz w:val="28"/>
          <w:szCs w:val="28"/>
          <w:highlight w:val="none"/>
        </w:rPr>
      </w:pPr>
      <w:r>
        <w:rPr>
          <w:sz w:val="28"/>
          <w:szCs w:val="28"/>
          <w:highlight w:val="none"/>
        </w:rPr>
        <w:pict>
          <v:line id="_x0000_s1026" o:spid="_x0000_s1026" o:spt="20" style="position:absolute;left:0pt;margin-left:0pt;margin-top:2.8pt;height:0.05pt;width:447.85pt;z-index:251659264;mso-width-relative:page;mso-height-relative:page;"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AxIS3A9QEAAOYDAAAOAAAAZHJzL2Uyb0RvYy54bWytU82O0zAQ&#10;viPxDpbvNG1Rw27UdA+U5YJgpYUHmDpOYsl/8rhN+xK8ABI3OHHkztvs8hiMndKF5dIDOThjz+fP&#10;831jL6/2RrOdDKicrflsMuVMWuEaZbuaf3h//eyCM4xgG9DOypofJPKr1dMny8FXcu56pxsZGJFY&#10;rAZf8z5GXxUFil4awInz0lKydcFApGnoiibAQOxGF/PptCwGFxofnJCItLoek/zIGM4hdG2rhFw7&#10;sTXSxpE1SA2RJGGvPPJVrrZtpYjv2hZlZLrmpDTmkQ6heJPGYrWEqgvgeyWOJcA5JTzSZEBZOvRE&#10;tYYIbBvUP1RGieDQtXEinClGIdkRUjGbPvLmtgcvsxayGv3JdPx/tOLt7iYw1dS85MyCoYbff/p+&#10;9/HLzx+fabz/9pWVyaTBY0XYW38TjjOkMCnet8GkP2lh+2zs4WSs3EcmaHFRXrwoLxecCcqVzxeJ&#10;sXjY6gPG19IZloKaa2WTaqhg9wbjCP0NScvasqHml4t5IgS6gi21nkLjSQbaLu9Fp1VzrbROOzB0&#10;m5c6sB2ka5C/Ywl/wdIha8B+xOVUgkHVS2he2YbFgyeDLL0LnkowsuFMS3pGKcrICEqfgyT12pIJ&#10;ydfRyRRtXHOgdmx9UF1PTsxylSlD7c+WHa9qul9/zjPTw/Nc/Q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5ttu+1AAAAAQBAAAPAAAAAAAAAAEAIAAAACIAAABkcnMvZG93bnJldi54bWxQSwECFAAU&#10;AAAACACHTuJAMSEtwPUBAADmAwAADgAAAAAAAAABACAAAAAjAQAAZHJzL2Uyb0RvYy54bWxQSwUG&#10;AAAAAAYABgBZAQAAigUAAAAA&#10;">
            <v:path arrowok="t"/>
            <v:fill focussize="0,0"/>
            <v:stroke/>
            <v:imagedata o:title=""/>
            <o:lock v:ext="edit"/>
          </v:line>
        </w:pict>
      </w:r>
      <w:r>
        <w:rPr>
          <w:sz w:val="28"/>
          <w:szCs w:val="28"/>
          <w:highlight w:val="none"/>
        </w:rPr>
        <w:t>抄送：鄂尔多斯市生态环境局</w:t>
      </w:r>
      <w:r>
        <w:rPr>
          <w:rFonts w:hint="eastAsia"/>
          <w:sz w:val="28"/>
          <w:szCs w:val="28"/>
          <w:highlight w:val="none"/>
        </w:rPr>
        <w:t>达拉特旗分</w:t>
      </w:r>
      <w:r>
        <w:rPr>
          <w:rFonts w:hint="eastAsia" w:ascii="Times New Roman" w:hAnsi="Times New Roman"/>
          <w:sz w:val="28"/>
          <w:szCs w:val="28"/>
          <w:highlight w:val="none"/>
        </w:rPr>
        <w:t>局，达拉特经济开发区环境保护局，市生态环境综合行政执法支队，</w:t>
      </w:r>
      <w:r>
        <w:rPr>
          <w:rFonts w:hint="eastAsia" w:ascii="Times New Roman" w:hAnsi="Times New Roman" w:eastAsia="仿宋"/>
          <w:color w:val="000000"/>
          <w:sz w:val="28"/>
          <w:szCs w:val="28"/>
          <w:highlight w:val="none"/>
        </w:rPr>
        <w:t>内蒙古蒙源环保科技有限责任公司</w:t>
      </w:r>
      <w:r>
        <w:rPr>
          <w:sz w:val="28"/>
          <w:szCs w:val="28"/>
          <w:highlight w:val="none"/>
        </w:rPr>
        <w:t>。</w:t>
      </w:r>
    </w:p>
    <w:p>
      <w:pPr>
        <w:spacing w:line="560" w:lineRule="exact"/>
        <w:ind w:firstLine="0" w:firstLineChars="0"/>
        <w:rPr>
          <w:sz w:val="28"/>
          <w:szCs w:val="28"/>
          <w:highlight w:val="none"/>
        </w:rPr>
      </w:pPr>
      <w:r>
        <w:rPr>
          <w:sz w:val="28"/>
          <w:szCs w:val="28"/>
          <w:highlight w:val="none"/>
        </w:rPr>
        <w:pict>
          <v:line id="_x0000_s1028" o:spid="_x0000_s1028" o:spt="20" style="position:absolute;left:0pt;margin-left:1.65pt;margin-top:29.4pt;height:0.05pt;width:447.85pt;z-index:251661312;mso-width-relative:page;mso-height-relative:page;" coordsize="21600,21600"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nDyWgfYBAADmAwAADgAAAGRycy9lMm9Eb2MueG1srVO9jhMx&#10;EO6ReAfLPdkkKOFulc0VhKNBcNLBA0xsb9aS/+RxsslL8AJIdFBR0vM2dzwGY2/IwdGkYAvv2DP+&#10;Zr5vxourvTVspyJq7xo+GY05U054qd2m4R/eXz+74AwTOAnGO9Xwg0J+tXz6ZNGHWk19541UkRGI&#10;w7oPDe9SCnVVoeiUBRz5oBw5Wx8tJNrGTSUj9IRuTTUdj+dV76MM0QuFSKerwcmPiPEcQN+2WqiV&#10;F1urXBpQozKQiBJ2OiBflmrbVon0rm1RJWYaTkxTWSkJ2eu8VssF1JsIodPiWAKcU8IjTha0o6Qn&#10;qBUkYNuo/4GyWkSPvk0j4W01ECmKEIvJ+JE2tx0EVbiQ1BhOouP/gxVvdzeRadnwGWcOLDX8/tP3&#10;u49ffv74TOv9t69slkXqA9YUextu4nGHZGbG+zba/CcubF+EPZyEVfvEBB3O5hcv5peUQZBv/rwg&#10;Vg9XQ8T0WnnLstFwo11mDTXs3mCidBT6OyQfG8f6hl/OphkQaARbaj2ZNhANdJtyF73R8lobk29g&#10;3Kxfmsh2kMegfJkU4f4VlpOsALshrriGAekUyFdOsnQIJJCjd8FzCVZJzoyiZ5QtAoQ6gTbnRFJq&#10;46iCrOugZLbWXh6oHdsQ9aYjJSalyuyh9pd6j6Oa5+vPfUF6eJ7L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uAGaPVAAAABwEAAA8AAAAAAAAAAQAgAAAAIgAAAGRycy9kb3ducmV2LnhtbFBLAQIU&#10;ABQAAAAIAIdO4kCcPJaB9gEAAOYDAAAOAAAAAAAAAAEAIAAAACQBAABkcnMvZTJvRG9jLnhtbFBL&#10;BQYAAAAABgAGAFkBAACMBQAAAAA=&#10;">
            <v:path arrowok="t"/>
            <v:fill focussize="0,0"/>
            <v:stroke/>
            <v:imagedata o:title=""/>
            <o:lock v:ext="edit"/>
          </v:line>
        </w:pict>
      </w:r>
      <w:r>
        <w:rPr>
          <w:sz w:val="28"/>
          <w:szCs w:val="28"/>
          <w:highlight w:val="none"/>
        </w:rPr>
        <w:t xml:space="preserve">鄂尔多斯市生态环境局  </w:t>
      </w:r>
      <w:bookmarkStart w:id="0" w:name="_GoBack"/>
      <w:bookmarkEnd w:id="0"/>
      <w:r>
        <w:rPr>
          <w:sz w:val="28"/>
          <w:szCs w:val="28"/>
          <w:highlight w:val="none"/>
        </w:rPr>
        <w:t xml:space="preserve">              </w:t>
      </w:r>
      <w:r>
        <w:rPr>
          <w:rFonts w:hint="eastAsia"/>
          <w:sz w:val="28"/>
          <w:szCs w:val="28"/>
          <w:highlight w:val="none"/>
          <w:lang w:val="en-US" w:eastAsia="zh-CN"/>
        </w:rPr>
        <w:t xml:space="preserve">    </w:t>
      </w:r>
      <w:r>
        <w:rPr>
          <w:sz w:val="28"/>
          <w:szCs w:val="28"/>
          <w:highlight w:val="none"/>
        </w:rPr>
        <w:t xml:space="preserve">  20</w:t>
      </w:r>
      <w:r>
        <w:rPr>
          <w:rFonts w:hint="eastAsia"/>
          <w:sz w:val="28"/>
          <w:szCs w:val="28"/>
          <w:highlight w:val="none"/>
        </w:rPr>
        <w:t>21</w:t>
      </w:r>
      <w:r>
        <w:rPr>
          <w:sz w:val="28"/>
          <w:szCs w:val="28"/>
          <w:highlight w:val="none"/>
        </w:rPr>
        <w:t>年</w:t>
      </w:r>
      <w:r>
        <w:rPr>
          <w:rFonts w:hint="eastAsia"/>
          <w:sz w:val="28"/>
          <w:szCs w:val="28"/>
          <w:highlight w:val="none"/>
        </w:rPr>
        <w:t>5</w:t>
      </w:r>
      <w:r>
        <w:rPr>
          <w:sz w:val="28"/>
          <w:szCs w:val="28"/>
          <w:highlight w:val="none"/>
        </w:rPr>
        <w:t>月</w:t>
      </w:r>
      <w:r>
        <w:rPr>
          <w:rFonts w:hint="eastAsia"/>
          <w:sz w:val="28"/>
          <w:szCs w:val="28"/>
          <w:highlight w:val="none"/>
        </w:rPr>
        <w:t>12</w:t>
      </w:r>
      <w:r>
        <w:rPr>
          <w:sz w:val="28"/>
          <w:szCs w:val="28"/>
          <w:highlight w:val="none"/>
        </w:rPr>
        <w:t>日印发</w:t>
      </w:r>
      <w:r>
        <w:rPr>
          <w:sz w:val="28"/>
          <w:szCs w:val="28"/>
          <w:highlight w:val="none"/>
        </w:rPr>
        <w:pict>
          <v:line id="_x0000_s1027" o:spid="_x0000_s1027" o:spt="20" style="position:absolute;left:0pt;margin-left:0pt;margin-top:0.6pt;height:0.05pt;width:447.85pt;z-index:251660288;mso-width-relative:page;mso-height-relative:page;"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DjKLwj2AQAA5gMAAA4AAABkcnMvZTJvRG9jLnhtbK1TzW4TMRC+&#10;I/EOlu9kk9CEdpVND4RyQVCp9AEmXu+uJf/J42STl+AFkLjBiSP3vg3lMRh70xTKJQf24B17Pn+e&#10;7xt7cbkzmm1lQOVsxSejMWfSClcr21b89uPVi3POMIKtQTsrK76XyC+Xz58tel/KqeucrmVgRGKx&#10;7H3Fuxh9WRQoOmkAR85LS8nGBQORpqEt6gA9sRtdTMfjedG7UPvghESk1dWQ5AfGcAqhaxol5MqJ&#10;jZE2DqxBaogkCTvlkS9ztU0jRfzQNCgj0xUnpTGPdAjF6zQWywWUbQDfKXEoAU4p4YkmA8rSoUeq&#10;FURgm6D+oTJKBIeuiSPhTDEIyY6Qisn4iTc3HXiZtZDV6I+m4/+jFe+314GpuuJnnFkw1PD7zz9+&#10;fvr66+4Ljfffv7GzZFLvsSTsjb8OhxlSmBTvmmDSn7SwXTZ2fzRW7iITtDibn7+aX8w4E5Sbv5wl&#10;xuJxqw8Y30pnWAoqrpVNqqGE7TuMA/QBkpa1ZX3FL2bTRAh0BRtqPYXGkwy0bd6LTqv6SmmddmBo&#10;1691YFtI1yB/hxL+gqVDVoDdgMupBIOyk1C/sTWLe08GWXoXPJVgZM2ZlvSMUpSREZQ+BUnqtSUT&#10;kq+Dkylau3pP7dj4oNqOnJjkKlOG2p8tO1zVdL/+nGemx+e5/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3W5Sp0wAAAAQBAAAPAAAAAAAAAAEAIAAAACIAAABkcnMvZG93bnJldi54bWxQSwECFAAU&#10;AAAACACHTuJAOMovCPYBAADmAwAADgAAAAAAAAABACAAAAAiAQAAZHJzL2Uyb0RvYy54bWxQSwUG&#10;AAAAAAYABgBZAQAAigUAAAAA&#10;">
            <v:path arrowok="t"/>
            <v:fill focussize="0,0"/>
            <v:stroke/>
            <v:imagedata o:title=""/>
            <o:lock v:ext="edit"/>
          </v:line>
        </w:pic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134" w:left="1588" w:header="851" w:footer="737"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lear" w:pos="4153"/>
        <w:tab w:val="clear" w:pos="8306"/>
      </w:tabs>
      <w:ind w:right="333" w:rightChars="104" w:firstLine="560"/>
      <w:jc w:val="right"/>
      <w:rPr>
        <w:rFonts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rPr>
      <w:t>-</w:t>
    </w:r>
    <w:r>
      <w:rPr>
        <w:rFonts w:ascii="宋体"/>
        <w:sz w:val="28"/>
        <w:szCs w:val="28"/>
      </w:rPr>
      <w:t xml:space="preserve"> 4 -</w:t>
    </w:r>
    <w:r>
      <w:rPr>
        <w:rFonts w:hint="eastAsia" w:ascii="宋体"/>
        <w:sz w:val="28"/>
        <w:szCs w:val="28"/>
      </w:rPr>
      <w:fldChar w:fldCharType="end"/>
    </w:r>
  </w:p>
  <w:p>
    <w:pPr>
      <w:pStyle w:val="9"/>
      <w:tabs>
        <w:tab w:val="clear" w:pos="4153"/>
        <w:tab w:val="clear" w:pos="8306"/>
      </w:tabs>
      <w:ind w:firstLine="560"/>
      <w:rPr>
        <w:rFonts w:asci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lear" w:pos="4153"/>
        <w:tab w:val="clear" w:pos="8306"/>
      </w:tabs>
      <w:ind w:firstLine="560"/>
      <w:rPr>
        <w:rFonts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rPr>
      <w:t>-</w:t>
    </w:r>
    <w:r>
      <w:rPr>
        <w:rFonts w:ascii="宋体"/>
        <w:sz w:val="28"/>
        <w:szCs w:val="28"/>
      </w:rPr>
      <w:t xml:space="preserve"> 6 -</w:t>
    </w:r>
    <w:r>
      <w:rPr>
        <w:rFonts w:hint="eastAsia" w:asci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tabs>
        <w:tab w:val="left" w:pos="4200"/>
        <w:tab w:val="left" w:pos="4620"/>
        <w:tab w:val="left" w:pos="5040"/>
        <w:tab w:val="left" w:pos="5520"/>
        <w:tab w:val="clear" w:pos="4153"/>
        <w:tab w:val="clear" w:pos="8306"/>
      </w:tabs>
      <w:ind w:firstLine="360"/>
      <w:jc w:val="left"/>
    </w:pPr>
    <w:r>
      <w:tab/>
    </w: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DD83011"/>
    <w:rsid w:val="00315D34"/>
    <w:rsid w:val="007E21BA"/>
    <w:rsid w:val="00B44BB1"/>
    <w:rsid w:val="016E2C3C"/>
    <w:rsid w:val="0A8333B5"/>
    <w:rsid w:val="0DD83011"/>
    <w:rsid w:val="173937D3"/>
    <w:rsid w:val="2B9B5EC2"/>
    <w:rsid w:val="358906C6"/>
    <w:rsid w:val="374723EC"/>
    <w:rsid w:val="4B2A40E1"/>
    <w:rsid w:val="5245704D"/>
    <w:rsid w:val="53C147A3"/>
    <w:rsid w:val="5A405DF8"/>
    <w:rsid w:val="6A151126"/>
    <w:rsid w:val="768D61B3"/>
    <w:rsid w:val="7CAB01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Calibri" w:hAnsi="Calibri" w:eastAsia="仿宋_GB2312" w:cs="Times New Roman"/>
      <w:kern w:val="2"/>
      <w:sz w:val="32"/>
      <w:szCs w:val="24"/>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unhideWhenUsed/>
    <w:qFormat/>
    <w:uiPriority w:val="99"/>
    <w:pPr>
      <w:ind w:firstLine="420"/>
    </w:pPr>
  </w:style>
  <w:style w:type="paragraph" w:styleId="3">
    <w:name w:val="Body Text Indent"/>
    <w:basedOn w:val="1"/>
    <w:next w:val="1"/>
    <w:unhideWhenUsed/>
    <w:qFormat/>
    <w:uiPriority w:val="99"/>
    <w:pPr>
      <w:spacing w:after="120"/>
      <w:ind w:left="420" w:leftChars="200"/>
    </w:pPr>
  </w:style>
  <w:style w:type="paragraph" w:styleId="4">
    <w:name w:val="Body Text First Indent"/>
    <w:basedOn w:val="5"/>
    <w:next w:val="1"/>
    <w:qFormat/>
    <w:uiPriority w:val="0"/>
    <w:pPr>
      <w:ind w:firstLine="420" w:firstLineChars="100"/>
    </w:pPr>
  </w:style>
  <w:style w:type="paragraph" w:styleId="5">
    <w:name w:val="Body Text"/>
    <w:basedOn w:val="1"/>
    <w:qFormat/>
    <w:uiPriority w:val="0"/>
  </w:style>
  <w:style w:type="paragraph" w:styleId="6">
    <w:name w:val="Normal Indent"/>
    <w:basedOn w:val="1"/>
    <w:next w:val="2"/>
    <w:qFormat/>
    <w:uiPriority w:val="0"/>
    <w:pPr>
      <w:ind w:firstLine="420"/>
    </w:pPr>
  </w:style>
  <w:style w:type="paragraph" w:styleId="7">
    <w:name w:val="annotation text"/>
    <w:basedOn w:val="8"/>
    <w:qFormat/>
    <w:uiPriority w:val="0"/>
    <w:pPr>
      <w:jc w:val="left"/>
    </w:pPr>
    <w:rPr>
      <w:rFonts w:eastAsia="宋体" w:asciiTheme="minorHAnsi" w:hAnsiTheme="minorHAnsi"/>
      <w:sz w:val="44"/>
      <w:szCs w:val="44"/>
    </w:rPr>
  </w:style>
  <w:style w:type="paragraph" w:styleId="8">
    <w:name w:val="Balloon Text"/>
    <w:basedOn w:val="1"/>
    <w:qFormat/>
    <w:uiPriority w:val="0"/>
    <w:rPr>
      <w:sz w:val="18"/>
    </w:rPr>
  </w:style>
  <w:style w:type="paragraph" w:styleId="9">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10">
    <w:name w:val="header"/>
    <w:basedOn w:val="1"/>
    <w:next w:val="11"/>
    <w:qFormat/>
    <w:uiPriority w:val="0"/>
    <w:pPr>
      <w:pBdr>
        <w:bottom w:val="single" w:color="auto" w:sz="6" w:space="1"/>
      </w:pBdr>
      <w:tabs>
        <w:tab w:val="center" w:pos="4153"/>
        <w:tab w:val="right" w:pos="8306"/>
      </w:tabs>
      <w:snapToGrid w:val="0"/>
      <w:jc w:val="center"/>
    </w:pPr>
    <w:rPr>
      <w:rFonts w:ascii="Times New Roman" w:hAnsi="Times New Roman" w:eastAsia="宋体"/>
      <w:sz w:val="18"/>
      <w:szCs w:val="18"/>
    </w:rPr>
  </w:style>
  <w:style w:type="paragraph" w:customStyle="1" w:styleId="11">
    <w:name w:val="样式5"/>
    <w:basedOn w:val="12"/>
    <w:qFormat/>
    <w:uiPriority w:val="0"/>
    <w:pPr>
      <w:snapToGrid w:val="0"/>
      <w:ind w:firstLine="510"/>
    </w:pPr>
    <w:rPr>
      <w:sz w:val="24"/>
    </w:rPr>
  </w:style>
  <w:style w:type="paragraph" w:customStyle="1" w:styleId="12">
    <w:name w:val="正文1"/>
    <w:basedOn w:val="1"/>
    <w:next w:val="1"/>
    <w:qFormat/>
    <w:uiPriority w:val="0"/>
    <w:pPr>
      <w:adjustRightInd w:val="0"/>
      <w:spacing w:line="360" w:lineRule="auto"/>
      <w:jc w:val="center"/>
      <w:textAlignment w:val="baseline"/>
    </w:pPr>
    <w:rPr>
      <w:rFonts w:ascii="Times New Roman" w:hAnsi="Times New Roman" w:eastAsia="宋体"/>
      <w:kern w:val="0"/>
      <w:sz w:val="28"/>
      <w:szCs w:val="20"/>
    </w:rPr>
  </w:style>
  <w:style w:type="paragraph" w:customStyle="1" w:styleId="15">
    <w:name w:val="样式 正文缩进正文缩进2正文缩进 Char Char正文缩进 Char Char Char Char正文缩进 Char ..."/>
    <w:basedOn w:val="6"/>
    <w:qFormat/>
    <w:uiPriority w:val="0"/>
    <w:pPr>
      <w:spacing w:line="360" w:lineRule="auto"/>
      <w:ind w:firstLine="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294</Words>
  <Characters>1682</Characters>
  <Lines>14</Lines>
  <Paragraphs>3</Paragraphs>
  <TotalTime>15</TotalTime>
  <ScaleCrop>false</ScaleCrop>
  <LinksUpToDate>false</LinksUpToDate>
  <CharactersWithSpaces>1973</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2021-05-27T08:33:00Z</dcterms:created>
  <dc:creator> </dc:creator>
  <cp:lastModifiedBy> </cp:lastModifiedBy>
  <cp:lastPrinted>2021-05-28T01:54:54Z</cp:lastPrinted>
  <dcterms:modified xsi:type="dcterms:W3CDTF">2021-05-28T02:04:41Z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9B197979A5404AB4BDC41BD068386A3B</vt:lpwstr>
  </property>
</Properties>
</file>