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autoSpaceDE/>
        <w:bidi w:val="0"/>
        <w:adjustRightInd/>
        <w:spacing w:line="575" w:lineRule="exact"/>
        <w:jc w:val="center"/>
        <w:textAlignment w:val="auto"/>
        <w:outlineLvl w:val="0"/>
        <w:rPr>
          <w:rFonts w:hint="eastAsia" w:ascii="方正小标宋简体" w:hAnsi="方正小标宋简体" w:eastAsia="方正小标宋简体" w:cs="方正小标宋简体"/>
          <w:sz w:val="44"/>
          <w:szCs w:val="44"/>
          <w:highlight w:val="none"/>
        </w:rPr>
      </w:pPr>
      <w:bookmarkStart w:id="0" w:name="_Toc15596"/>
    </w:p>
    <w:p>
      <w:pPr>
        <w:pageBreakBefore w:val="0"/>
        <w:kinsoku/>
        <w:wordWrap/>
        <w:overflowPunct/>
        <w:topLinePunct w:val="0"/>
        <w:autoSpaceDE/>
        <w:bidi w:val="0"/>
        <w:adjustRightInd/>
        <w:spacing w:line="575" w:lineRule="exact"/>
        <w:jc w:val="center"/>
        <w:textAlignment w:val="auto"/>
        <w:outlineLvl w:val="0"/>
        <w:rPr>
          <w:rFonts w:hint="eastAsia" w:ascii="楷体_GB2312" w:hAnsi="楷体_GB2312" w:eastAsia="楷体_GB2312" w:cs="楷体_GB2312"/>
          <w:szCs w:val="32"/>
          <w:highlight w:val="none"/>
        </w:rPr>
      </w:pPr>
      <w:r>
        <w:rPr>
          <w:rFonts w:hint="eastAsia" w:ascii="方正小标宋简体" w:hAnsi="方正小标宋简体" w:eastAsia="方正小标宋简体" w:cs="方正小标宋简体"/>
          <w:sz w:val="44"/>
          <w:szCs w:val="44"/>
          <w:highlight w:val="none"/>
        </w:rPr>
        <w:t>鄂尔多斯市“十四五”人才发展规划</w:t>
      </w:r>
      <w:bookmarkEnd w:id="0"/>
    </w:p>
    <w:p>
      <w:pPr>
        <w:pageBreakBefore w:val="0"/>
        <w:kinsoku/>
        <w:wordWrap/>
        <w:overflowPunct/>
        <w:topLinePunct w:val="0"/>
        <w:autoSpaceDE/>
        <w:bidi w:val="0"/>
        <w:adjustRightInd/>
        <w:spacing w:line="575" w:lineRule="exact"/>
        <w:textAlignment w:val="auto"/>
        <w:rPr>
          <w:rFonts w:hint="eastAsia" w:ascii="仿宋_GB2312" w:hAnsi="仿宋_GB2312" w:eastAsia="仿宋_GB2312" w:cs="仿宋_GB2312"/>
          <w:szCs w:val="32"/>
          <w:highlight w:val="none"/>
        </w:rPr>
      </w:pP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zCs w:val="32"/>
          <w:highlight w:val="none"/>
        </w:rPr>
      </w:pPr>
      <w:r>
        <w:rPr>
          <w:rFonts w:hint="eastAsia" w:ascii="仿宋_GB2312" w:hAnsi="仿宋_GB2312" w:eastAsia="仿宋_GB2312" w:cs="仿宋_GB2312"/>
          <w:szCs w:val="32"/>
          <w:highlight w:val="none"/>
        </w:rPr>
        <w:t>“十四五”时期是我国全面建成小康社会、实现第一个百年奋斗目标之后，乘势而上全面开启建设社会主义现代化新征程、向第二个百年奋斗目标进军的第一个五年，也是内蒙古加快建设“两个屏障”“两个基地”“一个桥头堡”、鄂尔多斯走好“以生态优先、绿色发展为导向的高质量发展新路子”的关键时期。根据</w:t>
      </w:r>
      <w:r>
        <w:rPr>
          <w:rFonts w:hint="eastAsia" w:ascii="仿宋_GB2312" w:hAnsi="仿宋_GB2312" w:eastAsia="仿宋_GB2312" w:cs="仿宋_GB2312"/>
          <w:sz w:val="32"/>
          <w:szCs w:val="32"/>
          <w:highlight w:val="none"/>
        </w:rPr>
        <w:t>《鄂尔多斯市国民经济和社会发展第十四个五年规划和</w:t>
      </w:r>
      <w:r>
        <w:rPr>
          <w:rFonts w:hint="eastAsia" w:ascii="仿宋_GB2312" w:hAnsi="NEU-BZ" w:eastAsia="仿宋_GB2312"/>
          <w:sz w:val="32"/>
          <w:szCs w:val="32"/>
          <w:highlight w:val="none"/>
        </w:rPr>
        <w:t>2035</w:t>
      </w:r>
      <w:r>
        <w:rPr>
          <w:rFonts w:hint="eastAsia" w:ascii="仿宋_GB2312" w:eastAsia="仿宋_GB2312"/>
          <w:sz w:val="32"/>
          <w:szCs w:val="32"/>
          <w:highlight w:val="none"/>
        </w:rPr>
        <w:t>年远景目标纲要》</w:t>
      </w:r>
      <w:r>
        <w:rPr>
          <w:rFonts w:hint="eastAsia" w:ascii="仿宋_GB2312" w:eastAsia="仿宋_GB2312"/>
          <w:sz w:val="32"/>
          <w:szCs w:val="32"/>
          <w:highlight w:val="none"/>
          <w:lang w:eastAsia="zh-CN"/>
        </w:rPr>
        <w:t>（鄂府发〔</w:t>
      </w:r>
      <w:r>
        <w:rPr>
          <w:rFonts w:hint="eastAsia" w:ascii="仿宋_GB2312" w:eastAsia="仿宋_GB2312"/>
          <w:sz w:val="32"/>
          <w:szCs w:val="32"/>
          <w:highlight w:val="none"/>
          <w:lang w:val="en-US" w:eastAsia="zh-CN"/>
        </w:rPr>
        <w:t>2021</w:t>
      </w:r>
      <w:r>
        <w:rPr>
          <w:rFonts w:hint="eastAsia" w:ascii="仿宋_GB2312" w:eastAsia="仿宋_GB2312"/>
          <w:sz w:val="32"/>
          <w:szCs w:val="32"/>
          <w:highlight w:val="none"/>
          <w:lang w:eastAsia="zh-CN"/>
        </w:rPr>
        <w:t>〕</w:t>
      </w:r>
      <w:bookmarkStart w:id="97" w:name="_GoBack"/>
      <w:bookmarkEnd w:id="97"/>
      <w:r>
        <w:rPr>
          <w:rFonts w:hint="eastAsia" w:ascii="仿宋_GB2312" w:eastAsia="仿宋_GB2312"/>
          <w:sz w:val="32"/>
          <w:szCs w:val="32"/>
          <w:highlight w:val="none"/>
          <w:lang w:val="en-US" w:eastAsia="zh-CN"/>
        </w:rPr>
        <w:t>1号</w:t>
      </w:r>
      <w:r>
        <w:rPr>
          <w:rFonts w:hint="eastAsia" w:ascii="仿宋_GB2312" w:eastAsia="仿宋_GB2312"/>
          <w:sz w:val="32"/>
          <w:szCs w:val="32"/>
          <w:highlight w:val="none"/>
          <w:lang w:eastAsia="zh-CN"/>
        </w:rPr>
        <w:t>）</w:t>
      </w:r>
      <w:r>
        <w:rPr>
          <w:rFonts w:hint="eastAsia" w:ascii="仿宋_GB2312" w:hAnsi="仿宋_GB2312" w:eastAsia="仿宋_GB2312" w:cs="仿宋_GB2312"/>
          <w:szCs w:val="32"/>
          <w:highlight w:val="none"/>
        </w:rPr>
        <w:t>，</w:t>
      </w:r>
      <w:r>
        <w:rPr>
          <w:rFonts w:hint="eastAsia" w:ascii="仿宋_GB2312" w:hAnsi="仿宋_GB2312" w:eastAsia="仿宋_GB2312" w:cs="仿宋_GB2312"/>
          <w:szCs w:val="32"/>
          <w:highlight w:val="none"/>
          <w:lang w:val="en-US" w:eastAsia="zh-CN"/>
        </w:rPr>
        <w:t>结合我市“十四五”时期经济社会发展要求部署，编制本规划</w:t>
      </w:r>
      <w:r>
        <w:rPr>
          <w:rFonts w:hint="eastAsia" w:ascii="仿宋_GB2312" w:hAnsi="仿宋_GB2312" w:eastAsia="仿宋_GB2312" w:cs="仿宋_GB2312"/>
          <w:szCs w:val="32"/>
          <w:highlight w:val="none"/>
        </w:rPr>
        <w:t>。</w:t>
      </w:r>
    </w:p>
    <w:p>
      <w:pPr>
        <w:keepNext/>
        <w:keepLines/>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outlineLvl w:val="0"/>
        <w:rPr>
          <w:rFonts w:ascii="黑体" w:hAnsi="黑体" w:eastAsia="黑体" w:cs="黑体"/>
          <w:bCs/>
          <w:kern w:val="44"/>
          <w:szCs w:val="32"/>
          <w:highlight w:val="none"/>
        </w:rPr>
      </w:pPr>
      <w:bookmarkStart w:id="1" w:name="_Toc10033"/>
      <w:r>
        <w:rPr>
          <w:rFonts w:hint="eastAsia" w:ascii="黑体" w:hAnsi="黑体" w:eastAsia="黑体" w:cs="黑体"/>
          <w:bCs/>
          <w:kern w:val="44"/>
          <w:szCs w:val="32"/>
          <w:highlight w:val="none"/>
          <w:lang w:val="en-US" w:eastAsia="zh-CN"/>
        </w:rPr>
        <w:t>发展背景</w:t>
      </w:r>
      <w:bookmarkEnd w:id="1"/>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zCs w:val="32"/>
          <w:highlight w:val="none"/>
        </w:rPr>
      </w:pPr>
      <w:r>
        <w:rPr>
          <w:rFonts w:hint="eastAsia" w:ascii="仿宋_GB2312" w:hAnsi="仿宋_GB2312" w:eastAsia="仿宋_GB2312" w:cs="仿宋_GB2312"/>
          <w:szCs w:val="32"/>
          <w:highlight w:val="none"/>
        </w:rPr>
        <w:t>“十三五”期间，鄂尔多斯认真贯彻落实习近平总书记重要指示精神和自治区</w:t>
      </w:r>
      <w:r>
        <w:rPr>
          <w:rFonts w:hint="eastAsia" w:ascii="仿宋_GB2312" w:hAnsi="仿宋_GB2312" w:eastAsia="仿宋_GB2312" w:cs="仿宋_GB2312"/>
          <w:szCs w:val="32"/>
          <w:highlight w:val="none"/>
          <w:lang w:eastAsia="zh-CN"/>
        </w:rPr>
        <w:t>党委</w:t>
      </w:r>
      <w:r>
        <w:rPr>
          <w:rFonts w:hint="eastAsia" w:ascii="仿宋_GB2312" w:hAnsi="仿宋_GB2312" w:eastAsia="仿宋_GB2312" w:cs="仿宋_GB2312"/>
          <w:szCs w:val="32"/>
          <w:highlight w:val="none"/>
        </w:rPr>
        <w:t>决策部署，坚持党管人才原则，不断加强政治引领和政治吸纳，不断加大优秀人才引育质量，不断深化体制机制改革，不断完善人才载体平台</w:t>
      </w:r>
      <w:r>
        <w:rPr>
          <w:rFonts w:hint="eastAsia" w:ascii="仿宋_GB2312" w:hAnsi="仿宋_GB2312" w:eastAsia="仿宋_GB2312" w:cs="仿宋_GB2312"/>
          <w:szCs w:val="32"/>
          <w:highlight w:val="none"/>
          <w:lang w:val="en-US" w:eastAsia="zh-CN"/>
        </w:rPr>
        <w:t>建设</w:t>
      </w:r>
      <w:r>
        <w:rPr>
          <w:rFonts w:hint="eastAsia" w:ascii="仿宋_GB2312" w:hAnsi="仿宋_GB2312" w:eastAsia="仿宋_GB2312" w:cs="仿宋_GB2312"/>
          <w:szCs w:val="32"/>
          <w:highlight w:val="none"/>
        </w:rPr>
        <w:t>，不断优化人才发展环境，人才</w:t>
      </w:r>
      <w:r>
        <w:rPr>
          <w:rFonts w:hint="eastAsia" w:ascii="仿宋_GB2312" w:hAnsi="仿宋_GB2312" w:eastAsia="仿宋_GB2312" w:cs="仿宋_GB2312"/>
          <w:color w:val="000000" w:themeColor="text1"/>
          <w:szCs w:val="32"/>
          <w:highlight w:val="none"/>
          <w14:textFill>
            <w14:solidFill>
              <w14:schemeClr w14:val="tx1"/>
            </w14:solidFill>
          </w14:textFill>
        </w:rPr>
        <w:t>实力</w:t>
      </w:r>
      <w:r>
        <w:rPr>
          <w:rFonts w:hint="eastAsia" w:ascii="仿宋_GB2312" w:hAnsi="仿宋_GB2312" w:eastAsia="仿宋_GB2312" w:cs="仿宋_GB2312"/>
          <w:szCs w:val="32"/>
          <w:highlight w:val="none"/>
        </w:rPr>
        <w:t>得到长足发展，人才竞争优势明显增长。</w:t>
      </w:r>
    </w:p>
    <w:p>
      <w:pPr>
        <w:pStyle w:val="2"/>
        <w:pageBreakBefore w:val="0"/>
        <w:widowControl w:val="0"/>
        <w:kinsoku/>
        <w:wordWrap/>
        <w:overflowPunct/>
        <w:topLinePunct w:val="0"/>
        <w:autoSpaceDE/>
        <w:autoSpaceDN/>
        <w:bidi w:val="0"/>
        <w:adjustRightInd/>
        <w:snapToGrid/>
        <w:spacing w:before="0" w:line="600" w:lineRule="exact"/>
        <w:ind w:left="0" w:firstLine="640" w:firstLineChars="200"/>
        <w:textAlignment w:val="auto"/>
        <w:rPr>
          <w:rFonts w:hint="default" w:ascii="仿宋_GB2312" w:hAnsi="仿宋_GB2312" w:eastAsia="仿宋_GB2312" w:cs="仿宋_GB2312"/>
          <w:highlight w:val="none"/>
          <w:lang w:val="en-US" w:eastAsia="zh-CN"/>
        </w:rPr>
      </w:pPr>
      <w:r>
        <w:rPr>
          <w:rFonts w:hint="eastAsia" w:ascii="楷体_GB2312" w:hAnsi="楷体_GB2312" w:eastAsia="楷体_GB2312" w:cs="楷体_GB2312"/>
          <w:bCs/>
          <w:highlight w:val="none"/>
          <w:lang w:val="en-US"/>
        </w:rPr>
        <w:t>优秀人才引育质量明显提升。</w:t>
      </w:r>
      <w:r>
        <w:rPr>
          <w:rFonts w:hint="eastAsia" w:ascii="仿宋_GB2312" w:hAnsi="仿宋_GB2312" w:eastAsia="仿宋_GB2312" w:cs="仿宋_GB2312"/>
          <w:highlight w:val="none"/>
          <w:lang w:val="en-US"/>
        </w:rPr>
        <w:t>鄂尔多斯积极</w:t>
      </w:r>
      <w:r>
        <w:rPr>
          <w:rFonts w:hint="eastAsia" w:ascii="仿宋_GB2312" w:hAnsi="仿宋_GB2312" w:eastAsia="仿宋_GB2312" w:cs="仿宋_GB2312"/>
          <w:highlight w:val="none"/>
        </w:rPr>
        <w:t>实施“人才鄂尔多斯”战略，</w:t>
      </w:r>
      <w:r>
        <w:rPr>
          <w:rFonts w:hint="eastAsia" w:ascii="仿宋_GB2312" w:hAnsi="仿宋_GB2312" w:eastAsia="仿宋_GB2312" w:cs="仿宋_GB2312"/>
          <w:highlight w:val="none"/>
          <w:lang w:val="en-US"/>
        </w:rPr>
        <w:t>持续推进</w:t>
      </w:r>
      <w:r>
        <w:rPr>
          <w:rFonts w:hint="eastAsia" w:ascii="仿宋_GB2312" w:hAnsi="仿宋_GB2312" w:eastAsia="仿宋_GB2312" w:cs="仿宋_GB2312"/>
          <w:highlight w:val="none"/>
        </w:rPr>
        <w:t>“高精尖缺”人才</w:t>
      </w:r>
      <w:r>
        <w:rPr>
          <w:rFonts w:hint="eastAsia" w:ascii="仿宋_GB2312" w:hAnsi="仿宋_GB2312" w:eastAsia="仿宋_GB2312" w:cs="仿宋_GB2312"/>
          <w:color w:val="000000" w:themeColor="text1"/>
          <w:highlight w:val="none"/>
          <w:lang w:val="en-US"/>
          <w14:textFill>
            <w14:solidFill>
              <w14:schemeClr w14:val="tx1"/>
            </w14:solidFill>
          </w14:textFill>
        </w:rPr>
        <w:t>引进</w:t>
      </w:r>
      <w:r>
        <w:rPr>
          <w:rFonts w:hint="eastAsia" w:ascii="仿宋_GB2312" w:hAnsi="仿宋_GB2312" w:eastAsia="仿宋_GB2312" w:cs="仿宋_GB2312"/>
          <w:highlight w:val="none"/>
        </w:rPr>
        <w:t>，人才竞争比较优势</w:t>
      </w:r>
      <w:r>
        <w:rPr>
          <w:rFonts w:hint="eastAsia" w:ascii="仿宋_GB2312" w:hAnsi="仿宋_GB2312" w:eastAsia="仿宋_GB2312" w:cs="仿宋_GB2312"/>
          <w:highlight w:val="none"/>
          <w:lang w:val="en-US"/>
        </w:rPr>
        <w:t>不断提升</w:t>
      </w:r>
      <w:r>
        <w:rPr>
          <w:rFonts w:hint="eastAsia" w:ascii="仿宋_GB2312" w:hAnsi="仿宋_GB2312" w:eastAsia="仿宋_GB2312" w:cs="仿宋_GB2312"/>
          <w:color w:val="000000"/>
          <w:spacing w:val="-4"/>
          <w:highlight w:val="none"/>
        </w:rPr>
        <w:t>。</w:t>
      </w:r>
      <w:r>
        <w:rPr>
          <w:rFonts w:hint="eastAsia" w:ascii="仿宋_GB2312" w:hAnsi="仿宋_GB2312" w:eastAsia="仿宋_GB2312" w:cs="仿宋_GB2312"/>
          <w:highlight w:val="none"/>
        </w:rPr>
        <w:t>截至</w:t>
      </w:r>
      <w:r>
        <w:rPr>
          <w:rFonts w:hint="eastAsia" w:ascii="仿宋_GB2312" w:hAnsi="仿宋_GB2312" w:eastAsia="仿宋_GB2312" w:cs="仿宋_GB2312"/>
          <w:highlight w:val="none"/>
          <w:lang w:val="en-US"/>
        </w:rPr>
        <w:t>2020年底</w:t>
      </w:r>
      <w:r>
        <w:rPr>
          <w:rFonts w:hint="eastAsia" w:ascii="仿宋_GB2312" w:hAnsi="仿宋_GB2312" w:eastAsia="仿宋_GB2312" w:cs="仿宋_GB2312"/>
          <w:highlight w:val="none"/>
        </w:rPr>
        <w:t>，全市人才总量达43.8万人（其中企业经营管理人才12.9万人、专业技术人才16.29万人、高技能人才4.8万人、农村牧区实用人才7.46万人、社会工作人才0.86万人、党政人才1.48万人），较2015年末增加13万人、增长42%。全市柔性引进两院院士18人，高层次人才总量达4.5万人，</w:t>
      </w:r>
      <w:r>
        <w:rPr>
          <w:rFonts w:hint="eastAsia" w:ascii="仿宋_GB2312" w:hAnsi="仿宋_GB2312" w:eastAsia="仿宋_GB2312" w:cs="仿宋_GB2312"/>
          <w:highlight w:val="none"/>
          <w:lang w:val="en-US" w:eastAsia="zh-CN"/>
        </w:rPr>
        <w:t>年均</w:t>
      </w:r>
      <w:r>
        <w:rPr>
          <w:rFonts w:hint="eastAsia" w:ascii="仿宋_GB2312" w:hAnsi="仿宋_GB2312" w:eastAsia="仿宋_GB2312" w:cs="仿宋_GB2312"/>
          <w:highlight w:val="none"/>
        </w:rPr>
        <w:t>增长约10%。先后开展了4批</w:t>
      </w:r>
      <w:r>
        <w:rPr>
          <w:rFonts w:hint="eastAsia" w:ascii="仿宋_GB2312" w:hAnsi="仿宋_GB2312" w:eastAsia="仿宋_GB2312" w:cs="仿宋_GB2312"/>
          <w:highlight w:val="none"/>
          <w:lang w:val="en-US" w:eastAsia="zh-CN"/>
        </w:rPr>
        <w:t>次</w:t>
      </w:r>
      <w:r>
        <w:rPr>
          <w:rFonts w:hint="eastAsia" w:ascii="仿宋_GB2312" w:hAnsi="仿宋_GB2312" w:eastAsia="仿宋_GB2312" w:cs="仿宋_GB2312"/>
          <w:highlight w:val="none"/>
        </w:rPr>
        <w:t>市级高层次人才创新创业基地、产业创新创业人才团队和高层次人才评选，评选资助高层次人才创新创业基地1个、产业创新创业人才团队58个，评选奖励市级高层次人才289名。其中46个团队、</w:t>
      </w:r>
      <w:r>
        <w:rPr>
          <w:rFonts w:hint="eastAsia" w:ascii="仿宋_GB2312" w:hAnsi="仿宋_GB2312" w:eastAsia="仿宋_GB2312" w:cs="仿宋_GB2312"/>
          <w:highlight w:val="none"/>
          <w:lang w:val="en-US" w:eastAsia="zh-CN"/>
        </w:rPr>
        <w:t>102</w:t>
      </w:r>
      <w:r>
        <w:rPr>
          <w:rFonts w:hint="eastAsia" w:ascii="仿宋_GB2312" w:hAnsi="仿宋_GB2312" w:eastAsia="仿宋_GB2312" w:cs="仿宋_GB2312"/>
          <w:highlight w:val="none"/>
        </w:rPr>
        <w:t>名人才</w:t>
      </w:r>
      <w:r>
        <w:rPr>
          <w:rFonts w:hint="eastAsia" w:ascii="仿宋_GB2312" w:hAnsi="仿宋_GB2312" w:eastAsia="仿宋_GB2312" w:cs="仿宋_GB2312"/>
          <w:highlight w:val="none"/>
          <w:lang w:val="en-US" w:eastAsia="zh-CN"/>
        </w:rPr>
        <w:t>入选国家、自治区人才项目。</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highlight w:val="none"/>
        </w:rPr>
      </w:pPr>
      <w:r>
        <w:rPr>
          <w:rFonts w:hint="eastAsia" w:ascii="楷体_GB2312" w:hAnsi="楷体_GB2312" w:eastAsia="楷体_GB2312" w:cs="楷体_GB2312"/>
          <w:bCs/>
          <w:szCs w:val="32"/>
          <w:highlight w:val="none"/>
          <w:lang w:val="zh-CN" w:bidi="zh-CN"/>
        </w:rPr>
        <w:t>人才体制机制改革深入推进。</w:t>
      </w:r>
      <w:r>
        <w:rPr>
          <w:rFonts w:hint="eastAsia" w:ascii="仿宋_GB2312" w:hAnsi="仿宋_GB2312" w:eastAsia="仿宋_GB2312" w:cs="仿宋_GB2312"/>
          <w:szCs w:val="32"/>
          <w:highlight w:val="none"/>
        </w:rPr>
        <w:t>加大人才发展顶层设计，出台《鄂尔多斯市关于深化人才发展体制机制改革的若干政策》</w:t>
      </w:r>
      <w:r>
        <w:rPr>
          <w:rFonts w:hint="eastAsia" w:ascii="仿宋_GB2312" w:hAnsi="仿宋_GB2312" w:eastAsia="仿宋_GB2312" w:cs="仿宋_GB2312"/>
          <w:szCs w:val="32"/>
          <w:highlight w:val="none"/>
          <w:lang w:eastAsia="zh-CN"/>
        </w:rPr>
        <w:t>（鄂党发〔2017〕8号）</w:t>
      </w:r>
      <w:r>
        <w:rPr>
          <w:rFonts w:hint="eastAsia" w:ascii="仿宋_GB2312" w:hAnsi="仿宋_GB2312" w:eastAsia="仿宋_GB2312" w:cs="仿宋_GB2312"/>
          <w:szCs w:val="32"/>
          <w:highlight w:val="none"/>
        </w:rPr>
        <w:t>和6个配套办法，人才政策竞争力显著提升。创新高层次人才和团队认定办法，实施人才分类评价，在发现、培养、使用、激励人才上发挥了重要作用。发挥市场配置人才的基础性作用，鼓励企业通过专业人才中介机构招才引智。深入推进“放管服”改革，加大放权松绑力度，进一步向用人单位放权、松绑、减负，让用人单位拥有更大的用人自主权，有效激发了人才创新创业动能，人才发展效能明显。</w:t>
      </w:r>
    </w:p>
    <w:p>
      <w:pPr>
        <w:pStyle w:val="2"/>
        <w:pageBreakBefore w:val="0"/>
        <w:widowControl w:val="0"/>
        <w:kinsoku/>
        <w:wordWrap/>
        <w:overflowPunct/>
        <w:topLinePunct w:val="0"/>
        <w:autoSpaceDE/>
        <w:autoSpaceDN/>
        <w:bidi w:val="0"/>
        <w:adjustRightInd/>
        <w:snapToGrid/>
        <w:spacing w:before="0" w:line="600" w:lineRule="exact"/>
        <w:ind w:left="0" w:leftChars="0" w:firstLine="640" w:firstLineChars="200"/>
        <w:textAlignment w:val="auto"/>
        <w:rPr>
          <w:rFonts w:hint="eastAsia" w:ascii="仿宋_GB2312" w:hAnsi="仿宋_GB2312" w:eastAsia="仿宋_GB2312" w:cs="仿宋_GB2312"/>
          <w:kern w:val="2"/>
          <w:sz w:val="32"/>
          <w:szCs w:val="32"/>
          <w:highlight w:val="yellow"/>
          <w:lang w:val="en-US" w:eastAsia="zh-CN" w:bidi="ar-SA"/>
        </w:rPr>
      </w:pPr>
      <w:r>
        <w:rPr>
          <w:rFonts w:hint="eastAsia" w:ascii="楷体_GB2312" w:hAnsi="楷体_GB2312" w:eastAsia="楷体_GB2312" w:cs="楷体_GB2312"/>
          <w:bCs/>
          <w:kern w:val="2"/>
          <w:sz w:val="32"/>
          <w:szCs w:val="32"/>
          <w:highlight w:val="none"/>
          <w:lang w:val="en-US" w:eastAsia="zh-CN" w:bidi="zh-CN"/>
        </w:rPr>
        <w:t>人才载体平台建设取得成效。</w:t>
      </w:r>
      <w:r>
        <w:rPr>
          <w:rFonts w:hint="eastAsia" w:ascii="仿宋_GB2312" w:hAnsi="仿宋_GB2312" w:eastAsia="仿宋_GB2312" w:cs="仿宋_GB2312"/>
          <w:kern w:val="2"/>
          <w:sz w:val="32"/>
          <w:szCs w:val="32"/>
          <w:highlight w:val="none"/>
          <w:lang w:val="en-US" w:eastAsia="zh-CN" w:bidi="ar-SA"/>
        </w:rPr>
        <w:t>鄂尔多斯市加快人才载体建设，“十三五”期间鄂尔多斯高新技术产业开发区获批国家级高新区，先后在北京、上海、深圳设立驻外人才工作站，组建了内蒙古羊绒技术研究院、内蒙古伊泰煤炭开采及煤基油基合成工业研究院等8家新型研发机构，新增国家级技能大师工作室4个，自治区级及以上重点实验室、工程技术研究中心、企业技术中心、企业研发中心等各类人才载体平台65个。</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Cs w:val="32"/>
          <w:highlight w:val="none"/>
          <w:lang w:eastAsia="zh-CN"/>
        </w:rPr>
      </w:pPr>
      <w:r>
        <w:rPr>
          <w:rFonts w:hint="eastAsia" w:ascii="楷体_GB2312" w:hAnsi="楷体_GB2312" w:eastAsia="楷体_GB2312" w:cs="楷体_GB2312"/>
          <w:bCs/>
          <w:szCs w:val="32"/>
          <w:highlight w:val="none"/>
          <w:lang w:val="zh-CN" w:bidi="zh-CN"/>
        </w:rPr>
        <w:t>人才发展</w:t>
      </w:r>
      <w:r>
        <w:rPr>
          <w:rFonts w:hint="eastAsia" w:ascii="楷体_GB2312" w:hAnsi="楷体_GB2312" w:eastAsia="楷体_GB2312" w:cs="楷体_GB2312"/>
          <w:bCs/>
          <w:szCs w:val="32"/>
          <w:highlight w:val="none"/>
          <w:lang w:bidi="zh-CN"/>
        </w:rPr>
        <w:t>生态</w:t>
      </w:r>
      <w:r>
        <w:rPr>
          <w:rFonts w:hint="eastAsia" w:ascii="楷体_GB2312" w:hAnsi="楷体_GB2312" w:eastAsia="楷体_GB2312" w:cs="楷体_GB2312"/>
          <w:bCs/>
          <w:szCs w:val="32"/>
          <w:highlight w:val="none"/>
          <w:lang w:val="zh-CN" w:bidi="zh-CN"/>
        </w:rPr>
        <w:t>环境持续优化。</w:t>
      </w:r>
      <w:r>
        <w:rPr>
          <w:rFonts w:hint="eastAsia" w:ascii="仿宋_GB2312" w:hAnsi="仿宋_GB2312" w:eastAsia="仿宋_GB2312" w:cs="仿宋_GB2312"/>
          <w:szCs w:val="32"/>
          <w:highlight w:val="none"/>
        </w:rPr>
        <w:t>鄂尔多斯市</w:t>
      </w:r>
      <w:r>
        <w:rPr>
          <w:rFonts w:hint="eastAsia" w:ascii="仿宋_GB2312" w:hAnsi="仿宋_GB2312" w:eastAsia="仿宋_GB2312" w:cs="仿宋_GB2312"/>
          <w:szCs w:val="32"/>
          <w:highlight w:val="none"/>
          <w:lang w:eastAsia="zh-CN"/>
        </w:rPr>
        <w:t>构建</w:t>
      </w:r>
      <w:r>
        <w:rPr>
          <w:rFonts w:hint="eastAsia" w:ascii="仿宋_GB2312" w:hAnsi="仿宋_GB2312" w:eastAsia="仿宋_GB2312" w:cs="仿宋_GB2312"/>
          <w:szCs w:val="32"/>
          <w:highlight w:val="none"/>
        </w:rPr>
        <w:t>人才服务网络体系，强化专家服务中心工作职能，开展</w:t>
      </w:r>
      <w:r>
        <w:rPr>
          <w:rFonts w:hint="eastAsia" w:ascii="仿宋_GB2312" w:hAnsi="仿宋_GB2312" w:eastAsia="仿宋_GB2312" w:cs="仿宋_GB2312"/>
          <w:color w:val="000000" w:themeColor="text1"/>
          <w:szCs w:val="32"/>
          <w:highlight w:val="none"/>
          <w14:textFill>
            <w14:solidFill>
              <w14:schemeClr w14:val="tx1"/>
            </w14:solidFill>
          </w14:textFill>
        </w:rPr>
        <w:t>“人才服务年”活动</w:t>
      </w:r>
      <w:r>
        <w:rPr>
          <w:rFonts w:hint="eastAsia" w:ascii="仿宋_GB2312" w:hAnsi="仿宋_GB2312" w:eastAsia="仿宋_GB2312" w:cs="仿宋_GB2312"/>
          <w:szCs w:val="32"/>
          <w:highlight w:val="none"/>
        </w:rPr>
        <w:t>，建成人才公寓300套，为39名高层次人才发放“鄂尔多斯人才服务卡”、292名“四类”英才发放“天骄行卡”，提供清单范围内“绿色通道”服务。加大人才投入，2016年以来全市累计投入人才工作经费6.2亿元，其中市级层面投入3.4亿元</w:t>
      </w:r>
      <w:r>
        <w:rPr>
          <w:rFonts w:hint="eastAsia" w:ascii="仿宋_GB2312" w:hAnsi="仿宋_GB2312" w:eastAsia="仿宋_GB2312" w:cs="仿宋_GB2312"/>
          <w:szCs w:val="32"/>
          <w:highlight w:val="none"/>
          <w:lang w:eastAsia="zh-CN"/>
        </w:rPr>
        <w:t>。</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Cs w:val="32"/>
          <w:highlight w:val="none"/>
        </w:rPr>
      </w:pPr>
      <w:r>
        <w:rPr>
          <w:rFonts w:hint="eastAsia" w:ascii="楷体_GB2312" w:hAnsi="楷体_GB2312" w:eastAsia="楷体_GB2312" w:cs="楷体_GB2312"/>
          <w:bCs/>
          <w:szCs w:val="32"/>
          <w:highlight w:val="none"/>
          <w:lang w:bidi="zh-CN"/>
        </w:rPr>
        <w:t>党</w:t>
      </w:r>
      <w:r>
        <w:rPr>
          <w:rFonts w:hint="eastAsia" w:ascii="楷体_GB2312" w:hAnsi="楷体_GB2312" w:eastAsia="楷体_GB2312" w:cs="楷体_GB2312"/>
          <w:bCs/>
          <w:szCs w:val="32"/>
          <w:highlight w:val="none"/>
          <w:lang w:val="zh-CN" w:bidi="zh-CN"/>
        </w:rPr>
        <w:t>管人才工作深入贯彻落实。</w:t>
      </w:r>
      <w:r>
        <w:rPr>
          <w:rFonts w:hint="eastAsia" w:ascii="仿宋_GB2312" w:hAnsi="仿宋_GB2312" w:eastAsia="仿宋_GB2312" w:cs="仿宋_GB2312"/>
          <w:szCs w:val="32"/>
          <w:highlight w:val="none"/>
        </w:rPr>
        <w:t>鄂尔多斯强化人才工作领导小组职能，建立组织、人社、科技部门“三轮”驱动抓关键、成员单位协同推进抓落实的工作格局。进一步落实党委联系服务专家制度，建立领导联系人才工作制度，组织专家人才参与各类</w:t>
      </w:r>
      <w:r>
        <w:rPr>
          <w:rFonts w:hint="eastAsia" w:ascii="仿宋_GB2312" w:hAnsi="仿宋_GB2312" w:eastAsia="仿宋_GB2312" w:cs="仿宋_GB2312"/>
          <w:szCs w:val="32"/>
          <w:highlight w:val="none"/>
          <w:lang w:val="en-US" w:eastAsia="zh-CN"/>
        </w:rPr>
        <w:t>国情</w:t>
      </w:r>
      <w:r>
        <w:rPr>
          <w:rFonts w:hint="eastAsia" w:ascii="仿宋_GB2312" w:hAnsi="仿宋_GB2312" w:eastAsia="仿宋_GB2312" w:cs="仿宋_GB2312"/>
          <w:szCs w:val="32"/>
          <w:highlight w:val="none"/>
        </w:rPr>
        <w:t>研修</w:t>
      </w:r>
      <w:r>
        <w:rPr>
          <w:rFonts w:hint="eastAsia" w:ascii="仿宋_GB2312" w:hAnsi="仿宋_GB2312" w:eastAsia="仿宋_GB2312" w:cs="仿宋_GB2312"/>
          <w:szCs w:val="32"/>
          <w:highlight w:val="none"/>
          <w:lang w:eastAsia="zh-CN"/>
        </w:rPr>
        <w:t>，</w:t>
      </w:r>
      <w:r>
        <w:rPr>
          <w:rFonts w:hint="eastAsia" w:ascii="仿宋_GB2312" w:hAnsi="仿宋_GB2312" w:eastAsia="仿宋_GB2312" w:cs="仿宋_GB2312"/>
          <w:szCs w:val="32"/>
          <w:highlight w:val="none"/>
        </w:rPr>
        <w:t>深入开展“弘扬爱国奋斗精神·建功立业新时代”活动，党对人才</w:t>
      </w:r>
      <w:r>
        <w:rPr>
          <w:rFonts w:hint="eastAsia" w:ascii="仿宋_GB2312" w:hAnsi="仿宋_GB2312" w:eastAsia="仿宋_GB2312" w:cs="仿宋_GB2312"/>
          <w:color w:val="000000" w:themeColor="text1"/>
          <w:szCs w:val="32"/>
          <w:highlight w:val="none"/>
          <w14:textFill>
            <w14:solidFill>
              <w14:schemeClr w14:val="tx1"/>
            </w14:solidFill>
          </w14:textFill>
        </w:rPr>
        <w:t>的</w:t>
      </w:r>
      <w:r>
        <w:rPr>
          <w:rFonts w:hint="eastAsia" w:ascii="仿宋_GB2312" w:hAnsi="仿宋_GB2312" w:eastAsia="仿宋_GB2312" w:cs="仿宋_GB2312"/>
          <w:szCs w:val="32"/>
          <w:highlight w:val="none"/>
        </w:rPr>
        <w:t>吸引力、集聚力、影响力、引导力不断增强。</w:t>
      </w:r>
    </w:p>
    <w:p>
      <w:pPr>
        <w:pStyle w:val="2"/>
        <w:pageBreakBefore w:val="0"/>
        <w:kinsoku/>
        <w:wordWrap/>
        <w:overflowPunct/>
        <w:topLinePunct w:val="0"/>
        <w:autoSpaceDE/>
        <w:bidi w:val="0"/>
        <w:adjustRightInd/>
        <w:spacing w:before="0" w:line="575" w:lineRule="exact"/>
        <w:textAlignment w:val="auto"/>
        <w:rPr>
          <w:rFonts w:hint="eastAsia" w:ascii="仿宋_GB2312" w:hAnsi="仿宋_GB2312" w:eastAsia="仿宋_GB2312" w:cs="仿宋_GB2312"/>
          <w:szCs w:val="32"/>
          <w:highlight w:val="none"/>
        </w:rPr>
      </w:pPr>
    </w:p>
    <w:p>
      <w:pPr>
        <w:pStyle w:val="3"/>
        <w:pageBreakBefore w:val="0"/>
        <w:kinsoku/>
        <w:wordWrap/>
        <w:overflowPunct/>
        <w:topLinePunct w:val="0"/>
        <w:autoSpaceDE/>
        <w:bidi w:val="0"/>
        <w:adjustRightInd/>
        <w:spacing w:before="0" w:line="575" w:lineRule="exact"/>
        <w:textAlignment w:val="auto"/>
        <w:rPr>
          <w:rFonts w:hint="eastAsia" w:ascii="仿宋_GB2312" w:hAnsi="仿宋_GB2312" w:eastAsia="仿宋_GB2312" w:cs="仿宋_GB2312"/>
          <w:szCs w:val="32"/>
          <w:highlight w:val="none"/>
        </w:rPr>
      </w:pPr>
    </w:p>
    <w:p>
      <w:pPr>
        <w:pageBreakBefore w:val="0"/>
        <w:kinsoku/>
        <w:wordWrap/>
        <w:overflowPunct/>
        <w:topLinePunct w:val="0"/>
        <w:autoSpaceDE/>
        <w:bidi w:val="0"/>
        <w:adjustRightInd/>
        <w:spacing w:line="575" w:lineRule="exact"/>
        <w:textAlignment w:val="auto"/>
        <w:rPr>
          <w:rFonts w:hint="eastAsia" w:ascii="仿宋_GB2312" w:hAnsi="仿宋_GB2312" w:eastAsia="仿宋_GB2312" w:cs="仿宋_GB2312"/>
          <w:szCs w:val="32"/>
          <w:highlight w:val="none"/>
        </w:rPr>
      </w:pPr>
    </w:p>
    <w:p>
      <w:pPr>
        <w:pStyle w:val="2"/>
        <w:pageBreakBefore w:val="0"/>
        <w:kinsoku/>
        <w:wordWrap/>
        <w:overflowPunct/>
        <w:topLinePunct w:val="0"/>
        <w:autoSpaceDE/>
        <w:bidi w:val="0"/>
        <w:adjustRightInd/>
        <w:spacing w:before="0" w:line="575" w:lineRule="exact"/>
        <w:textAlignment w:val="auto"/>
        <w:rPr>
          <w:rFonts w:hint="eastAsia" w:ascii="仿宋_GB2312" w:hAnsi="仿宋_GB2312" w:eastAsia="仿宋_GB2312" w:cs="仿宋_GB2312"/>
          <w:szCs w:val="32"/>
          <w:highlight w:val="none"/>
        </w:rPr>
      </w:pPr>
    </w:p>
    <w:p>
      <w:pPr>
        <w:pStyle w:val="3"/>
        <w:pageBreakBefore w:val="0"/>
        <w:kinsoku/>
        <w:wordWrap/>
        <w:overflowPunct/>
        <w:topLinePunct w:val="0"/>
        <w:autoSpaceDE/>
        <w:bidi w:val="0"/>
        <w:adjustRightInd/>
        <w:spacing w:before="0" w:line="575" w:lineRule="exact"/>
        <w:textAlignment w:val="auto"/>
        <w:rPr>
          <w:rFonts w:hint="eastAsia" w:ascii="仿宋_GB2312" w:hAnsi="仿宋_GB2312" w:eastAsia="仿宋_GB2312" w:cs="仿宋_GB2312"/>
          <w:szCs w:val="32"/>
          <w:highlight w:val="none"/>
        </w:rPr>
      </w:pPr>
    </w:p>
    <w:p>
      <w:pPr>
        <w:pageBreakBefore w:val="0"/>
        <w:kinsoku/>
        <w:wordWrap/>
        <w:overflowPunct/>
        <w:topLinePunct w:val="0"/>
        <w:autoSpaceDE/>
        <w:bidi w:val="0"/>
        <w:adjustRightInd/>
        <w:spacing w:line="575" w:lineRule="exact"/>
        <w:textAlignment w:val="auto"/>
        <w:rPr>
          <w:rFonts w:hint="eastAsia" w:ascii="仿宋_GB2312" w:hAnsi="仿宋_GB2312" w:eastAsia="仿宋_GB2312" w:cs="仿宋_GB2312"/>
          <w:szCs w:val="32"/>
          <w:highlight w:val="none"/>
        </w:rPr>
      </w:pPr>
    </w:p>
    <w:p>
      <w:pPr>
        <w:pStyle w:val="2"/>
        <w:pageBreakBefore w:val="0"/>
        <w:kinsoku/>
        <w:wordWrap/>
        <w:overflowPunct/>
        <w:topLinePunct w:val="0"/>
        <w:autoSpaceDE/>
        <w:bidi w:val="0"/>
        <w:adjustRightInd/>
        <w:spacing w:before="0" w:line="575" w:lineRule="exact"/>
        <w:jc w:val="center"/>
        <w:textAlignment w:val="auto"/>
        <w:rPr>
          <w:rFonts w:hint="eastAsia" w:ascii="方正小标宋_GBK" w:hAnsi="方正小标宋_GBK" w:eastAsia="方正小标宋_GBK" w:cs="方正小标宋_GBK"/>
          <w:szCs w:val="32"/>
          <w:highlight w:val="none"/>
        </w:rPr>
      </w:pPr>
      <w:r>
        <w:rPr>
          <w:rFonts w:hint="eastAsia" w:ascii="方正小标宋_GBK" w:hAnsi="方正小标宋_GBK" w:eastAsia="方正小标宋_GBK" w:cs="方正小标宋_GBK"/>
          <w:color w:val="333333"/>
          <w:sz w:val="28"/>
          <w:szCs w:val="28"/>
          <w:highlight w:val="none"/>
          <w:shd w:val="clear" w:color="auto" w:fill="FFFFFF"/>
          <w:lang w:val="en-US" w:eastAsia="zh-CN"/>
        </w:rPr>
        <w:t>专栏</w:t>
      </w:r>
      <w:r>
        <w:rPr>
          <w:rFonts w:hint="eastAsia" w:ascii="方正小标宋_GBK" w:hAnsi="方正小标宋_GBK" w:eastAsia="方正小标宋_GBK" w:cs="方正小标宋_GBK"/>
          <w:color w:val="333333"/>
          <w:sz w:val="28"/>
          <w:szCs w:val="28"/>
          <w:highlight w:val="none"/>
          <w:shd w:val="clear" w:color="auto" w:fill="FFFFFF"/>
        </w:rPr>
        <w:t>1</w:t>
      </w:r>
      <w:r>
        <w:rPr>
          <w:rFonts w:hint="eastAsia" w:ascii="方正小标宋_GBK" w:hAnsi="方正小标宋_GBK" w:eastAsia="方正小标宋_GBK" w:cs="方正小标宋_GBK"/>
          <w:color w:val="333333"/>
          <w:sz w:val="28"/>
          <w:szCs w:val="28"/>
          <w:highlight w:val="none"/>
          <w:shd w:val="clear" w:color="auto" w:fill="FFFFFF"/>
          <w:lang w:val="en-US" w:eastAsia="zh-CN"/>
        </w:rPr>
        <w:t xml:space="preserve">  </w:t>
      </w:r>
      <w:r>
        <w:rPr>
          <w:rFonts w:hint="eastAsia" w:ascii="方正小标宋_GBK" w:hAnsi="方正小标宋_GBK" w:eastAsia="方正小标宋_GBK" w:cs="方正小标宋_GBK"/>
          <w:color w:val="333333"/>
          <w:sz w:val="28"/>
          <w:szCs w:val="28"/>
          <w:highlight w:val="none"/>
          <w:shd w:val="clear" w:color="auto" w:fill="FFFFFF"/>
        </w:rPr>
        <w:t>“十三五”</w:t>
      </w:r>
      <w:r>
        <w:rPr>
          <w:rFonts w:hint="eastAsia" w:ascii="方正小标宋_GBK" w:hAnsi="方正小标宋_GBK" w:eastAsia="方正小标宋_GBK" w:cs="方正小标宋_GBK"/>
          <w:color w:val="333333"/>
          <w:sz w:val="28"/>
          <w:szCs w:val="28"/>
          <w:highlight w:val="none"/>
          <w:shd w:val="clear" w:color="auto" w:fill="FFFFFF"/>
          <w:lang w:val="en-US" w:eastAsia="zh-CN"/>
        </w:rPr>
        <w:t>时期</w:t>
      </w:r>
      <w:r>
        <w:rPr>
          <w:rFonts w:hint="eastAsia" w:ascii="方正小标宋_GBK" w:hAnsi="方正小标宋_GBK" w:eastAsia="方正小标宋_GBK" w:cs="方正小标宋_GBK"/>
          <w:color w:val="333333"/>
          <w:sz w:val="28"/>
          <w:szCs w:val="28"/>
          <w:highlight w:val="none"/>
          <w:shd w:val="clear" w:color="auto" w:fill="FFFFFF"/>
        </w:rPr>
        <w:t>全市人才发展主要指标完成情况</w:t>
      </w:r>
    </w:p>
    <w:tbl>
      <w:tblPr>
        <w:tblStyle w:val="21"/>
        <w:tblpPr w:leftFromText="180" w:rightFromText="180" w:vertAnchor="text" w:horzAnchor="page" w:tblpX="1644" w:tblpY="293"/>
        <w:tblOverlap w:val="never"/>
        <w:tblW w:w="8936" w:type="dxa"/>
        <w:tblInd w:w="0" w:type="dxa"/>
        <w:tblLayout w:type="fixed"/>
        <w:tblCellMar>
          <w:top w:w="0" w:type="dxa"/>
          <w:left w:w="0" w:type="dxa"/>
          <w:bottom w:w="0" w:type="dxa"/>
          <w:right w:w="0" w:type="dxa"/>
        </w:tblCellMar>
      </w:tblPr>
      <w:tblGrid>
        <w:gridCol w:w="1203"/>
        <w:gridCol w:w="716"/>
        <w:gridCol w:w="3069"/>
        <w:gridCol w:w="756"/>
        <w:gridCol w:w="937"/>
        <w:gridCol w:w="1113"/>
        <w:gridCol w:w="1142"/>
      </w:tblGrid>
      <w:tr>
        <w:tblPrEx>
          <w:tblCellMar>
            <w:top w:w="0" w:type="dxa"/>
            <w:left w:w="0" w:type="dxa"/>
            <w:bottom w:w="0" w:type="dxa"/>
            <w:right w:w="0" w:type="dxa"/>
          </w:tblCellMar>
        </w:tblPrEx>
        <w:trPr>
          <w:trHeight w:val="646" w:hRule="atLeast"/>
        </w:trPr>
        <w:tc>
          <w:tcPr>
            <w:tcW w:w="1203" w:type="dxa"/>
            <w:tcBorders>
              <w:top w:val="single" w:color="auto" w:sz="4" w:space="0"/>
              <w:left w:val="single" w:color="auto" w:sz="4" w:space="0"/>
              <w:bottom w:val="single" w:color="auto" w:sz="4" w:space="0"/>
              <w:right w:val="single" w:color="auto" w:sz="4" w:space="0"/>
            </w:tcBorders>
            <w:shd w:val="clear" w:color="auto" w:fill="auto"/>
            <w:tcMar>
              <w:left w:w="70" w:type="dxa"/>
              <w:right w:w="70" w:type="dxa"/>
            </w:tcMar>
            <w:vAlign w:val="center"/>
          </w:tcPr>
          <w:p>
            <w:pPr>
              <w:pStyle w:val="20"/>
              <w:pageBreakBefore w:val="0"/>
              <w:widowControl/>
              <w:kinsoku/>
              <w:wordWrap/>
              <w:overflowPunct/>
              <w:topLinePunct w:val="0"/>
              <w:autoSpaceDE/>
              <w:bidi w:val="0"/>
              <w:adjustRightInd/>
              <w:spacing w:beforeAutospacing="0" w:afterAutospacing="0" w:line="575" w:lineRule="exact"/>
              <w:jc w:val="center"/>
              <w:textAlignment w:val="auto"/>
              <w:rPr>
                <w:rFonts w:hint="eastAsia" w:ascii="黑体" w:hAnsi="黑体" w:eastAsia="黑体" w:cs="黑体"/>
                <w:sz w:val="24"/>
                <w:szCs w:val="24"/>
                <w:highlight w:val="none"/>
                <w:lang w:val="en-US" w:eastAsia="zh-CN"/>
              </w:rPr>
            </w:pPr>
            <w:r>
              <w:rPr>
                <w:rFonts w:hint="eastAsia" w:ascii="黑体" w:hAnsi="黑体" w:eastAsia="黑体" w:cs="黑体"/>
                <w:sz w:val="24"/>
                <w:szCs w:val="24"/>
                <w:highlight w:val="none"/>
                <w:lang w:val="en-US" w:eastAsia="zh-CN"/>
              </w:rPr>
              <w:t>一级指标</w:t>
            </w:r>
          </w:p>
        </w:tc>
        <w:tc>
          <w:tcPr>
            <w:tcW w:w="716" w:type="dxa"/>
            <w:tcBorders>
              <w:top w:val="single" w:color="auto" w:sz="4" w:space="0"/>
              <w:left w:val="single" w:color="auto" w:sz="4" w:space="0"/>
              <w:bottom w:val="single" w:color="auto" w:sz="4" w:space="0"/>
              <w:right w:val="single" w:color="auto" w:sz="4" w:space="0"/>
            </w:tcBorders>
            <w:shd w:val="clear" w:color="auto" w:fill="auto"/>
            <w:tcMar>
              <w:left w:w="70" w:type="dxa"/>
              <w:right w:w="70" w:type="dxa"/>
            </w:tcMar>
            <w:vAlign w:val="center"/>
          </w:tcPr>
          <w:p>
            <w:pPr>
              <w:pStyle w:val="20"/>
              <w:pageBreakBefore w:val="0"/>
              <w:widowControl/>
              <w:kinsoku/>
              <w:wordWrap/>
              <w:overflowPunct/>
              <w:topLinePunct w:val="0"/>
              <w:autoSpaceDE/>
              <w:bidi w:val="0"/>
              <w:adjustRightInd/>
              <w:spacing w:beforeAutospacing="0" w:afterAutospacing="0" w:line="575" w:lineRule="exact"/>
              <w:jc w:val="center"/>
              <w:textAlignment w:val="auto"/>
              <w:rPr>
                <w:rFonts w:hint="eastAsia" w:ascii="黑体" w:hAnsi="黑体" w:eastAsia="黑体" w:cs="黑体"/>
                <w:kern w:val="0"/>
                <w:sz w:val="24"/>
                <w:szCs w:val="24"/>
                <w:highlight w:val="none"/>
                <w:lang w:val="en-US" w:eastAsia="zh-CN" w:bidi="ar-SA"/>
              </w:rPr>
            </w:pPr>
            <w:r>
              <w:rPr>
                <w:rFonts w:hint="eastAsia" w:ascii="黑体" w:hAnsi="黑体" w:eastAsia="黑体" w:cs="黑体"/>
                <w:sz w:val="24"/>
                <w:szCs w:val="24"/>
                <w:highlight w:val="none"/>
              </w:rPr>
              <w:t>序号</w:t>
            </w:r>
          </w:p>
        </w:tc>
        <w:tc>
          <w:tcPr>
            <w:tcW w:w="3069" w:type="dxa"/>
            <w:tcBorders>
              <w:top w:val="single" w:color="auto" w:sz="4" w:space="0"/>
              <w:left w:val="single" w:color="auto" w:sz="4" w:space="0"/>
              <w:bottom w:val="single" w:color="auto" w:sz="4" w:space="0"/>
              <w:right w:val="single" w:color="auto" w:sz="4" w:space="0"/>
            </w:tcBorders>
            <w:shd w:val="clear" w:color="auto" w:fill="auto"/>
            <w:tcMar>
              <w:left w:w="70" w:type="dxa"/>
              <w:right w:w="70" w:type="dxa"/>
            </w:tcMar>
            <w:vAlign w:val="center"/>
          </w:tcPr>
          <w:p>
            <w:pPr>
              <w:pStyle w:val="20"/>
              <w:keepNext w:val="0"/>
              <w:keepLines w:val="0"/>
              <w:pageBreakBefore w:val="0"/>
              <w:widowControl/>
              <w:kinsoku/>
              <w:wordWrap/>
              <w:overflowPunct/>
              <w:topLinePunct w:val="0"/>
              <w:autoSpaceDE/>
              <w:autoSpaceDN/>
              <w:bidi w:val="0"/>
              <w:adjustRightInd/>
              <w:snapToGrid/>
              <w:spacing w:beforeAutospacing="0" w:afterAutospacing="0" w:line="575" w:lineRule="exact"/>
              <w:jc w:val="center"/>
              <w:textAlignment w:val="auto"/>
              <w:rPr>
                <w:rFonts w:hint="eastAsia" w:ascii="黑体" w:hAnsi="黑体" w:eastAsia="黑体" w:cs="黑体"/>
                <w:sz w:val="24"/>
                <w:szCs w:val="24"/>
                <w:highlight w:val="none"/>
              </w:rPr>
            </w:pPr>
            <w:r>
              <w:rPr>
                <w:rFonts w:hint="eastAsia" w:ascii="黑体" w:hAnsi="黑体" w:eastAsia="黑体" w:cs="黑体"/>
                <w:sz w:val="24"/>
                <w:szCs w:val="24"/>
                <w:highlight w:val="none"/>
                <w:lang w:val="en-US" w:eastAsia="zh-CN"/>
              </w:rPr>
              <w:t>二级</w:t>
            </w:r>
            <w:r>
              <w:rPr>
                <w:rFonts w:hint="eastAsia" w:ascii="黑体" w:hAnsi="黑体" w:eastAsia="黑体" w:cs="黑体"/>
                <w:sz w:val="24"/>
                <w:szCs w:val="24"/>
                <w:highlight w:val="none"/>
              </w:rPr>
              <w:t>指标</w:t>
            </w:r>
          </w:p>
        </w:tc>
        <w:tc>
          <w:tcPr>
            <w:tcW w:w="756" w:type="dxa"/>
            <w:tcBorders>
              <w:top w:val="single" w:color="auto" w:sz="4" w:space="0"/>
              <w:left w:val="nil"/>
              <w:bottom w:val="single" w:color="auto" w:sz="4" w:space="0"/>
              <w:right w:val="single" w:color="auto" w:sz="4" w:space="0"/>
            </w:tcBorders>
            <w:shd w:val="clear" w:color="auto" w:fill="auto"/>
            <w:tcMar>
              <w:left w:w="70" w:type="dxa"/>
              <w:right w:w="70" w:type="dxa"/>
            </w:tcMar>
            <w:vAlign w:val="center"/>
          </w:tcPr>
          <w:p>
            <w:pPr>
              <w:pStyle w:val="20"/>
              <w:pageBreakBefore w:val="0"/>
              <w:widowControl/>
              <w:kinsoku/>
              <w:wordWrap/>
              <w:overflowPunct/>
              <w:topLinePunct w:val="0"/>
              <w:autoSpaceDE/>
              <w:bidi w:val="0"/>
              <w:adjustRightInd/>
              <w:spacing w:beforeAutospacing="0" w:afterAutospacing="0" w:line="575" w:lineRule="exact"/>
              <w:jc w:val="center"/>
              <w:textAlignment w:val="auto"/>
              <w:rPr>
                <w:rFonts w:hint="eastAsia" w:ascii="黑体" w:hAnsi="黑体" w:eastAsia="黑体" w:cs="黑体"/>
                <w:kern w:val="0"/>
                <w:sz w:val="24"/>
                <w:szCs w:val="24"/>
                <w:highlight w:val="none"/>
                <w:lang w:val="en-US" w:eastAsia="zh-CN" w:bidi="ar-SA"/>
              </w:rPr>
            </w:pPr>
            <w:r>
              <w:rPr>
                <w:rFonts w:hint="eastAsia" w:ascii="黑体" w:hAnsi="黑体" w:eastAsia="黑体" w:cs="黑体"/>
                <w:sz w:val="24"/>
                <w:szCs w:val="24"/>
                <w:highlight w:val="none"/>
              </w:rPr>
              <w:t>单位</w:t>
            </w:r>
          </w:p>
        </w:tc>
        <w:tc>
          <w:tcPr>
            <w:tcW w:w="937" w:type="dxa"/>
            <w:tcBorders>
              <w:top w:val="single" w:color="auto" w:sz="4" w:space="0"/>
              <w:left w:val="nil"/>
              <w:bottom w:val="single" w:color="auto" w:sz="4" w:space="0"/>
              <w:right w:val="single" w:color="auto" w:sz="4" w:space="0"/>
            </w:tcBorders>
            <w:shd w:val="clear" w:color="auto" w:fill="auto"/>
            <w:tcMar>
              <w:left w:w="70" w:type="dxa"/>
              <w:right w:w="70" w:type="dxa"/>
            </w:tcMar>
            <w:vAlign w:val="center"/>
          </w:tcPr>
          <w:p>
            <w:pPr>
              <w:pStyle w:val="20"/>
              <w:keepNext w:val="0"/>
              <w:keepLines w:val="0"/>
              <w:pageBreakBefore w:val="0"/>
              <w:widowControl/>
              <w:kinsoku/>
              <w:wordWrap/>
              <w:overflowPunct/>
              <w:topLinePunct w:val="0"/>
              <w:autoSpaceDE/>
              <w:autoSpaceDN/>
              <w:bidi w:val="0"/>
              <w:adjustRightInd/>
              <w:snapToGrid/>
              <w:spacing w:beforeAutospacing="0" w:afterAutospacing="0" w:line="575" w:lineRule="exact"/>
              <w:jc w:val="center"/>
              <w:textAlignment w:val="auto"/>
              <w:rPr>
                <w:rFonts w:hint="eastAsia" w:ascii="黑体" w:hAnsi="黑体" w:eastAsia="黑体" w:cs="黑体"/>
                <w:sz w:val="24"/>
                <w:szCs w:val="24"/>
                <w:highlight w:val="none"/>
              </w:rPr>
            </w:pPr>
            <w:r>
              <w:rPr>
                <w:rFonts w:hint="eastAsia" w:ascii="黑体" w:hAnsi="黑体" w:eastAsia="黑体" w:cs="黑体"/>
                <w:sz w:val="24"/>
                <w:szCs w:val="24"/>
                <w:highlight w:val="none"/>
              </w:rPr>
              <w:t>2015年</w:t>
            </w:r>
          </w:p>
          <w:p>
            <w:pPr>
              <w:pStyle w:val="20"/>
              <w:keepNext w:val="0"/>
              <w:keepLines w:val="0"/>
              <w:pageBreakBefore w:val="0"/>
              <w:widowControl/>
              <w:kinsoku/>
              <w:wordWrap/>
              <w:overflowPunct/>
              <w:topLinePunct w:val="0"/>
              <w:autoSpaceDE/>
              <w:autoSpaceDN/>
              <w:bidi w:val="0"/>
              <w:adjustRightInd/>
              <w:snapToGrid/>
              <w:spacing w:beforeAutospacing="0" w:afterAutospacing="0" w:line="575" w:lineRule="exact"/>
              <w:jc w:val="center"/>
              <w:textAlignment w:val="auto"/>
              <w:rPr>
                <w:rFonts w:hint="eastAsia" w:ascii="黑体" w:hAnsi="黑体" w:eastAsia="黑体" w:cs="黑体"/>
                <w:sz w:val="24"/>
                <w:szCs w:val="24"/>
                <w:highlight w:val="none"/>
                <w:lang w:val="en-US" w:eastAsia="zh-CN"/>
              </w:rPr>
            </w:pPr>
            <w:r>
              <w:rPr>
                <w:rFonts w:hint="eastAsia" w:ascii="黑体" w:hAnsi="黑体" w:eastAsia="黑体" w:cs="黑体"/>
                <w:sz w:val="24"/>
                <w:szCs w:val="24"/>
                <w:highlight w:val="none"/>
                <w:lang w:val="en-US" w:eastAsia="zh-CN"/>
              </w:rPr>
              <w:t>基数</w:t>
            </w:r>
          </w:p>
        </w:tc>
        <w:tc>
          <w:tcPr>
            <w:tcW w:w="1113" w:type="dxa"/>
            <w:tcBorders>
              <w:top w:val="single" w:color="auto" w:sz="4" w:space="0"/>
              <w:left w:val="nil"/>
              <w:bottom w:val="single" w:color="auto" w:sz="4" w:space="0"/>
              <w:right w:val="single" w:color="auto" w:sz="4" w:space="0"/>
            </w:tcBorders>
            <w:shd w:val="clear" w:color="auto" w:fill="auto"/>
            <w:tcMar>
              <w:left w:w="70" w:type="dxa"/>
              <w:right w:w="70" w:type="dxa"/>
            </w:tcMar>
            <w:vAlign w:val="center"/>
          </w:tcPr>
          <w:p>
            <w:pPr>
              <w:pStyle w:val="20"/>
              <w:keepNext w:val="0"/>
              <w:keepLines w:val="0"/>
              <w:pageBreakBefore w:val="0"/>
              <w:widowControl/>
              <w:kinsoku/>
              <w:wordWrap/>
              <w:overflowPunct/>
              <w:topLinePunct w:val="0"/>
              <w:autoSpaceDE/>
              <w:autoSpaceDN/>
              <w:bidi w:val="0"/>
              <w:adjustRightInd/>
              <w:snapToGrid/>
              <w:spacing w:beforeAutospacing="0" w:afterAutospacing="0" w:line="575" w:lineRule="exact"/>
              <w:jc w:val="center"/>
              <w:textAlignment w:val="auto"/>
              <w:rPr>
                <w:rFonts w:hint="eastAsia" w:ascii="黑体" w:hAnsi="黑体" w:eastAsia="黑体" w:cs="黑体"/>
                <w:w w:val="100"/>
                <w:sz w:val="24"/>
                <w:szCs w:val="24"/>
                <w:highlight w:val="none"/>
              </w:rPr>
            </w:pPr>
            <w:r>
              <w:rPr>
                <w:rFonts w:hint="eastAsia" w:ascii="黑体" w:hAnsi="黑体" w:eastAsia="黑体" w:cs="黑体"/>
                <w:w w:val="100"/>
                <w:sz w:val="24"/>
                <w:szCs w:val="24"/>
                <w:highlight w:val="none"/>
              </w:rPr>
              <w:t>202</w:t>
            </w:r>
            <w:r>
              <w:rPr>
                <w:rFonts w:hint="eastAsia" w:ascii="黑体" w:hAnsi="黑体" w:eastAsia="黑体" w:cs="黑体"/>
                <w:w w:val="100"/>
                <w:sz w:val="24"/>
                <w:szCs w:val="24"/>
                <w:highlight w:val="none"/>
                <w:lang w:val="en-US" w:eastAsia="zh-CN"/>
              </w:rPr>
              <w:t>0</w:t>
            </w:r>
            <w:r>
              <w:rPr>
                <w:rFonts w:hint="eastAsia" w:ascii="黑体" w:hAnsi="黑体" w:eastAsia="黑体" w:cs="黑体"/>
                <w:w w:val="100"/>
                <w:sz w:val="24"/>
                <w:szCs w:val="24"/>
                <w:highlight w:val="none"/>
              </w:rPr>
              <w:t>年</w:t>
            </w:r>
          </w:p>
          <w:p>
            <w:pPr>
              <w:pStyle w:val="20"/>
              <w:keepNext w:val="0"/>
              <w:keepLines w:val="0"/>
              <w:pageBreakBefore w:val="0"/>
              <w:widowControl/>
              <w:kinsoku/>
              <w:wordWrap/>
              <w:overflowPunct/>
              <w:topLinePunct w:val="0"/>
              <w:autoSpaceDE/>
              <w:autoSpaceDN/>
              <w:bidi w:val="0"/>
              <w:adjustRightInd/>
              <w:snapToGrid/>
              <w:spacing w:beforeAutospacing="0" w:afterAutospacing="0" w:line="575" w:lineRule="exact"/>
              <w:jc w:val="center"/>
              <w:textAlignment w:val="auto"/>
              <w:rPr>
                <w:rFonts w:hint="eastAsia" w:ascii="黑体" w:hAnsi="黑体" w:eastAsia="黑体" w:cs="黑体"/>
                <w:w w:val="100"/>
                <w:sz w:val="24"/>
                <w:szCs w:val="24"/>
                <w:highlight w:val="none"/>
              </w:rPr>
            </w:pPr>
            <w:r>
              <w:rPr>
                <w:rFonts w:hint="eastAsia" w:ascii="黑体" w:hAnsi="黑体" w:eastAsia="黑体" w:cs="黑体"/>
                <w:w w:val="100"/>
                <w:sz w:val="24"/>
                <w:szCs w:val="24"/>
                <w:highlight w:val="none"/>
                <w:lang w:val="en-US" w:eastAsia="zh-CN"/>
              </w:rPr>
              <w:t>规划</w:t>
            </w:r>
            <w:r>
              <w:rPr>
                <w:rFonts w:hint="eastAsia" w:ascii="黑体" w:hAnsi="黑体" w:eastAsia="黑体" w:cs="黑体"/>
                <w:w w:val="100"/>
                <w:sz w:val="24"/>
                <w:szCs w:val="24"/>
                <w:highlight w:val="none"/>
              </w:rPr>
              <w:t>目标</w:t>
            </w:r>
          </w:p>
        </w:tc>
        <w:tc>
          <w:tcPr>
            <w:tcW w:w="1142" w:type="dxa"/>
            <w:tcBorders>
              <w:top w:val="single" w:color="auto" w:sz="4" w:space="0"/>
              <w:left w:val="nil"/>
              <w:bottom w:val="single" w:color="auto" w:sz="4" w:space="0"/>
              <w:right w:val="single" w:color="auto" w:sz="4" w:space="0"/>
            </w:tcBorders>
            <w:shd w:val="clear" w:color="auto" w:fill="auto"/>
            <w:tcMar>
              <w:left w:w="70" w:type="dxa"/>
              <w:right w:w="70" w:type="dxa"/>
            </w:tcMar>
            <w:vAlign w:val="center"/>
          </w:tcPr>
          <w:p>
            <w:pPr>
              <w:pStyle w:val="20"/>
              <w:keepNext w:val="0"/>
              <w:keepLines w:val="0"/>
              <w:pageBreakBefore w:val="0"/>
              <w:widowControl/>
              <w:kinsoku/>
              <w:wordWrap/>
              <w:overflowPunct/>
              <w:topLinePunct w:val="0"/>
              <w:autoSpaceDE/>
              <w:autoSpaceDN/>
              <w:bidi w:val="0"/>
              <w:adjustRightInd/>
              <w:snapToGrid/>
              <w:spacing w:beforeAutospacing="0" w:afterAutospacing="0" w:line="575" w:lineRule="exact"/>
              <w:jc w:val="center"/>
              <w:textAlignment w:val="auto"/>
              <w:rPr>
                <w:rFonts w:hint="eastAsia" w:ascii="黑体" w:hAnsi="黑体" w:eastAsia="黑体" w:cs="黑体"/>
                <w:w w:val="100"/>
                <w:sz w:val="24"/>
                <w:szCs w:val="24"/>
                <w:highlight w:val="none"/>
                <w:lang w:val="en-US" w:eastAsia="zh-CN"/>
              </w:rPr>
            </w:pPr>
            <w:r>
              <w:rPr>
                <w:rFonts w:hint="eastAsia" w:ascii="黑体" w:hAnsi="黑体" w:eastAsia="黑体" w:cs="黑体"/>
                <w:w w:val="100"/>
                <w:sz w:val="24"/>
                <w:szCs w:val="24"/>
                <w:highlight w:val="none"/>
              </w:rPr>
              <w:t>202</w:t>
            </w:r>
            <w:r>
              <w:rPr>
                <w:rFonts w:hint="eastAsia" w:ascii="黑体" w:hAnsi="黑体" w:eastAsia="黑体" w:cs="黑体"/>
                <w:w w:val="100"/>
                <w:sz w:val="24"/>
                <w:szCs w:val="24"/>
                <w:highlight w:val="none"/>
                <w:lang w:val="en-US" w:eastAsia="zh-CN"/>
              </w:rPr>
              <w:t>0年</w:t>
            </w:r>
          </w:p>
          <w:p>
            <w:pPr>
              <w:pStyle w:val="20"/>
              <w:keepNext w:val="0"/>
              <w:keepLines w:val="0"/>
              <w:pageBreakBefore w:val="0"/>
              <w:widowControl/>
              <w:kinsoku/>
              <w:wordWrap/>
              <w:overflowPunct/>
              <w:topLinePunct w:val="0"/>
              <w:autoSpaceDE/>
              <w:autoSpaceDN/>
              <w:bidi w:val="0"/>
              <w:adjustRightInd/>
              <w:snapToGrid/>
              <w:spacing w:beforeAutospacing="0" w:afterAutospacing="0" w:line="575" w:lineRule="exact"/>
              <w:jc w:val="center"/>
              <w:textAlignment w:val="auto"/>
              <w:rPr>
                <w:rFonts w:hint="default" w:ascii="黑体" w:hAnsi="黑体" w:eastAsia="黑体" w:cs="黑体"/>
                <w:w w:val="100"/>
                <w:sz w:val="24"/>
                <w:szCs w:val="24"/>
                <w:highlight w:val="none"/>
                <w:lang w:val="en-US" w:eastAsia="zh-CN"/>
              </w:rPr>
            </w:pPr>
            <w:r>
              <w:rPr>
                <w:rFonts w:hint="eastAsia" w:ascii="黑体" w:hAnsi="黑体" w:eastAsia="黑体" w:cs="黑体"/>
                <w:w w:val="100"/>
                <w:sz w:val="24"/>
                <w:szCs w:val="24"/>
                <w:highlight w:val="none"/>
                <w:lang w:val="en-US" w:eastAsia="zh-CN"/>
              </w:rPr>
              <w:t>完成情况</w:t>
            </w:r>
          </w:p>
        </w:tc>
      </w:tr>
      <w:tr>
        <w:tblPrEx>
          <w:tblCellMar>
            <w:top w:w="0" w:type="dxa"/>
            <w:left w:w="0" w:type="dxa"/>
            <w:bottom w:w="0" w:type="dxa"/>
            <w:right w:w="0" w:type="dxa"/>
          </w:tblCellMar>
        </w:tblPrEx>
        <w:trPr>
          <w:trHeight w:val="646" w:hRule="atLeast"/>
        </w:trPr>
        <w:tc>
          <w:tcPr>
            <w:tcW w:w="1203" w:type="dxa"/>
            <w:vMerge w:val="restart"/>
            <w:tcBorders>
              <w:top w:val="single" w:color="auto" w:sz="4" w:space="0"/>
              <w:left w:val="single" w:color="auto" w:sz="4" w:space="0"/>
              <w:right w:val="single" w:color="auto" w:sz="4" w:space="0"/>
            </w:tcBorders>
            <w:shd w:val="clear" w:color="auto" w:fill="auto"/>
            <w:tcMar>
              <w:left w:w="70" w:type="dxa"/>
              <w:right w:w="70" w:type="dxa"/>
            </w:tcMar>
            <w:vAlign w:val="center"/>
          </w:tcPr>
          <w:p>
            <w:pPr>
              <w:pStyle w:val="20"/>
              <w:pageBreakBefore w:val="0"/>
              <w:widowControl/>
              <w:kinsoku/>
              <w:wordWrap/>
              <w:overflowPunct/>
              <w:topLinePunct w:val="0"/>
              <w:autoSpaceDE/>
              <w:bidi w:val="0"/>
              <w:adjustRightInd/>
              <w:spacing w:beforeAutospacing="0" w:afterAutospacing="0" w:line="575" w:lineRule="exact"/>
              <w:jc w:val="center"/>
              <w:textAlignment w:val="auto"/>
              <w:rPr>
                <w:rFonts w:hint="eastAsia" w:ascii="仿宋_GB2312" w:hAnsi="仿宋_GB2312" w:eastAsia="仿宋_GB2312" w:cs="仿宋_GB2312"/>
                <w:sz w:val="24"/>
                <w:szCs w:val="24"/>
                <w:highlight w:val="none"/>
              </w:rPr>
            </w:pPr>
          </w:p>
          <w:p>
            <w:pPr>
              <w:pStyle w:val="20"/>
              <w:pageBreakBefore w:val="0"/>
              <w:widowControl/>
              <w:kinsoku/>
              <w:wordWrap/>
              <w:overflowPunct/>
              <w:topLinePunct w:val="0"/>
              <w:autoSpaceDE/>
              <w:bidi w:val="0"/>
              <w:adjustRightInd/>
              <w:spacing w:beforeAutospacing="0" w:afterAutospacing="0" w:line="575" w:lineRule="exact"/>
              <w:jc w:val="center"/>
              <w:textAlignment w:val="auto"/>
              <w:rPr>
                <w:rFonts w:hint="eastAsia" w:ascii="仿宋_GB2312" w:hAnsi="仿宋_GB2312" w:eastAsia="仿宋_GB2312" w:cs="仿宋_GB2312"/>
                <w:sz w:val="24"/>
                <w:szCs w:val="24"/>
                <w:highlight w:val="none"/>
              </w:rPr>
            </w:pPr>
          </w:p>
          <w:p>
            <w:pPr>
              <w:pStyle w:val="20"/>
              <w:pageBreakBefore w:val="0"/>
              <w:widowControl/>
              <w:kinsoku/>
              <w:wordWrap/>
              <w:overflowPunct/>
              <w:topLinePunct w:val="0"/>
              <w:autoSpaceDE/>
              <w:bidi w:val="0"/>
              <w:adjustRightInd/>
              <w:spacing w:beforeAutospacing="0" w:afterAutospacing="0" w:line="575" w:lineRule="exact"/>
              <w:jc w:val="center"/>
              <w:textAlignment w:val="auto"/>
              <w:rPr>
                <w:rFonts w:hint="default"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人才总量</w:t>
            </w:r>
          </w:p>
        </w:tc>
        <w:tc>
          <w:tcPr>
            <w:tcW w:w="716" w:type="dxa"/>
            <w:tcBorders>
              <w:top w:val="single" w:color="auto" w:sz="4" w:space="0"/>
              <w:left w:val="single" w:color="auto" w:sz="4" w:space="0"/>
              <w:bottom w:val="single" w:color="auto" w:sz="4" w:space="0"/>
              <w:right w:val="single" w:color="auto" w:sz="4" w:space="0"/>
            </w:tcBorders>
            <w:shd w:val="clear" w:color="auto" w:fill="auto"/>
            <w:tcMar>
              <w:left w:w="70" w:type="dxa"/>
              <w:right w:w="70" w:type="dxa"/>
            </w:tcMar>
            <w:vAlign w:val="center"/>
          </w:tcPr>
          <w:p>
            <w:pPr>
              <w:pStyle w:val="20"/>
              <w:pageBreakBefore w:val="0"/>
              <w:widowControl/>
              <w:kinsoku/>
              <w:wordWrap/>
              <w:overflowPunct/>
              <w:topLinePunct w:val="0"/>
              <w:autoSpaceDE/>
              <w:bidi w:val="0"/>
              <w:adjustRightInd/>
              <w:spacing w:beforeAutospacing="0" w:afterAutospacing="0" w:line="575" w:lineRule="exact"/>
              <w:jc w:val="center"/>
              <w:textAlignment w:val="auto"/>
              <w:rPr>
                <w:rFonts w:hint="eastAsia" w:ascii="仿宋_GB2312" w:hAnsi="仿宋_GB2312" w:eastAsia="仿宋_GB2312" w:cs="仿宋_GB2312"/>
                <w:kern w:val="0"/>
                <w:sz w:val="24"/>
                <w:szCs w:val="24"/>
                <w:highlight w:val="none"/>
                <w:lang w:val="en-US" w:eastAsia="zh-CN" w:bidi="ar-SA"/>
              </w:rPr>
            </w:pPr>
            <w:r>
              <w:rPr>
                <w:rFonts w:hint="eastAsia" w:ascii="仿宋_GB2312" w:hAnsi="仿宋_GB2312" w:eastAsia="仿宋_GB2312" w:cs="仿宋_GB2312"/>
                <w:sz w:val="24"/>
                <w:szCs w:val="24"/>
                <w:highlight w:val="none"/>
              </w:rPr>
              <w:t>1</w:t>
            </w:r>
          </w:p>
        </w:tc>
        <w:tc>
          <w:tcPr>
            <w:tcW w:w="3069" w:type="dxa"/>
            <w:tcBorders>
              <w:top w:val="single" w:color="auto" w:sz="4" w:space="0"/>
              <w:left w:val="single" w:color="auto" w:sz="4" w:space="0"/>
              <w:bottom w:val="single" w:color="auto" w:sz="4" w:space="0"/>
              <w:right w:val="single" w:color="auto" w:sz="4" w:space="0"/>
            </w:tcBorders>
            <w:shd w:val="clear" w:color="auto" w:fill="auto"/>
            <w:tcMar>
              <w:left w:w="70" w:type="dxa"/>
              <w:right w:w="70" w:type="dxa"/>
            </w:tcMar>
            <w:vAlign w:val="center"/>
          </w:tcPr>
          <w:p>
            <w:pPr>
              <w:pStyle w:val="20"/>
              <w:pageBreakBefore w:val="0"/>
              <w:widowControl/>
              <w:kinsoku/>
              <w:wordWrap/>
              <w:overflowPunct/>
              <w:topLinePunct w:val="0"/>
              <w:autoSpaceDE/>
              <w:bidi w:val="0"/>
              <w:adjustRightInd/>
              <w:spacing w:beforeAutospacing="0" w:afterAutospacing="0" w:line="575" w:lineRule="exact"/>
              <w:jc w:val="left"/>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rPr>
              <w:t>人才资源总</w:t>
            </w:r>
            <w:r>
              <w:rPr>
                <w:rFonts w:hint="eastAsia" w:ascii="仿宋_GB2312" w:hAnsi="仿宋_GB2312" w:eastAsia="仿宋_GB2312" w:cs="仿宋_GB2312"/>
                <w:sz w:val="24"/>
                <w:szCs w:val="24"/>
                <w:highlight w:val="none"/>
                <w:lang w:val="en-US" w:eastAsia="zh-CN"/>
              </w:rPr>
              <w:t>量</w:t>
            </w:r>
          </w:p>
        </w:tc>
        <w:tc>
          <w:tcPr>
            <w:tcW w:w="756" w:type="dxa"/>
            <w:tcBorders>
              <w:top w:val="single" w:color="auto" w:sz="4" w:space="0"/>
              <w:left w:val="nil"/>
              <w:bottom w:val="single" w:color="auto" w:sz="4" w:space="0"/>
              <w:right w:val="single" w:color="auto" w:sz="4" w:space="0"/>
            </w:tcBorders>
            <w:shd w:val="clear" w:color="auto" w:fill="auto"/>
            <w:tcMar>
              <w:left w:w="70" w:type="dxa"/>
              <w:right w:w="70" w:type="dxa"/>
            </w:tcMar>
            <w:vAlign w:val="center"/>
          </w:tcPr>
          <w:p>
            <w:pPr>
              <w:pStyle w:val="20"/>
              <w:pageBreakBefore w:val="0"/>
              <w:widowControl/>
              <w:kinsoku/>
              <w:wordWrap/>
              <w:overflowPunct/>
              <w:topLinePunct w:val="0"/>
              <w:autoSpaceDE/>
              <w:bidi w:val="0"/>
              <w:adjustRightInd/>
              <w:spacing w:beforeAutospacing="0" w:afterAutospacing="0" w:line="575" w:lineRule="exact"/>
              <w:jc w:val="center"/>
              <w:textAlignment w:val="auto"/>
              <w:rPr>
                <w:rFonts w:hint="eastAsia" w:ascii="仿宋_GB2312" w:hAnsi="仿宋_GB2312" w:eastAsia="仿宋_GB2312" w:cs="仿宋_GB2312"/>
                <w:kern w:val="0"/>
                <w:sz w:val="24"/>
                <w:szCs w:val="24"/>
                <w:highlight w:val="none"/>
                <w:lang w:val="en-US" w:eastAsia="zh-CN" w:bidi="ar-SA"/>
              </w:rPr>
            </w:pPr>
            <w:r>
              <w:rPr>
                <w:rFonts w:hint="eastAsia" w:ascii="仿宋_GB2312" w:hAnsi="仿宋_GB2312" w:eastAsia="仿宋_GB2312" w:cs="仿宋_GB2312"/>
                <w:sz w:val="24"/>
                <w:szCs w:val="24"/>
                <w:highlight w:val="none"/>
              </w:rPr>
              <w:t>万人</w:t>
            </w:r>
          </w:p>
        </w:tc>
        <w:tc>
          <w:tcPr>
            <w:tcW w:w="937" w:type="dxa"/>
            <w:tcBorders>
              <w:top w:val="single" w:color="auto" w:sz="4" w:space="0"/>
              <w:left w:val="nil"/>
              <w:bottom w:val="single" w:color="auto" w:sz="4" w:space="0"/>
              <w:right w:val="single" w:color="auto" w:sz="4" w:space="0"/>
            </w:tcBorders>
            <w:shd w:val="clear" w:color="auto" w:fill="auto"/>
            <w:tcMar>
              <w:left w:w="70" w:type="dxa"/>
              <w:right w:w="70" w:type="dxa"/>
            </w:tcMar>
            <w:vAlign w:val="center"/>
          </w:tcPr>
          <w:p>
            <w:pPr>
              <w:pStyle w:val="20"/>
              <w:pageBreakBefore w:val="0"/>
              <w:widowControl/>
              <w:kinsoku/>
              <w:wordWrap/>
              <w:overflowPunct/>
              <w:topLinePunct w:val="0"/>
              <w:autoSpaceDE/>
              <w:bidi w:val="0"/>
              <w:adjustRightInd/>
              <w:spacing w:beforeAutospacing="0" w:afterAutospacing="0" w:line="575" w:lineRule="exact"/>
              <w:jc w:val="center"/>
              <w:textAlignment w:val="auto"/>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29.4</w:t>
            </w:r>
          </w:p>
        </w:tc>
        <w:tc>
          <w:tcPr>
            <w:tcW w:w="1113" w:type="dxa"/>
            <w:tcBorders>
              <w:top w:val="single" w:color="auto" w:sz="4" w:space="0"/>
              <w:left w:val="nil"/>
              <w:bottom w:val="single" w:color="auto" w:sz="4" w:space="0"/>
              <w:right w:val="single" w:color="auto" w:sz="4" w:space="0"/>
            </w:tcBorders>
            <w:shd w:val="clear" w:color="auto" w:fill="auto"/>
            <w:tcMar>
              <w:left w:w="70" w:type="dxa"/>
              <w:right w:w="70" w:type="dxa"/>
            </w:tcMar>
            <w:vAlign w:val="center"/>
          </w:tcPr>
          <w:p>
            <w:pPr>
              <w:pStyle w:val="20"/>
              <w:pageBreakBefore w:val="0"/>
              <w:widowControl/>
              <w:kinsoku/>
              <w:wordWrap/>
              <w:overflowPunct/>
              <w:topLinePunct w:val="0"/>
              <w:autoSpaceDE/>
              <w:bidi w:val="0"/>
              <w:adjustRightInd/>
              <w:spacing w:beforeAutospacing="0" w:afterAutospacing="0" w:line="575" w:lineRule="exact"/>
              <w:jc w:val="center"/>
              <w:textAlignment w:val="auto"/>
              <w:rPr>
                <w:rFonts w:hint="default"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52</w:t>
            </w:r>
          </w:p>
        </w:tc>
        <w:tc>
          <w:tcPr>
            <w:tcW w:w="1142" w:type="dxa"/>
            <w:tcBorders>
              <w:top w:val="single" w:color="auto" w:sz="4" w:space="0"/>
              <w:left w:val="nil"/>
              <w:bottom w:val="single" w:color="auto" w:sz="4" w:space="0"/>
              <w:right w:val="single" w:color="auto" w:sz="4" w:space="0"/>
            </w:tcBorders>
            <w:shd w:val="clear" w:color="auto" w:fill="auto"/>
            <w:tcMar>
              <w:left w:w="70" w:type="dxa"/>
              <w:right w:w="70" w:type="dxa"/>
            </w:tcMar>
            <w:vAlign w:val="center"/>
          </w:tcPr>
          <w:p>
            <w:pPr>
              <w:pStyle w:val="20"/>
              <w:pageBreakBefore w:val="0"/>
              <w:widowControl/>
              <w:kinsoku/>
              <w:wordWrap/>
              <w:overflowPunct/>
              <w:topLinePunct w:val="0"/>
              <w:autoSpaceDE/>
              <w:bidi w:val="0"/>
              <w:adjustRightInd/>
              <w:spacing w:beforeAutospacing="0" w:afterAutospacing="0" w:line="575" w:lineRule="exact"/>
              <w:jc w:val="center"/>
              <w:textAlignment w:val="auto"/>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43.8</w:t>
            </w:r>
          </w:p>
        </w:tc>
      </w:tr>
      <w:tr>
        <w:tblPrEx>
          <w:tblCellMar>
            <w:top w:w="0" w:type="dxa"/>
            <w:left w:w="0" w:type="dxa"/>
            <w:bottom w:w="0" w:type="dxa"/>
            <w:right w:w="0" w:type="dxa"/>
          </w:tblCellMar>
        </w:tblPrEx>
        <w:trPr>
          <w:trHeight w:val="646" w:hRule="atLeast"/>
        </w:trPr>
        <w:tc>
          <w:tcPr>
            <w:tcW w:w="1203" w:type="dxa"/>
            <w:vMerge w:val="continue"/>
            <w:tcBorders>
              <w:left w:val="single" w:color="auto" w:sz="4" w:space="0"/>
              <w:right w:val="single" w:color="auto" w:sz="4" w:space="0"/>
            </w:tcBorders>
            <w:shd w:val="clear" w:color="auto" w:fill="auto"/>
            <w:tcMar>
              <w:left w:w="70" w:type="dxa"/>
              <w:right w:w="70" w:type="dxa"/>
            </w:tcMar>
            <w:vAlign w:val="center"/>
          </w:tcPr>
          <w:p>
            <w:pPr>
              <w:pStyle w:val="20"/>
              <w:pageBreakBefore w:val="0"/>
              <w:widowControl/>
              <w:kinsoku/>
              <w:wordWrap/>
              <w:overflowPunct/>
              <w:topLinePunct w:val="0"/>
              <w:autoSpaceDE/>
              <w:bidi w:val="0"/>
              <w:adjustRightInd/>
              <w:spacing w:beforeAutospacing="0" w:afterAutospacing="0" w:line="575" w:lineRule="exact"/>
              <w:jc w:val="center"/>
              <w:textAlignment w:val="auto"/>
              <w:rPr>
                <w:rFonts w:hint="eastAsia" w:ascii="仿宋_GB2312" w:hAnsi="仿宋_GB2312" w:eastAsia="仿宋_GB2312" w:cs="仿宋_GB2312"/>
                <w:sz w:val="24"/>
                <w:szCs w:val="24"/>
                <w:highlight w:val="none"/>
              </w:rPr>
            </w:pPr>
          </w:p>
        </w:tc>
        <w:tc>
          <w:tcPr>
            <w:tcW w:w="716" w:type="dxa"/>
            <w:tcBorders>
              <w:top w:val="nil"/>
              <w:left w:val="single" w:color="auto" w:sz="4" w:space="0"/>
              <w:bottom w:val="single" w:color="auto" w:sz="4" w:space="0"/>
              <w:right w:val="single" w:color="auto" w:sz="4" w:space="0"/>
            </w:tcBorders>
            <w:shd w:val="clear" w:color="auto" w:fill="auto"/>
            <w:tcMar>
              <w:left w:w="70" w:type="dxa"/>
              <w:right w:w="70" w:type="dxa"/>
            </w:tcMar>
            <w:vAlign w:val="center"/>
          </w:tcPr>
          <w:p>
            <w:pPr>
              <w:pStyle w:val="20"/>
              <w:pageBreakBefore w:val="0"/>
              <w:widowControl/>
              <w:kinsoku/>
              <w:wordWrap/>
              <w:overflowPunct/>
              <w:topLinePunct w:val="0"/>
              <w:autoSpaceDE/>
              <w:bidi w:val="0"/>
              <w:adjustRightInd/>
              <w:spacing w:beforeAutospacing="0" w:afterAutospacing="0" w:line="575" w:lineRule="exact"/>
              <w:jc w:val="center"/>
              <w:textAlignment w:val="auto"/>
              <w:rPr>
                <w:rFonts w:hint="eastAsia" w:ascii="仿宋_GB2312" w:hAnsi="仿宋_GB2312" w:eastAsia="仿宋_GB2312" w:cs="仿宋_GB2312"/>
                <w:kern w:val="0"/>
                <w:sz w:val="24"/>
                <w:szCs w:val="24"/>
                <w:highlight w:val="none"/>
                <w:lang w:val="en-US" w:eastAsia="zh-CN" w:bidi="ar-SA"/>
              </w:rPr>
            </w:pPr>
            <w:r>
              <w:rPr>
                <w:rFonts w:hint="eastAsia" w:ascii="仿宋_GB2312" w:hAnsi="仿宋_GB2312" w:eastAsia="仿宋_GB2312" w:cs="仿宋_GB2312"/>
                <w:sz w:val="24"/>
                <w:szCs w:val="24"/>
                <w:highlight w:val="none"/>
              </w:rPr>
              <w:t>2</w:t>
            </w:r>
          </w:p>
        </w:tc>
        <w:tc>
          <w:tcPr>
            <w:tcW w:w="3069" w:type="dxa"/>
            <w:tcBorders>
              <w:top w:val="nil"/>
              <w:left w:val="single" w:color="auto" w:sz="4" w:space="0"/>
              <w:bottom w:val="single" w:color="auto" w:sz="4" w:space="0"/>
              <w:right w:val="single" w:color="auto" w:sz="4" w:space="0"/>
            </w:tcBorders>
            <w:shd w:val="clear" w:color="auto" w:fill="auto"/>
            <w:tcMar>
              <w:left w:w="70" w:type="dxa"/>
              <w:right w:w="70" w:type="dxa"/>
            </w:tcMar>
            <w:vAlign w:val="center"/>
          </w:tcPr>
          <w:p>
            <w:pPr>
              <w:pStyle w:val="20"/>
              <w:pageBreakBefore w:val="0"/>
              <w:widowControl/>
              <w:kinsoku/>
              <w:wordWrap/>
              <w:overflowPunct/>
              <w:topLinePunct w:val="0"/>
              <w:autoSpaceDE/>
              <w:bidi w:val="0"/>
              <w:adjustRightInd/>
              <w:spacing w:beforeAutospacing="0" w:afterAutospacing="0" w:line="575" w:lineRule="exact"/>
              <w:ind w:firstLine="480" w:firstLineChars="200"/>
              <w:jc w:val="left"/>
              <w:textAlignment w:val="auto"/>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党政人才</w:t>
            </w:r>
          </w:p>
        </w:tc>
        <w:tc>
          <w:tcPr>
            <w:tcW w:w="756"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20"/>
              <w:pageBreakBefore w:val="0"/>
              <w:widowControl/>
              <w:kinsoku/>
              <w:wordWrap/>
              <w:overflowPunct/>
              <w:topLinePunct w:val="0"/>
              <w:autoSpaceDE/>
              <w:bidi w:val="0"/>
              <w:adjustRightInd/>
              <w:spacing w:beforeAutospacing="0" w:afterAutospacing="0" w:line="575" w:lineRule="exact"/>
              <w:jc w:val="center"/>
              <w:textAlignment w:val="auto"/>
              <w:rPr>
                <w:rFonts w:hint="eastAsia" w:ascii="仿宋_GB2312" w:hAnsi="仿宋_GB2312" w:eastAsia="仿宋_GB2312" w:cs="仿宋_GB2312"/>
                <w:kern w:val="0"/>
                <w:sz w:val="24"/>
                <w:szCs w:val="24"/>
                <w:highlight w:val="none"/>
                <w:lang w:val="en-US" w:eastAsia="zh-CN" w:bidi="ar-SA"/>
              </w:rPr>
            </w:pPr>
            <w:r>
              <w:rPr>
                <w:rFonts w:hint="eastAsia" w:ascii="仿宋_GB2312" w:hAnsi="仿宋_GB2312" w:eastAsia="仿宋_GB2312" w:cs="仿宋_GB2312"/>
                <w:sz w:val="24"/>
                <w:szCs w:val="24"/>
                <w:highlight w:val="none"/>
              </w:rPr>
              <w:t>万人</w:t>
            </w:r>
          </w:p>
        </w:tc>
        <w:tc>
          <w:tcPr>
            <w:tcW w:w="937"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20"/>
              <w:pageBreakBefore w:val="0"/>
              <w:widowControl/>
              <w:kinsoku/>
              <w:wordWrap/>
              <w:overflowPunct/>
              <w:topLinePunct w:val="0"/>
              <w:autoSpaceDE/>
              <w:bidi w:val="0"/>
              <w:adjustRightInd/>
              <w:spacing w:beforeAutospacing="0" w:afterAutospacing="0" w:line="575" w:lineRule="exact"/>
              <w:jc w:val="center"/>
              <w:textAlignment w:val="auto"/>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1.32</w:t>
            </w:r>
          </w:p>
        </w:tc>
        <w:tc>
          <w:tcPr>
            <w:tcW w:w="1113"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20"/>
              <w:pageBreakBefore w:val="0"/>
              <w:widowControl/>
              <w:kinsoku/>
              <w:wordWrap/>
              <w:overflowPunct/>
              <w:topLinePunct w:val="0"/>
              <w:autoSpaceDE/>
              <w:bidi w:val="0"/>
              <w:adjustRightInd/>
              <w:spacing w:beforeAutospacing="0" w:afterAutospacing="0" w:line="575" w:lineRule="exact"/>
              <w:jc w:val="center"/>
              <w:textAlignment w:val="auto"/>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w:t>
            </w:r>
          </w:p>
        </w:tc>
        <w:tc>
          <w:tcPr>
            <w:tcW w:w="1142"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20"/>
              <w:pageBreakBefore w:val="0"/>
              <w:widowControl/>
              <w:kinsoku/>
              <w:wordWrap/>
              <w:overflowPunct/>
              <w:topLinePunct w:val="0"/>
              <w:autoSpaceDE/>
              <w:bidi w:val="0"/>
              <w:adjustRightInd/>
              <w:spacing w:beforeAutospacing="0" w:afterAutospacing="0" w:line="575" w:lineRule="exact"/>
              <w:jc w:val="center"/>
              <w:textAlignment w:val="auto"/>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1.48</w:t>
            </w:r>
          </w:p>
        </w:tc>
      </w:tr>
      <w:tr>
        <w:tblPrEx>
          <w:tblCellMar>
            <w:top w:w="0" w:type="dxa"/>
            <w:left w:w="0" w:type="dxa"/>
            <w:bottom w:w="0" w:type="dxa"/>
            <w:right w:w="0" w:type="dxa"/>
          </w:tblCellMar>
        </w:tblPrEx>
        <w:trPr>
          <w:trHeight w:val="646" w:hRule="atLeast"/>
        </w:trPr>
        <w:tc>
          <w:tcPr>
            <w:tcW w:w="1203" w:type="dxa"/>
            <w:vMerge w:val="continue"/>
            <w:tcBorders>
              <w:left w:val="single" w:color="auto" w:sz="4" w:space="0"/>
              <w:right w:val="single" w:color="auto" w:sz="4" w:space="0"/>
            </w:tcBorders>
            <w:shd w:val="clear" w:color="auto" w:fill="auto"/>
            <w:tcMar>
              <w:left w:w="70" w:type="dxa"/>
              <w:right w:w="70" w:type="dxa"/>
            </w:tcMar>
            <w:vAlign w:val="center"/>
          </w:tcPr>
          <w:p>
            <w:pPr>
              <w:pStyle w:val="20"/>
              <w:pageBreakBefore w:val="0"/>
              <w:widowControl/>
              <w:kinsoku/>
              <w:wordWrap/>
              <w:overflowPunct/>
              <w:topLinePunct w:val="0"/>
              <w:autoSpaceDE/>
              <w:bidi w:val="0"/>
              <w:adjustRightInd/>
              <w:spacing w:beforeAutospacing="0" w:afterAutospacing="0" w:line="575" w:lineRule="exact"/>
              <w:jc w:val="center"/>
              <w:textAlignment w:val="auto"/>
              <w:rPr>
                <w:rFonts w:hint="eastAsia" w:ascii="仿宋_GB2312" w:hAnsi="仿宋_GB2312" w:eastAsia="仿宋_GB2312" w:cs="仿宋_GB2312"/>
                <w:sz w:val="24"/>
                <w:szCs w:val="24"/>
                <w:highlight w:val="none"/>
              </w:rPr>
            </w:pPr>
          </w:p>
        </w:tc>
        <w:tc>
          <w:tcPr>
            <w:tcW w:w="716" w:type="dxa"/>
            <w:tcBorders>
              <w:top w:val="nil"/>
              <w:left w:val="single" w:color="auto" w:sz="4" w:space="0"/>
              <w:bottom w:val="single" w:color="auto" w:sz="4" w:space="0"/>
              <w:right w:val="single" w:color="auto" w:sz="4" w:space="0"/>
            </w:tcBorders>
            <w:shd w:val="clear" w:color="auto" w:fill="auto"/>
            <w:tcMar>
              <w:left w:w="70" w:type="dxa"/>
              <w:right w:w="70" w:type="dxa"/>
            </w:tcMar>
            <w:vAlign w:val="center"/>
          </w:tcPr>
          <w:p>
            <w:pPr>
              <w:pStyle w:val="20"/>
              <w:pageBreakBefore w:val="0"/>
              <w:widowControl/>
              <w:kinsoku/>
              <w:wordWrap/>
              <w:overflowPunct/>
              <w:topLinePunct w:val="0"/>
              <w:autoSpaceDE/>
              <w:bidi w:val="0"/>
              <w:adjustRightInd/>
              <w:spacing w:beforeAutospacing="0" w:afterAutospacing="0" w:line="575" w:lineRule="exact"/>
              <w:jc w:val="center"/>
              <w:textAlignment w:val="auto"/>
              <w:rPr>
                <w:rFonts w:hint="eastAsia" w:ascii="仿宋_GB2312" w:hAnsi="仿宋_GB2312" w:eastAsia="仿宋_GB2312" w:cs="仿宋_GB2312"/>
                <w:kern w:val="0"/>
                <w:sz w:val="24"/>
                <w:szCs w:val="24"/>
                <w:highlight w:val="none"/>
                <w:lang w:val="en-US" w:eastAsia="zh-CN" w:bidi="ar-SA"/>
              </w:rPr>
            </w:pPr>
            <w:r>
              <w:rPr>
                <w:rFonts w:hint="eastAsia" w:ascii="仿宋_GB2312" w:hAnsi="仿宋_GB2312" w:eastAsia="仿宋_GB2312" w:cs="仿宋_GB2312"/>
                <w:sz w:val="24"/>
                <w:szCs w:val="24"/>
                <w:highlight w:val="none"/>
              </w:rPr>
              <w:t>3</w:t>
            </w:r>
          </w:p>
        </w:tc>
        <w:tc>
          <w:tcPr>
            <w:tcW w:w="3069" w:type="dxa"/>
            <w:tcBorders>
              <w:top w:val="nil"/>
              <w:left w:val="single" w:color="auto" w:sz="4" w:space="0"/>
              <w:bottom w:val="single" w:color="auto" w:sz="4" w:space="0"/>
              <w:right w:val="single" w:color="auto" w:sz="4" w:space="0"/>
            </w:tcBorders>
            <w:shd w:val="clear" w:color="auto" w:fill="auto"/>
            <w:tcMar>
              <w:left w:w="70" w:type="dxa"/>
              <w:right w:w="70" w:type="dxa"/>
            </w:tcMar>
            <w:vAlign w:val="center"/>
          </w:tcPr>
          <w:p>
            <w:pPr>
              <w:pStyle w:val="20"/>
              <w:pageBreakBefore w:val="0"/>
              <w:widowControl/>
              <w:kinsoku/>
              <w:wordWrap/>
              <w:overflowPunct/>
              <w:topLinePunct w:val="0"/>
              <w:autoSpaceDE/>
              <w:bidi w:val="0"/>
              <w:adjustRightInd/>
              <w:spacing w:beforeAutospacing="0" w:afterAutospacing="0" w:line="575" w:lineRule="exact"/>
              <w:ind w:firstLine="480" w:firstLineChars="200"/>
              <w:jc w:val="left"/>
              <w:textAlignment w:val="auto"/>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经营管理人才</w:t>
            </w:r>
          </w:p>
        </w:tc>
        <w:tc>
          <w:tcPr>
            <w:tcW w:w="756"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20"/>
              <w:pageBreakBefore w:val="0"/>
              <w:widowControl/>
              <w:kinsoku/>
              <w:wordWrap/>
              <w:overflowPunct/>
              <w:topLinePunct w:val="0"/>
              <w:autoSpaceDE/>
              <w:bidi w:val="0"/>
              <w:adjustRightInd/>
              <w:spacing w:beforeAutospacing="0" w:afterAutospacing="0" w:line="575" w:lineRule="exact"/>
              <w:jc w:val="center"/>
              <w:textAlignment w:val="auto"/>
              <w:rPr>
                <w:rFonts w:hint="eastAsia" w:ascii="仿宋_GB2312" w:hAnsi="仿宋_GB2312" w:eastAsia="仿宋_GB2312" w:cs="仿宋_GB2312"/>
                <w:kern w:val="0"/>
                <w:sz w:val="24"/>
                <w:szCs w:val="24"/>
                <w:highlight w:val="none"/>
                <w:lang w:val="en-US" w:eastAsia="zh-CN" w:bidi="ar-SA"/>
              </w:rPr>
            </w:pPr>
            <w:r>
              <w:rPr>
                <w:rFonts w:hint="eastAsia" w:ascii="仿宋_GB2312" w:hAnsi="仿宋_GB2312" w:eastAsia="仿宋_GB2312" w:cs="仿宋_GB2312"/>
                <w:sz w:val="24"/>
                <w:szCs w:val="24"/>
                <w:highlight w:val="none"/>
              </w:rPr>
              <w:t>万人</w:t>
            </w:r>
          </w:p>
        </w:tc>
        <w:tc>
          <w:tcPr>
            <w:tcW w:w="937"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20"/>
              <w:pageBreakBefore w:val="0"/>
              <w:widowControl/>
              <w:kinsoku/>
              <w:wordWrap/>
              <w:overflowPunct/>
              <w:topLinePunct w:val="0"/>
              <w:autoSpaceDE/>
              <w:bidi w:val="0"/>
              <w:adjustRightInd/>
              <w:spacing w:beforeAutospacing="0" w:afterAutospacing="0" w:line="575" w:lineRule="exact"/>
              <w:jc w:val="center"/>
              <w:textAlignment w:val="auto"/>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7.99</w:t>
            </w:r>
          </w:p>
        </w:tc>
        <w:tc>
          <w:tcPr>
            <w:tcW w:w="1113"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20"/>
              <w:pageBreakBefore w:val="0"/>
              <w:widowControl/>
              <w:kinsoku/>
              <w:wordWrap/>
              <w:overflowPunct/>
              <w:topLinePunct w:val="0"/>
              <w:autoSpaceDE/>
              <w:bidi w:val="0"/>
              <w:adjustRightInd/>
              <w:spacing w:beforeAutospacing="0" w:afterAutospacing="0" w:line="575" w:lineRule="exact"/>
              <w:jc w:val="center"/>
              <w:textAlignment w:val="auto"/>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12</w:t>
            </w:r>
          </w:p>
        </w:tc>
        <w:tc>
          <w:tcPr>
            <w:tcW w:w="1142"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20"/>
              <w:pageBreakBefore w:val="0"/>
              <w:widowControl/>
              <w:kinsoku/>
              <w:wordWrap/>
              <w:overflowPunct/>
              <w:topLinePunct w:val="0"/>
              <w:autoSpaceDE/>
              <w:bidi w:val="0"/>
              <w:adjustRightInd/>
              <w:spacing w:beforeAutospacing="0" w:afterAutospacing="0" w:line="575" w:lineRule="exact"/>
              <w:jc w:val="center"/>
              <w:textAlignment w:val="auto"/>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12.9</w:t>
            </w:r>
          </w:p>
        </w:tc>
      </w:tr>
      <w:tr>
        <w:tblPrEx>
          <w:tblCellMar>
            <w:top w:w="0" w:type="dxa"/>
            <w:left w:w="0" w:type="dxa"/>
            <w:bottom w:w="0" w:type="dxa"/>
            <w:right w:w="0" w:type="dxa"/>
          </w:tblCellMar>
        </w:tblPrEx>
        <w:trPr>
          <w:trHeight w:val="646" w:hRule="atLeast"/>
        </w:trPr>
        <w:tc>
          <w:tcPr>
            <w:tcW w:w="1203" w:type="dxa"/>
            <w:vMerge w:val="continue"/>
            <w:tcBorders>
              <w:left w:val="single" w:color="auto" w:sz="4" w:space="0"/>
              <w:right w:val="single" w:color="auto" w:sz="4" w:space="0"/>
            </w:tcBorders>
            <w:shd w:val="clear" w:color="auto" w:fill="auto"/>
            <w:tcMar>
              <w:left w:w="70" w:type="dxa"/>
              <w:right w:w="70" w:type="dxa"/>
            </w:tcMar>
            <w:vAlign w:val="center"/>
          </w:tcPr>
          <w:p>
            <w:pPr>
              <w:pStyle w:val="20"/>
              <w:pageBreakBefore w:val="0"/>
              <w:widowControl/>
              <w:kinsoku/>
              <w:wordWrap/>
              <w:overflowPunct/>
              <w:topLinePunct w:val="0"/>
              <w:autoSpaceDE/>
              <w:bidi w:val="0"/>
              <w:adjustRightInd/>
              <w:spacing w:beforeAutospacing="0" w:afterAutospacing="0" w:line="575" w:lineRule="exact"/>
              <w:jc w:val="center"/>
              <w:textAlignment w:val="auto"/>
              <w:rPr>
                <w:rFonts w:hint="eastAsia" w:ascii="仿宋_GB2312" w:hAnsi="仿宋_GB2312" w:eastAsia="仿宋_GB2312" w:cs="仿宋_GB2312"/>
                <w:sz w:val="24"/>
                <w:szCs w:val="24"/>
                <w:highlight w:val="none"/>
              </w:rPr>
            </w:pPr>
          </w:p>
        </w:tc>
        <w:tc>
          <w:tcPr>
            <w:tcW w:w="716" w:type="dxa"/>
            <w:tcBorders>
              <w:top w:val="nil"/>
              <w:left w:val="single" w:color="auto" w:sz="4" w:space="0"/>
              <w:bottom w:val="single" w:color="auto" w:sz="4" w:space="0"/>
              <w:right w:val="single" w:color="auto" w:sz="4" w:space="0"/>
            </w:tcBorders>
            <w:shd w:val="clear" w:color="auto" w:fill="auto"/>
            <w:tcMar>
              <w:left w:w="70" w:type="dxa"/>
              <w:right w:w="70" w:type="dxa"/>
            </w:tcMar>
            <w:vAlign w:val="center"/>
          </w:tcPr>
          <w:p>
            <w:pPr>
              <w:pStyle w:val="20"/>
              <w:pageBreakBefore w:val="0"/>
              <w:widowControl/>
              <w:kinsoku/>
              <w:wordWrap/>
              <w:overflowPunct/>
              <w:topLinePunct w:val="0"/>
              <w:autoSpaceDE/>
              <w:bidi w:val="0"/>
              <w:adjustRightInd/>
              <w:spacing w:beforeAutospacing="0" w:afterAutospacing="0" w:line="575" w:lineRule="exact"/>
              <w:jc w:val="center"/>
              <w:textAlignment w:val="auto"/>
              <w:rPr>
                <w:rFonts w:hint="eastAsia" w:ascii="仿宋_GB2312" w:hAnsi="仿宋_GB2312" w:eastAsia="仿宋_GB2312" w:cs="仿宋_GB2312"/>
                <w:kern w:val="0"/>
                <w:sz w:val="24"/>
                <w:szCs w:val="24"/>
                <w:highlight w:val="none"/>
                <w:lang w:val="en-US" w:eastAsia="zh-CN" w:bidi="ar-SA"/>
              </w:rPr>
            </w:pPr>
            <w:r>
              <w:rPr>
                <w:rFonts w:hint="eastAsia" w:ascii="仿宋_GB2312" w:hAnsi="仿宋_GB2312" w:eastAsia="仿宋_GB2312" w:cs="仿宋_GB2312"/>
                <w:sz w:val="24"/>
                <w:szCs w:val="24"/>
                <w:highlight w:val="none"/>
              </w:rPr>
              <w:t>4</w:t>
            </w:r>
          </w:p>
        </w:tc>
        <w:tc>
          <w:tcPr>
            <w:tcW w:w="3069" w:type="dxa"/>
            <w:tcBorders>
              <w:top w:val="nil"/>
              <w:left w:val="single" w:color="auto" w:sz="4" w:space="0"/>
              <w:bottom w:val="single" w:color="auto" w:sz="4" w:space="0"/>
              <w:right w:val="single" w:color="auto" w:sz="4" w:space="0"/>
            </w:tcBorders>
            <w:shd w:val="clear" w:color="auto" w:fill="auto"/>
            <w:tcMar>
              <w:left w:w="70" w:type="dxa"/>
              <w:right w:w="70" w:type="dxa"/>
            </w:tcMar>
            <w:vAlign w:val="center"/>
          </w:tcPr>
          <w:p>
            <w:pPr>
              <w:pStyle w:val="20"/>
              <w:pageBreakBefore w:val="0"/>
              <w:widowControl/>
              <w:kinsoku/>
              <w:wordWrap/>
              <w:overflowPunct/>
              <w:topLinePunct w:val="0"/>
              <w:autoSpaceDE/>
              <w:bidi w:val="0"/>
              <w:adjustRightInd/>
              <w:spacing w:beforeAutospacing="0" w:afterAutospacing="0" w:line="575" w:lineRule="exact"/>
              <w:ind w:firstLine="480" w:firstLineChars="200"/>
              <w:jc w:val="left"/>
              <w:textAlignment w:val="auto"/>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专业技术人才</w:t>
            </w:r>
          </w:p>
        </w:tc>
        <w:tc>
          <w:tcPr>
            <w:tcW w:w="756"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20"/>
              <w:pageBreakBefore w:val="0"/>
              <w:widowControl/>
              <w:kinsoku/>
              <w:wordWrap/>
              <w:overflowPunct/>
              <w:topLinePunct w:val="0"/>
              <w:autoSpaceDE/>
              <w:bidi w:val="0"/>
              <w:adjustRightInd/>
              <w:spacing w:beforeAutospacing="0" w:afterAutospacing="0" w:line="575" w:lineRule="exact"/>
              <w:jc w:val="center"/>
              <w:textAlignment w:val="auto"/>
              <w:rPr>
                <w:rFonts w:hint="eastAsia" w:ascii="仿宋_GB2312" w:hAnsi="仿宋_GB2312" w:eastAsia="仿宋_GB2312" w:cs="仿宋_GB2312"/>
                <w:kern w:val="0"/>
                <w:sz w:val="24"/>
                <w:szCs w:val="24"/>
                <w:highlight w:val="none"/>
                <w:lang w:val="en-US" w:eastAsia="zh-CN" w:bidi="ar-SA"/>
              </w:rPr>
            </w:pPr>
            <w:r>
              <w:rPr>
                <w:rFonts w:hint="eastAsia" w:ascii="仿宋_GB2312" w:hAnsi="仿宋_GB2312" w:eastAsia="仿宋_GB2312" w:cs="仿宋_GB2312"/>
                <w:sz w:val="24"/>
                <w:szCs w:val="24"/>
                <w:highlight w:val="none"/>
              </w:rPr>
              <w:t>万人</w:t>
            </w:r>
          </w:p>
        </w:tc>
        <w:tc>
          <w:tcPr>
            <w:tcW w:w="937"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20"/>
              <w:pageBreakBefore w:val="0"/>
              <w:widowControl/>
              <w:kinsoku/>
              <w:wordWrap/>
              <w:overflowPunct/>
              <w:topLinePunct w:val="0"/>
              <w:autoSpaceDE/>
              <w:bidi w:val="0"/>
              <w:adjustRightInd/>
              <w:spacing w:beforeAutospacing="0" w:afterAutospacing="0" w:line="575" w:lineRule="exact"/>
              <w:jc w:val="center"/>
              <w:textAlignment w:val="auto"/>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11.94</w:t>
            </w:r>
          </w:p>
        </w:tc>
        <w:tc>
          <w:tcPr>
            <w:tcW w:w="1113"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20"/>
              <w:pageBreakBefore w:val="0"/>
              <w:widowControl/>
              <w:kinsoku/>
              <w:wordWrap/>
              <w:overflowPunct/>
              <w:topLinePunct w:val="0"/>
              <w:autoSpaceDE/>
              <w:bidi w:val="0"/>
              <w:adjustRightInd/>
              <w:spacing w:beforeAutospacing="0" w:afterAutospacing="0" w:line="575" w:lineRule="exact"/>
              <w:jc w:val="center"/>
              <w:textAlignment w:val="auto"/>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w:t>
            </w:r>
            <w:r>
              <w:rPr>
                <w:rFonts w:hint="eastAsia" w:ascii="仿宋_GB2312" w:hAnsi="仿宋_GB2312" w:eastAsia="仿宋_GB2312" w:cs="仿宋_GB2312"/>
                <w:sz w:val="24"/>
                <w:szCs w:val="24"/>
                <w:highlight w:val="none"/>
                <w:lang w:val="en-US" w:eastAsia="zh-CN"/>
              </w:rPr>
              <w:t>1</w:t>
            </w:r>
            <w:r>
              <w:rPr>
                <w:rFonts w:hint="eastAsia" w:ascii="仿宋_GB2312" w:hAnsi="仿宋_GB2312" w:eastAsia="仿宋_GB2312" w:cs="仿宋_GB2312"/>
                <w:sz w:val="24"/>
                <w:szCs w:val="24"/>
                <w:highlight w:val="none"/>
              </w:rPr>
              <w:t>.2</w:t>
            </w:r>
          </w:p>
        </w:tc>
        <w:tc>
          <w:tcPr>
            <w:tcW w:w="1142"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20"/>
              <w:pageBreakBefore w:val="0"/>
              <w:widowControl/>
              <w:kinsoku/>
              <w:wordWrap/>
              <w:overflowPunct/>
              <w:topLinePunct w:val="0"/>
              <w:autoSpaceDE/>
              <w:bidi w:val="0"/>
              <w:adjustRightInd/>
              <w:spacing w:beforeAutospacing="0" w:afterAutospacing="0" w:line="575" w:lineRule="exact"/>
              <w:jc w:val="center"/>
              <w:textAlignment w:val="auto"/>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16.29</w:t>
            </w:r>
          </w:p>
        </w:tc>
      </w:tr>
      <w:tr>
        <w:tblPrEx>
          <w:tblCellMar>
            <w:top w:w="0" w:type="dxa"/>
            <w:left w:w="0" w:type="dxa"/>
            <w:bottom w:w="0" w:type="dxa"/>
            <w:right w:w="0" w:type="dxa"/>
          </w:tblCellMar>
        </w:tblPrEx>
        <w:trPr>
          <w:trHeight w:val="646" w:hRule="atLeast"/>
        </w:trPr>
        <w:tc>
          <w:tcPr>
            <w:tcW w:w="1203" w:type="dxa"/>
            <w:vMerge w:val="continue"/>
            <w:tcBorders>
              <w:left w:val="single" w:color="auto" w:sz="4" w:space="0"/>
              <w:right w:val="single" w:color="auto" w:sz="4" w:space="0"/>
            </w:tcBorders>
            <w:shd w:val="clear" w:color="auto" w:fill="auto"/>
            <w:tcMar>
              <w:left w:w="70" w:type="dxa"/>
              <w:right w:w="70" w:type="dxa"/>
            </w:tcMar>
            <w:vAlign w:val="center"/>
          </w:tcPr>
          <w:p>
            <w:pPr>
              <w:pStyle w:val="20"/>
              <w:pageBreakBefore w:val="0"/>
              <w:widowControl/>
              <w:kinsoku/>
              <w:wordWrap/>
              <w:overflowPunct/>
              <w:topLinePunct w:val="0"/>
              <w:autoSpaceDE/>
              <w:bidi w:val="0"/>
              <w:adjustRightInd/>
              <w:spacing w:beforeAutospacing="0" w:afterAutospacing="0" w:line="575" w:lineRule="exact"/>
              <w:jc w:val="center"/>
              <w:textAlignment w:val="auto"/>
              <w:rPr>
                <w:rFonts w:hint="eastAsia" w:ascii="仿宋_GB2312" w:hAnsi="仿宋_GB2312" w:eastAsia="仿宋_GB2312" w:cs="仿宋_GB2312"/>
                <w:sz w:val="24"/>
                <w:szCs w:val="24"/>
                <w:highlight w:val="none"/>
              </w:rPr>
            </w:pPr>
          </w:p>
        </w:tc>
        <w:tc>
          <w:tcPr>
            <w:tcW w:w="716" w:type="dxa"/>
            <w:tcBorders>
              <w:top w:val="nil"/>
              <w:left w:val="single" w:color="auto" w:sz="4" w:space="0"/>
              <w:bottom w:val="single" w:color="auto" w:sz="4" w:space="0"/>
              <w:right w:val="single" w:color="auto" w:sz="4" w:space="0"/>
            </w:tcBorders>
            <w:shd w:val="clear" w:color="auto" w:fill="auto"/>
            <w:tcMar>
              <w:left w:w="70" w:type="dxa"/>
              <w:right w:w="70" w:type="dxa"/>
            </w:tcMar>
            <w:vAlign w:val="center"/>
          </w:tcPr>
          <w:p>
            <w:pPr>
              <w:pStyle w:val="20"/>
              <w:pageBreakBefore w:val="0"/>
              <w:widowControl/>
              <w:kinsoku/>
              <w:wordWrap/>
              <w:overflowPunct/>
              <w:topLinePunct w:val="0"/>
              <w:autoSpaceDE/>
              <w:bidi w:val="0"/>
              <w:adjustRightInd/>
              <w:spacing w:beforeAutospacing="0" w:afterAutospacing="0" w:line="575" w:lineRule="exact"/>
              <w:jc w:val="center"/>
              <w:textAlignment w:val="auto"/>
              <w:rPr>
                <w:rFonts w:hint="eastAsia" w:ascii="仿宋_GB2312" w:hAnsi="仿宋_GB2312" w:eastAsia="仿宋_GB2312" w:cs="仿宋_GB2312"/>
                <w:kern w:val="0"/>
                <w:sz w:val="24"/>
                <w:szCs w:val="24"/>
                <w:highlight w:val="none"/>
                <w:lang w:val="en-US" w:eastAsia="zh-CN" w:bidi="ar-SA"/>
              </w:rPr>
            </w:pPr>
            <w:r>
              <w:rPr>
                <w:rFonts w:hint="eastAsia" w:ascii="仿宋_GB2312" w:hAnsi="仿宋_GB2312" w:eastAsia="仿宋_GB2312" w:cs="仿宋_GB2312"/>
                <w:sz w:val="24"/>
                <w:szCs w:val="24"/>
                <w:highlight w:val="none"/>
              </w:rPr>
              <w:t>5</w:t>
            </w:r>
          </w:p>
        </w:tc>
        <w:tc>
          <w:tcPr>
            <w:tcW w:w="3069" w:type="dxa"/>
            <w:tcBorders>
              <w:top w:val="nil"/>
              <w:left w:val="single" w:color="auto" w:sz="4" w:space="0"/>
              <w:bottom w:val="single" w:color="auto" w:sz="4" w:space="0"/>
              <w:right w:val="single" w:color="auto" w:sz="4" w:space="0"/>
            </w:tcBorders>
            <w:shd w:val="clear" w:color="auto" w:fill="auto"/>
            <w:tcMar>
              <w:left w:w="70" w:type="dxa"/>
              <w:right w:w="70" w:type="dxa"/>
            </w:tcMar>
            <w:vAlign w:val="center"/>
          </w:tcPr>
          <w:p>
            <w:pPr>
              <w:pStyle w:val="20"/>
              <w:pageBreakBefore w:val="0"/>
              <w:widowControl/>
              <w:kinsoku/>
              <w:wordWrap/>
              <w:overflowPunct/>
              <w:topLinePunct w:val="0"/>
              <w:autoSpaceDE/>
              <w:bidi w:val="0"/>
              <w:adjustRightInd/>
              <w:spacing w:beforeAutospacing="0" w:afterAutospacing="0" w:line="575" w:lineRule="exact"/>
              <w:ind w:firstLine="480" w:firstLineChars="200"/>
              <w:jc w:val="left"/>
              <w:textAlignment w:val="auto"/>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高技能人才</w:t>
            </w:r>
          </w:p>
        </w:tc>
        <w:tc>
          <w:tcPr>
            <w:tcW w:w="756"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20"/>
              <w:pageBreakBefore w:val="0"/>
              <w:widowControl/>
              <w:kinsoku/>
              <w:wordWrap/>
              <w:overflowPunct/>
              <w:topLinePunct w:val="0"/>
              <w:autoSpaceDE/>
              <w:bidi w:val="0"/>
              <w:adjustRightInd/>
              <w:spacing w:beforeAutospacing="0" w:afterAutospacing="0" w:line="575" w:lineRule="exact"/>
              <w:jc w:val="center"/>
              <w:textAlignment w:val="auto"/>
              <w:rPr>
                <w:rFonts w:hint="eastAsia" w:ascii="仿宋_GB2312" w:hAnsi="仿宋_GB2312" w:eastAsia="仿宋_GB2312" w:cs="仿宋_GB2312"/>
                <w:kern w:val="0"/>
                <w:sz w:val="24"/>
                <w:szCs w:val="24"/>
                <w:highlight w:val="none"/>
                <w:lang w:val="en-US" w:eastAsia="zh-CN" w:bidi="ar-SA"/>
              </w:rPr>
            </w:pPr>
            <w:r>
              <w:rPr>
                <w:rFonts w:hint="eastAsia" w:ascii="仿宋_GB2312" w:hAnsi="仿宋_GB2312" w:eastAsia="仿宋_GB2312" w:cs="仿宋_GB2312"/>
                <w:sz w:val="24"/>
                <w:szCs w:val="24"/>
                <w:highlight w:val="none"/>
              </w:rPr>
              <w:t>万人</w:t>
            </w:r>
          </w:p>
        </w:tc>
        <w:tc>
          <w:tcPr>
            <w:tcW w:w="937"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20"/>
              <w:pageBreakBefore w:val="0"/>
              <w:widowControl/>
              <w:kinsoku/>
              <w:wordWrap/>
              <w:overflowPunct/>
              <w:topLinePunct w:val="0"/>
              <w:autoSpaceDE/>
              <w:bidi w:val="0"/>
              <w:adjustRightInd/>
              <w:spacing w:beforeAutospacing="0" w:afterAutospacing="0" w:line="575" w:lineRule="exact"/>
              <w:jc w:val="center"/>
              <w:textAlignment w:val="auto"/>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3.01</w:t>
            </w:r>
          </w:p>
        </w:tc>
        <w:tc>
          <w:tcPr>
            <w:tcW w:w="1113"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20"/>
              <w:pageBreakBefore w:val="0"/>
              <w:widowControl/>
              <w:kinsoku/>
              <w:wordWrap/>
              <w:overflowPunct/>
              <w:topLinePunct w:val="0"/>
              <w:autoSpaceDE/>
              <w:bidi w:val="0"/>
              <w:adjustRightInd/>
              <w:spacing w:beforeAutospacing="0" w:afterAutospacing="0" w:line="575" w:lineRule="exact"/>
              <w:jc w:val="center"/>
              <w:textAlignment w:val="auto"/>
              <w:rPr>
                <w:rFonts w:hint="default"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11.8</w:t>
            </w:r>
          </w:p>
        </w:tc>
        <w:tc>
          <w:tcPr>
            <w:tcW w:w="1142"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20"/>
              <w:pageBreakBefore w:val="0"/>
              <w:widowControl/>
              <w:kinsoku/>
              <w:wordWrap/>
              <w:overflowPunct/>
              <w:topLinePunct w:val="0"/>
              <w:autoSpaceDE/>
              <w:bidi w:val="0"/>
              <w:adjustRightInd/>
              <w:spacing w:beforeAutospacing="0" w:afterAutospacing="0" w:line="575" w:lineRule="exact"/>
              <w:jc w:val="center"/>
              <w:textAlignment w:val="auto"/>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4.</w:t>
            </w:r>
            <w:r>
              <w:rPr>
                <w:rFonts w:hint="eastAsia" w:ascii="仿宋_GB2312" w:hAnsi="仿宋_GB2312" w:eastAsia="仿宋_GB2312" w:cs="仿宋_GB2312"/>
                <w:sz w:val="24"/>
                <w:szCs w:val="24"/>
                <w:highlight w:val="none"/>
                <w:lang w:val="en-US" w:eastAsia="zh-CN"/>
              </w:rPr>
              <w:t>64</w:t>
            </w:r>
          </w:p>
        </w:tc>
      </w:tr>
      <w:tr>
        <w:tblPrEx>
          <w:tblCellMar>
            <w:top w:w="0" w:type="dxa"/>
            <w:left w:w="0" w:type="dxa"/>
            <w:bottom w:w="0" w:type="dxa"/>
            <w:right w:w="0" w:type="dxa"/>
          </w:tblCellMar>
        </w:tblPrEx>
        <w:trPr>
          <w:trHeight w:val="646" w:hRule="atLeast"/>
        </w:trPr>
        <w:tc>
          <w:tcPr>
            <w:tcW w:w="1203" w:type="dxa"/>
            <w:vMerge w:val="continue"/>
            <w:tcBorders>
              <w:left w:val="single" w:color="auto" w:sz="4" w:space="0"/>
              <w:right w:val="single" w:color="auto" w:sz="4" w:space="0"/>
            </w:tcBorders>
            <w:shd w:val="clear" w:color="auto" w:fill="auto"/>
            <w:tcMar>
              <w:left w:w="70" w:type="dxa"/>
              <w:right w:w="70" w:type="dxa"/>
            </w:tcMar>
            <w:vAlign w:val="center"/>
          </w:tcPr>
          <w:p>
            <w:pPr>
              <w:pStyle w:val="20"/>
              <w:pageBreakBefore w:val="0"/>
              <w:widowControl/>
              <w:kinsoku/>
              <w:wordWrap/>
              <w:overflowPunct/>
              <w:topLinePunct w:val="0"/>
              <w:autoSpaceDE/>
              <w:bidi w:val="0"/>
              <w:adjustRightInd/>
              <w:spacing w:beforeAutospacing="0" w:afterAutospacing="0" w:line="575" w:lineRule="exact"/>
              <w:jc w:val="center"/>
              <w:textAlignment w:val="auto"/>
              <w:rPr>
                <w:rFonts w:hint="eastAsia" w:ascii="仿宋_GB2312" w:hAnsi="仿宋_GB2312" w:eastAsia="仿宋_GB2312" w:cs="仿宋_GB2312"/>
                <w:sz w:val="24"/>
                <w:szCs w:val="24"/>
                <w:highlight w:val="none"/>
              </w:rPr>
            </w:pPr>
          </w:p>
        </w:tc>
        <w:tc>
          <w:tcPr>
            <w:tcW w:w="716" w:type="dxa"/>
            <w:tcBorders>
              <w:top w:val="nil"/>
              <w:left w:val="single" w:color="auto" w:sz="4" w:space="0"/>
              <w:bottom w:val="single" w:color="auto" w:sz="4" w:space="0"/>
              <w:right w:val="single" w:color="auto" w:sz="4" w:space="0"/>
            </w:tcBorders>
            <w:shd w:val="clear" w:color="auto" w:fill="auto"/>
            <w:tcMar>
              <w:left w:w="70" w:type="dxa"/>
              <w:right w:w="70" w:type="dxa"/>
            </w:tcMar>
            <w:vAlign w:val="center"/>
          </w:tcPr>
          <w:p>
            <w:pPr>
              <w:pStyle w:val="20"/>
              <w:pageBreakBefore w:val="0"/>
              <w:widowControl/>
              <w:kinsoku/>
              <w:wordWrap/>
              <w:overflowPunct/>
              <w:topLinePunct w:val="0"/>
              <w:autoSpaceDE/>
              <w:bidi w:val="0"/>
              <w:adjustRightInd/>
              <w:spacing w:beforeAutospacing="0" w:afterAutospacing="0" w:line="575" w:lineRule="exact"/>
              <w:jc w:val="center"/>
              <w:textAlignment w:val="auto"/>
              <w:rPr>
                <w:rFonts w:hint="eastAsia" w:ascii="仿宋_GB2312" w:hAnsi="仿宋_GB2312" w:eastAsia="仿宋_GB2312" w:cs="仿宋_GB2312"/>
                <w:kern w:val="0"/>
                <w:sz w:val="24"/>
                <w:szCs w:val="24"/>
                <w:highlight w:val="none"/>
                <w:lang w:val="en-US" w:eastAsia="zh-CN" w:bidi="ar-SA"/>
              </w:rPr>
            </w:pPr>
            <w:r>
              <w:rPr>
                <w:rFonts w:hint="eastAsia" w:ascii="仿宋_GB2312" w:hAnsi="仿宋_GB2312" w:eastAsia="仿宋_GB2312" w:cs="仿宋_GB2312"/>
                <w:sz w:val="24"/>
                <w:szCs w:val="24"/>
                <w:highlight w:val="none"/>
              </w:rPr>
              <w:t>6</w:t>
            </w:r>
          </w:p>
        </w:tc>
        <w:tc>
          <w:tcPr>
            <w:tcW w:w="3069" w:type="dxa"/>
            <w:tcBorders>
              <w:top w:val="nil"/>
              <w:left w:val="single" w:color="auto" w:sz="4" w:space="0"/>
              <w:bottom w:val="single" w:color="auto" w:sz="4" w:space="0"/>
              <w:right w:val="single" w:color="auto" w:sz="4" w:space="0"/>
            </w:tcBorders>
            <w:shd w:val="clear" w:color="auto" w:fill="auto"/>
            <w:tcMar>
              <w:left w:w="70" w:type="dxa"/>
              <w:right w:w="70" w:type="dxa"/>
            </w:tcMar>
            <w:vAlign w:val="center"/>
          </w:tcPr>
          <w:p>
            <w:pPr>
              <w:pStyle w:val="20"/>
              <w:pageBreakBefore w:val="0"/>
              <w:widowControl/>
              <w:kinsoku/>
              <w:wordWrap/>
              <w:overflowPunct/>
              <w:topLinePunct w:val="0"/>
              <w:autoSpaceDE/>
              <w:bidi w:val="0"/>
              <w:adjustRightInd/>
              <w:spacing w:beforeAutospacing="0" w:afterAutospacing="0" w:line="575" w:lineRule="exact"/>
              <w:ind w:firstLine="480" w:firstLineChars="200"/>
              <w:jc w:val="left"/>
              <w:textAlignment w:val="auto"/>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乡村振兴</w:t>
            </w:r>
            <w:r>
              <w:rPr>
                <w:rFonts w:hint="eastAsia" w:ascii="仿宋_GB2312" w:hAnsi="仿宋_GB2312" w:eastAsia="仿宋_GB2312" w:cs="仿宋_GB2312"/>
                <w:sz w:val="24"/>
                <w:szCs w:val="24"/>
                <w:highlight w:val="none"/>
              </w:rPr>
              <w:t>人才</w:t>
            </w:r>
          </w:p>
        </w:tc>
        <w:tc>
          <w:tcPr>
            <w:tcW w:w="756"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20"/>
              <w:pageBreakBefore w:val="0"/>
              <w:widowControl/>
              <w:kinsoku/>
              <w:wordWrap/>
              <w:overflowPunct/>
              <w:topLinePunct w:val="0"/>
              <w:autoSpaceDE/>
              <w:bidi w:val="0"/>
              <w:adjustRightInd/>
              <w:spacing w:beforeAutospacing="0" w:afterAutospacing="0" w:line="575" w:lineRule="exact"/>
              <w:jc w:val="center"/>
              <w:textAlignment w:val="auto"/>
              <w:rPr>
                <w:rFonts w:hint="eastAsia" w:ascii="仿宋_GB2312" w:hAnsi="仿宋_GB2312" w:eastAsia="仿宋_GB2312" w:cs="仿宋_GB2312"/>
                <w:kern w:val="0"/>
                <w:sz w:val="24"/>
                <w:szCs w:val="24"/>
                <w:highlight w:val="none"/>
                <w:lang w:val="en-US" w:eastAsia="zh-CN" w:bidi="ar-SA"/>
              </w:rPr>
            </w:pPr>
            <w:r>
              <w:rPr>
                <w:rFonts w:hint="eastAsia" w:ascii="仿宋_GB2312" w:hAnsi="仿宋_GB2312" w:eastAsia="仿宋_GB2312" w:cs="仿宋_GB2312"/>
                <w:sz w:val="24"/>
                <w:szCs w:val="24"/>
                <w:highlight w:val="none"/>
              </w:rPr>
              <w:t>万人</w:t>
            </w:r>
          </w:p>
        </w:tc>
        <w:tc>
          <w:tcPr>
            <w:tcW w:w="937"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20"/>
              <w:pageBreakBefore w:val="0"/>
              <w:widowControl/>
              <w:kinsoku/>
              <w:wordWrap/>
              <w:overflowPunct/>
              <w:topLinePunct w:val="0"/>
              <w:autoSpaceDE/>
              <w:bidi w:val="0"/>
              <w:adjustRightInd/>
              <w:spacing w:beforeAutospacing="0" w:afterAutospacing="0" w:line="575" w:lineRule="exact"/>
              <w:jc w:val="center"/>
              <w:textAlignment w:val="auto"/>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4.7</w:t>
            </w:r>
          </w:p>
        </w:tc>
        <w:tc>
          <w:tcPr>
            <w:tcW w:w="1113"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20"/>
              <w:pageBreakBefore w:val="0"/>
              <w:widowControl/>
              <w:kinsoku/>
              <w:wordWrap/>
              <w:overflowPunct/>
              <w:topLinePunct w:val="0"/>
              <w:autoSpaceDE/>
              <w:bidi w:val="0"/>
              <w:adjustRightInd/>
              <w:spacing w:beforeAutospacing="0" w:afterAutospacing="0" w:line="575" w:lineRule="exact"/>
              <w:jc w:val="center"/>
              <w:textAlignment w:val="auto"/>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6.5</w:t>
            </w:r>
          </w:p>
        </w:tc>
        <w:tc>
          <w:tcPr>
            <w:tcW w:w="1142"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20"/>
              <w:pageBreakBefore w:val="0"/>
              <w:widowControl/>
              <w:kinsoku/>
              <w:wordWrap/>
              <w:overflowPunct/>
              <w:topLinePunct w:val="0"/>
              <w:autoSpaceDE/>
              <w:bidi w:val="0"/>
              <w:adjustRightInd/>
              <w:spacing w:beforeAutospacing="0" w:afterAutospacing="0" w:line="575" w:lineRule="exact"/>
              <w:jc w:val="center"/>
              <w:textAlignment w:val="auto"/>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7.46</w:t>
            </w:r>
          </w:p>
        </w:tc>
      </w:tr>
      <w:tr>
        <w:tblPrEx>
          <w:tblCellMar>
            <w:top w:w="0" w:type="dxa"/>
            <w:left w:w="0" w:type="dxa"/>
            <w:bottom w:w="0" w:type="dxa"/>
            <w:right w:w="0" w:type="dxa"/>
          </w:tblCellMar>
        </w:tblPrEx>
        <w:trPr>
          <w:trHeight w:val="646" w:hRule="atLeast"/>
        </w:trPr>
        <w:tc>
          <w:tcPr>
            <w:tcW w:w="1203" w:type="dxa"/>
            <w:vMerge w:val="continue"/>
            <w:tcBorders>
              <w:left w:val="single" w:color="auto" w:sz="4" w:space="0"/>
              <w:bottom w:val="single" w:color="auto" w:sz="4" w:space="0"/>
              <w:right w:val="single" w:color="auto" w:sz="4" w:space="0"/>
            </w:tcBorders>
            <w:shd w:val="clear" w:color="auto" w:fill="auto"/>
            <w:tcMar>
              <w:left w:w="70" w:type="dxa"/>
              <w:right w:w="70" w:type="dxa"/>
            </w:tcMar>
            <w:vAlign w:val="center"/>
          </w:tcPr>
          <w:p>
            <w:pPr>
              <w:pStyle w:val="20"/>
              <w:pageBreakBefore w:val="0"/>
              <w:widowControl/>
              <w:kinsoku/>
              <w:wordWrap/>
              <w:overflowPunct/>
              <w:topLinePunct w:val="0"/>
              <w:autoSpaceDE/>
              <w:bidi w:val="0"/>
              <w:adjustRightInd/>
              <w:spacing w:beforeAutospacing="0" w:afterAutospacing="0" w:line="575" w:lineRule="exact"/>
              <w:jc w:val="center"/>
              <w:textAlignment w:val="auto"/>
              <w:rPr>
                <w:rFonts w:hint="eastAsia" w:ascii="仿宋_GB2312" w:hAnsi="仿宋_GB2312" w:eastAsia="仿宋_GB2312" w:cs="仿宋_GB2312"/>
                <w:sz w:val="24"/>
                <w:szCs w:val="24"/>
                <w:highlight w:val="none"/>
              </w:rPr>
            </w:pPr>
          </w:p>
        </w:tc>
        <w:tc>
          <w:tcPr>
            <w:tcW w:w="716" w:type="dxa"/>
            <w:tcBorders>
              <w:top w:val="nil"/>
              <w:left w:val="single" w:color="auto" w:sz="4" w:space="0"/>
              <w:bottom w:val="single" w:color="auto" w:sz="4" w:space="0"/>
              <w:right w:val="single" w:color="auto" w:sz="4" w:space="0"/>
            </w:tcBorders>
            <w:shd w:val="clear" w:color="auto" w:fill="auto"/>
            <w:tcMar>
              <w:left w:w="70" w:type="dxa"/>
              <w:right w:w="70" w:type="dxa"/>
            </w:tcMar>
            <w:vAlign w:val="center"/>
          </w:tcPr>
          <w:p>
            <w:pPr>
              <w:pStyle w:val="20"/>
              <w:pageBreakBefore w:val="0"/>
              <w:widowControl/>
              <w:kinsoku/>
              <w:wordWrap/>
              <w:overflowPunct/>
              <w:topLinePunct w:val="0"/>
              <w:autoSpaceDE/>
              <w:bidi w:val="0"/>
              <w:adjustRightInd/>
              <w:spacing w:beforeAutospacing="0" w:afterAutospacing="0" w:line="575" w:lineRule="exact"/>
              <w:jc w:val="center"/>
              <w:textAlignment w:val="auto"/>
              <w:rPr>
                <w:rFonts w:hint="eastAsia" w:ascii="仿宋_GB2312" w:hAnsi="仿宋_GB2312" w:eastAsia="仿宋_GB2312" w:cs="仿宋_GB2312"/>
                <w:kern w:val="0"/>
                <w:sz w:val="24"/>
                <w:szCs w:val="24"/>
                <w:highlight w:val="none"/>
                <w:lang w:val="en-US" w:eastAsia="zh-CN" w:bidi="ar-SA"/>
              </w:rPr>
            </w:pPr>
            <w:r>
              <w:rPr>
                <w:rFonts w:hint="eastAsia" w:ascii="仿宋_GB2312" w:hAnsi="仿宋_GB2312" w:eastAsia="仿宋_GB2312" w:cs="仿宋_GB2312"/>
                <w:sz w:val="24"/>
                <w:szCs w:val="24"/>
                <w:highlight w:val="none"/>
              </w:rPr>
              <w:t>7</w:t>
            </w:r>
          </w:p>
        </w:tc>
        <w:tc>
          <w:tcPr>
            <w:tcW w:w="3069" w:type="dxa"/>
            <w:tcBorders>
              <w:top w:val="nil"/>
              <w:left w:val="single" w:color="auto" w:sz="4" w:space="0"/>
              <w:bottom w:val="single" w:color="auto" w:sz="4" w:space="0"/>
              <w:right w:val="single" w:color="auto" w:sz="4" w:space="0"/>
            </w:tcBorders>
            <w:shd w:val="clear" w:color="auto" w:fill="auto"/>
            <w:tcMar>
              <w:left w:w="70" w:type="dxa"/>
              <w:right w:w="70" w:type="dxa"/>
            </w:tcMar>
            <w:vAlign w:val="center"/>
          </w:tcPr>
          <w:p>
            <w:pPr>
              <w:pStyle w:val="20"/>
              <w:pageBreakBefore w:val="0"/>
              <w:widowControl/>
              <w:kinsoku/>
              <w:wordWrap/>
              <w:overflowPunct/>
              <w:topLinePunct w:val="0"/>
              <w:autoSpaceDE/>
              <w:bidi w:val="0"/>
              <w:adjustRightInd/>
              <w:spacing w:beforeAutospacing="0" w:afterAutospacing="0" w:line="575" w:lineRule="exact"/>
              <w:ind w:firstLine="480" w:firstLineChars="200"/>
              <w:jc w:val="left"/>
              <w:textAlignment w:val="auto"/>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社会工作专业人才</w:t>
            </w:r>
          </w:p>
        </w:tc>
        <w:tc>
          <w:tcPr>
            <w:tcW w:w="756"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20"/>
              <w:pageBreakBefore w:val="0"/>
              <w:widowControl/>
              <w:kinsoku/>
              <w:wordWrap/>
              <w:overflowPunct/>
              <w:topLinePunct w:val="0"/>
              <w:autoSpaceDE/>
              <w:bidi w:val="0"/>
              <w:adjustRightInd/>
              <w:spacing w:beforeAutospacing="0" w:afterAutospacing="0" w:line="575" w:lineRule="exact"/>
              <w:jc w:val="center"/>
              <w:textAlignment w:val="auto"/>
              <w:rPr>
                <w:rFonts w:hint="eastAsia" w:ascii="仿宋_GB2312" w:hAnsi="仿宋_GB2312" w:eastAsia="仿宋_GB2312" w:cs="仿宋_GB2312"/>
                <w:kern w:val="0"/>
                <w:sz w:val="24"/>
                <w:szCs w:val="24"/>
                <w:highlight w:val="none"/>
                <w:lang w:val="en-US" w:eastAsia="zh-CN" w:bidi="ar-SA"/>
              </w:rPr>
            </w:pPr>
            <w:r>
              <w:rPr>
                <w:rFonts w:hint="eastAsia" w:ascii="仿宋_GB2312" w:hAnsi="仿宋_GB2312" w:eastAsia="仿宋_GB2312" w:cs="仿宋_GB2312"/>
                <w:sz w:val="24"/>
                <w:szCs w:val="24"/>
                <w:highlight w:val="none"/>
              </w:rPr>
              <w:t>万人</w:t>
            </w:r>
          </w:p>
        </w:tc>
        <w:tc>
          <w:tcPr>
            <w:tcW w:w="937"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20"/>
              <w:pageBreakBefore w:val="0"/>
              <w:widowControl/>
              <w:kinsoku/>
              <w:wordWrap/>
              <w:overflowPunct/>
              <w:topLinePunct w:val="0"/>
              <w:autoSpaceDE/>
              <w:bidi w:val="0"/>
              <w:adjustRightInd/>
              <w:spacing w:beforeAutospacing="0" w:afterAutospacing="0" w:line="575" w:lineRule="exact"/>
              <w:jc w:val="center"/>
              <w:textAlignment w:val="auto"/>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0.45</w:t>
            </w:r>
          </w:p>
        </w:tc>
        <w:tc>
          <w:tcPr>
            <w:tcW w:w="1113"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20"/>
              <w:pageBreakBefore w:val="0"/>
              <w:widowControl/>
              <w:kinsoku/>
              <w:wordWrap/>
              <w:overflowPunct/>
              <w:topLinePunct w:val="0"/>
              <w:autoSpaceDE/>
              <w:bidi w:val="0"/>
              <w:adjustRightInd/>
              <w:spacing w:beforeAutospacing="0" w:afterAutospacing="0" w:line="575" w:lineRule="exact"/>
              <w:jc w:val="center"/>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rPr>
              <w:t>0.</w:t>
            </w:r>
            <w:r>
              <w:rPr>
                <w:rFonts w:hint="eastAsia" w:ascii="仿宋_GB2312" w:hAnsi="仿宋_GB2312" w:eastAsia="仿宋_GB2312" w:cs="仿宋_GB2312"/>
                <w:sz w:val="24"/>
                <w:szCs w:val="24"/>
                <w:highlight w:val="none"/>
                <w:lang w:val="en-US" w:eastAsia="zh-CN"/>
              </w:rPr>
              <w:t>2</w:t>
            </w:r>
          </w:p>
        </w:tc>
        <w:tc>
          <w:tcPr>
            <w:tcW w:w="1142"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20"/>
              <w:pageBreakBefore w:val="0"/>
              <w:widowControl/>
              <w:kinsoku/>
              <w:wordWrap/>
              <w:overflowPunct/>
              <w:topLinePunct w:val="0"/>
              <w:autoSpaceDE/>
              <w:bidi w:val="0"/>
              <w:adjustRightInd/>
              <w:spacing w:beforeAutospacing="0" w:afterAutospacing="0" w:line="575" w:lineRule="exact"/>
              <w:jc w:val="center"/>
              <w:textAlignment w:val="auto"/>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0.86</w:t>
            </w:r>
          </w:p>
        </w:tc>
      </w:tr>
      <w:tr>
        <w:tblPrEx>
          <w:tblCellMar>
            <w:top w:w="0" w:type="dxa"/>
            <w:left w:w="0" w:type="dxa"/>
            <w:bottom w:w="0" w:type="dxa"/>
            <w:right w:w="0" w:type="dxa"/>
          </w:tblCellMar>
        </w:tblPrEx>
        <w:trPr>
          <w:trHeight w:val="646" w:hRule="atLeast"/>
        </w:trPr>
        <w:tc>
          <w:tcPr>
            <w:tcW w:w="1203" w:type="dxa"/>
            <w:tcBorders>
              <w:top w:val="nil"/>
              <w:left w:val="single" w:color="auto" w:sz="4" w:space="0"/>
              <w:bottom w:val="single" w:color="auto" w:sz="4" w:space="0"/>
              <w:right w:val="single" w:color="auto" w:sz="4" w:space="0"/>
            </w:tcBorders>
            <w:shd w:val="clear" w:color="auto" w:fill="auto"/>
            <w:tcMar>
              <w:left w:w="70" w:type="dxa"/>
              <w:right w:w="70" w:type="dxa"/>
            </w:tcMar>
            <w:vAlign w:val="center"/>
          </w:tcPr>
          <w:p>
            <w:pPr>
              <w:pStyle w:val="20"/>
              <w:pageBreakBefore w:val="0"/>
              <w:widowControl/>
              <w:kinsoku/>
              <w:wordWrap/>
              <w:overflowPunct/>
              <w:topLinePunct w:val="0"/>
              <w:autoSpaceDE/>
              <w:bidi w:val="0"/>
              <w:adjustRightInd/>
              <w:spacing w:beforeAutospacing="0" w:afterAutospacing="0" w:line="575" w:lineRule="exact"/>
              <w:jc w:val="center"/>
              <w:textAlignment w:val="auto"/>
              <w:rPr>
                <w:rFonts w:hint="default"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人才结构</w:t>
            </w:r>
          </w:p>
        </w:tc>
        <w:tc>
          <w:tcPr>
            <w:tcW w:w="716" w:type="dxa"/>
            <w:tcBorders>
              <w:top w:val="nil"/>
              <w:left w:val="single" w:color="auto" w:sz="4" w:space="0"/>
              <w:bottom w:val="single" w:color="auto" w:sz="4" w:space="0"/>
              <w:right w:val="single" w:color="auto" w:sz="4" w:space="0"/>
            </w:tcBorders>
            <w:shd w:val="clear" w:color="auto" w:fill="auto"/>
            <w:tcMar>
              <w:left w:w="70" w:type="dxa"/>
              <w:right w:w="70" w:type="dxa"/>
            </w:tcMar>
            <w:vAlign w:val="center"/>
          </w:tcPr>
          <w:p>
            <w:pPr>
              <w:pStyle w:val="20"/>
              <w:pageBreakBefore w:val="0"/>
              <w:widowControl/>
              <w:kinsoku/>
              <w:wordWrap/>
              <w:overflowPunct/>
              <w:topLinePunct w:val="0"/>
              <w:autoSpaceDE/>
              <w:bidi w:val="0"/>
              <w:adjustRightInd/>
              <w:spacing w:beforeAutospacing="0" w:afterAutospacing="0" w:line="575" w:lineRule="exact"/>
              <w:jc w:val="center"/>
              <w:textAlignment w:val="auto"/>
              <w:rPr>
                <w:rFonts w:hint="eastAsia" w:ascii="仿宋_GB2312" w:hAnsi="仿宋_GB2312" w:eastAsia="仿宋_GB2312" w:cs="仿宋_GB2312"/>
                <w:kern w:val="0"/>
                <w:sz w:val="24"/>
                <w:szCs w:val="24"/>
                <w:highlight w:val="none"/>
                <w:lang w:val="en-US" w:eastAsia="zh-CN" w:bidi="ar-SA"/>
              </w:rPr>
            </w:pPr>
            <w:r>
              <w:rPr>
                <w:rFonts w:hint="eastAsia" w:ascii="仿宋_GB2312" w:hAnsi="仿宋_GB2312" w:eastAsia="仿宋_GB2312" w:cs="仿宋_GB2312"/>
                <w:sz w:val="24"/>
                <w:szCs w:val="24"/>
                <w:highlight w:val="none"/>
                <w:lang w:val="en-US" w:eastAsia="zh-CN"/>
              </w:rPr>
              <w:t>8</w:t>
            </w:r>
          </w:p>
        </w:tc>
        <w:tc>
          <w:tcPr>
            <w:tcW w:w="3069" w:type="dxa"/>
            <w:tcBorders>
              <w:top w:val="nil"/>
              <w:left w:val="single" w:color="auto" w:sz="4" w:space="0"/>
              <w:bottom w:val="single" w:color="auto" w:sz="4" w:space="0"/>
              <w:right w:val="single" w:color="auto" w:sz="4" w:space="0"/>
            </w:tcBorders>
            <w:shd w:val="clear" w:color="auto" w:fill="auto"/>
            <w:tcMar>
              <w:left w:w="70" w:type="dxa"/>
              <w:right w:w="70" w:type="dxa"/>
            </w:tcMar>
            <w:vAlign w:val="center"/>
          </w:tcPr>
          <w:p>
            <w:pPr>
              <w:pStyle w:val="20"/>
              <w:pageBreakBefore w:val="0"/>
              <w:widowControl/>
              <w:kinsoku/>
              <w:wordWrap/>
              <w:overflowPunct/>
              <w:topLinePunct w:val="0"/>
              <w:autoSpaceDE/>
              <w:bidi w:val="0"/>
              <w:adjustRightInd/>
              <w:spacing w:beforeAutospacing="0" w:afterAutospacing="0" w:line="575" w:lineRule="exact"/>
              <w:jc w:val="left"/>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rPr>
              <w:t>高技能人才占技能人才比例</w:t>
            </w:r>
          </w:p>
        </w:tc>
        <w:tc>
          <w:tcPr>
            <w:tcW w:w="756"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20"/>
              <w:pageBreakBefore w:val="0"/>
              <w:widowControl/>
              <w:kinsoku/>
              <w:wordWrap/>
              <w:overflowPunct/>
              <w:topLinePunct w:val="0"/>
              <w:autoSpaceDE/>
              <w:bidi w:val="0"/>
              <w:adjustRightInd/>
              <w:spacing w:beforeAutospacing="0" w:afterAutospacing="0" w:line="575" w:lineRule="exact"/>
              <w:jc w:val="center"/>
              <w:textAlignment w:val="auto"/>
              <w:rPr>
                <w:rFonts w:hint="default" w:ascii="仿宋_GB2312" w:hAnsi="仿宋_GB2312" w:eastAsia="仿宋_GB2312" w:cs="仿宋_GB2312"/>
                <w:kern w:val="0"/>
                <w:sz w:val="24"/>
                <w:szCs w:val="24"/>
                <w:highlight w:val="none"/>
                <w:lang w:val="en-US" w:eastAsia="zh-CN" w:bidi="ar-SA"/>
              </w:rPr>
            </w:pPr>
            <w:r>
              <w:rPr>
                <w:rFonts w:hint="eastAsia" w:ascii="仿宋_GB2312" w:hAnsi="仿宋_GB2312" w:eastAsia="仿宋_GB2312" w:cs="仿宋_GB2312"/>
                <w:kern w:val="0"/>
                <w:sz w:val="24"/>
                <w:szCs w:val="24"/>
                <w:highlight w:val="none"/>
                <w:lang w:val="en-US" w:eastAsia="zh-CN" w:bidi="ar-SA"/>
              </w:rPr>
              <w:t>%</w:t>
            </w:r>
          </w:p>
        </w:tc>
        <w:tc>
          <w:tcPr>
            <w:tcW w:w="937"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20"/>
              <w:pageBreakBefore w:val="0"/>
              <w:widowControl/>
              <w:kinsoku/>
              <w:wordWrap/>
              <w:overflowPunct/>
              <w:topLinePunct w:val="0"/>
              <w:autoSpaceDE/>
              <w:bidi w:val="0"/>
              <w:adjustRightInd/>
              <w:spacing w:beforeAutospacing="0" w:afterAutospacing="0" w:line="575" w:lineRule="exact"/>
              <w:jc w:val="center"/>
              <w:textAlignment w:val="auto"/>
              <w:rPr>
                <w:rFonts w:hint="default"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13</w:t>
            </w:r>
          </w:p>
        </w:tc>
        <w:tc>
          <w:tcPr>
            <w:tcW w:w="1113"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20"/>
              <w:pageBreakBefore w:val="0"/>
              <w:widowControl/>
              <w:kinsoku/>
              <w:wordWrap/>
              <w:overflowPunct/>
              <w:topLinePunct w:val="0"/>
              <w:autoSpaceDE/>
              <w:bidi w:val="0"/>
              <w:adjustRightInd/>
              <w:spacing w:beforeAutospacing="0" w:afterAutospacing="0" w:line="575" w:lineRule="exact"/>
              <w:jc w:val="center"/>
              <w:textAlignment w:val="auto"/>
              <w:rPr>
                <w:rFonts w:hint="default"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20</w:t>
            </w:r>
          </w:p>
        </w:tc>
        <w:tc>
          <w:tcPr>
            <w:tcW w:w="1142"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20"/>
              <w:pageBreakBefore w:val="0"/>
              <w:widowControl/>
              <w:kinsoku/>
              <w:wordWrap/>
              <w:overflowPunct/>
              <w:topLinePunct w:val="0"/>
              <w:autoSpaceDE/>
              <w:bidi w:val="0"/>
              <w:adjustRightInd/>
              <w:spacing w:beforeAutospacing="0" w:afterAutospacing="0" w:line="575" w:lineRule="exact"/>
              <w:jc w:val="center"/>
              <w:textAlignment w:val="auto"/>
              <w:rPr>
                <w:rFonts w:hint="default"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30.66</w:t>
            </w:r>
          </w:p>
        </w:tc>
      </w:tr>
      <w:tr>
        <w:tblPrEx>
          <w:tblCellMar>
            <w:top w:w="0" w:type="dxa"/>
            <w:left w:w="0" w:type="dxa"/>
            <w:bottom w:w="0" w:type="dxa"/>
            <w:right w:w="0" w:type="dxa"/>
          </w:tblCellMar>
        </w:tblPrEx>
        <w:trPr>
          <w:trHeight w:val="646" w:hRule="atLeast"/>
        </w:trPr>
        <w:tc>
          <w:tcPr>
            <w:tcW w:w="1203" w:type="dxa"/>
            <w:vMerge w:val="restart"/>
            <w:tcBorders>
              <w:top w:val="nil"/>
              <w:left w:val="single" w:color="auto" w:sz="4" w:space="0"/>
              <w:right w:val="single" w:color="auto" w:sz="4" w:space="0"/>
            </w:tcBorders>
            <w:shd w:val="clear" w:color="auto" w:fill="auto"/>
            <w:tcMar>
              <w:left w:w="70" w:type="dxa"/>
              <w:right w:w="70" w:type="dxa"/>
            </w:tcMar>
            <w:vAlign w:val="center"/>
          </w:tcPr>
          <w:p>
            <w:pPr>
              <w:pStyle w:val="20"/>
              <w:pageBreakBefore w:val="0"/>
              <w:widowControl/>
              <w:kinsoku/>
              <w:wordWrap/>
              <w:overflowPunct/>
              <w:topLinePunct w:val="0"/>
              <w:autoSpaceDE/>
              <w:bidi w:val="0"/>
              <w:adjustRightInd/>
              <w:spacing w:beforeAutospacing="0" w:afterAutospacing="0" w:line="575" w:lineRule="exact"/>
              <w:jc w:val="center"/>
              <w:textAlignment w:val="auto"/>
              <w:rPr>
                <w:rFonts w:hint="default"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人才载体</w:t>
            </w:r>
          </w:p>
        </w:tc>
        <w:tc>
          <w:tcPr>
            <w:tcW w:w="716" w:type="dxa"/>
            <w:tcBorders>
              <w:top w:val="nil"/>
              <w:left w:val="single" w:color="auto" w:sz="4" w:space="0"/>
              <w:bottom w:val="single" w:color="auto" w:sz="4" w:space="0"/>
              <w:right w:val="single" w:color="auto" w:sz="4" w:space="0"/>
            </w:tcBorders>
            <w:shd w:val="clear" w:color="auto" w:fill="auto"/>
            <w:tcMar>
              <w:left w:w="70" w:type="dxa"/>
              <w:right w:w="70" w:type="dxa"/>
            </w:tcMar>
            <w:vAlign w:val="center"/>
          </w:tcPr>
          <w:p>
            <w:pPr>
              <w:pStyle w:val="20"/>
              <w:pageBreakBefore w:val="0"/>
              <w:widowControl/>
              <w:kinsoku/>
              <w:wordWrap/>
              <w:overflowPunct/>
              <w:topLinePunct w:val="0"/>
              <w:autoSpaceDE/>
              <w:bidi w:val="0"/>
              <w:adjustRightInd/>
              <w:spacing w:beforeAutospacing="0" w:afterAutospacing="0" w:line="575" w:lineRule="exact"/>
              <w:jc w:val="center"/>
              <w:textAlignment w:val="auto"/>
              <w:rPr>
                <w:rFonts w:hint="eastAsia" w:ascii="仿宋_GB2312" w:hAnsi="仿宋_GB2312" w:eastAsia="仿宋_GB2312" w:cs="仿宋_GB2312"/>
                <w:kern w:val="0"/>
                <w:sz w:val="24"/>
                <w:szCs w:val="24"/>
                <w:highlight w:val="none"/>
                <w:lang w:val="en-US" w:eastAsia="zh-CN" w:bidi="ar-SA"/>
              </w:rPr>
            </w:pPr>
            <w:r>
              <w:rPr>
                <w:rFonts w:hint="eastAsia" w:ascii="仿宋_GB2312" w:hAnsi="仿宋_GB2312" w:eastAsia="仿宋_GB2312" w:cs="仿宋_GB2312"/>
                <w:sz w:val="24"/>
                <w:szCs w:val="24"/>
                <w:highlight w:val="none"/>
                <w:lang w:val="en-US" w:eastAsia="zh-CN"/>
              </w:rPr>
              <w:t>9</w:t>
            </w:r>
          </w:p>
        </w:tc>
        <w:tc>
          <w:tcPr>
            <w:tcW w:w="3069" w:type="dxa"/>
            <w:tcBorders>
              <w:top w:val="nil"/>
              <w:left w:val="single" w:color="auto" w:sz="4" w:space="0"/>
              <w:bottom w:val="single" w:color="auto" w:sz="4" w:space="0"/>
              <w:right w:val="single" w:color="auto" w:sz="4" w:space="0"/>
            </w:tcBorders>
            <w:shd w:val="clear" w:color="auto" w:fill="auto"/>
            <w:tcMar>
              <w:left w:w="70" w:type="dxa"/>
              <w:right w:w="70" w:type="dxa"/>
            </w:tcMar>
            <w:vAlign w:val="center"/>
          </w:tcPr>
          <w:p>
            <w:pPr>
              <w:pStyle w:val="20"/>
              <w:pageBreakBefore w:val="0"/>
              <w:widowControl/>
              <w:kinsoku/>
              <w:wordWrap/>
              <w:overflowPunct/>
              <w:topLinePunct w:val="0"/>
              <w:autoSpaceDE/>
              <w:bidi w:val="0"/>
              <w:adjustRightInd/>
              <w:spacing w:beforeAutospacing="0" w:afterAutospacing="0" w:line="575" w:lineRule="exact"/>
              <w:jc w:val="left"/>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院士专家工作站</w:t>
            </w:r>
          </w:p>
        </w:tc>
        <w:tc>
          <w:tcPr>
            <w:tcW w:w="756"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20"/>
              <w:pageBreakBefore w:val="0"/>
              <w:widowControl/>
              <w:kinsoku/>
              <w:wordWrap/>
              <w:overflowPunct/>
              <w:topLinePunct w:val="0"/>
              <w:autoSpaceDE/>
              <w:bidi w:val="0"/>
              <w:adjustRightInd/>
              <w:spacing w:beforeAutospacing="0" w:afterAutospacing="0" w:line="575" w:lineRule="exact"/>
              <w:jc w:val="center"/>
              <w:textAlignment w:val="auto"/>
              <w:rPr>
                <w:rFonts w:hint="eastAsia" w:ascii="仿宋_GB2312" w:hAnsi="仿宋_GB2312" w:eastAsia="仿宋_GB2312" w:cs="仿宋_GB2312"/>
                <w:kern w:val="0"/>
                <w:sz w:val="24"/>
                <w:szCs w:val="24"/>
                <w:highlight w:val="none"/>
                <w:lang w:val="en-US" w:eastAsia="zh-CN" w:bidi="ar-SA"/>
              </w:rPr>
            </w:pPr>
            <w:r>
              <w:rPr>
                <w:rFonts w:hint="eastAsia" w:ascii="仿宋_GB2312" w:hAnsi="仿宋_GB2312" w:eastAsia="仿宋_GB2312" w:cs="仿宋_GB2312"/>
                <w:sz w:val="24"/>
                <w:szCs w:val="24"/>
                <w:highlight w:val="none"/>
                <w:lang w:val="en-US" w:eastAsia="zh-CN"/>
              </w:rPr>
              <w:t>家</w:t>
            </w:r>
          </w:p>
        </w:tc>
        <w:tc>
          <w:tcPr>
            <w:tcW w:w="937"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20"/>
              <w:pageBreakBefore w:val="0"/>
              <w:widowControl/>
              <w:kinsoku/>
              <w:wordWrap/>
              <w:overflowPunct/>
              <w:topLinePunct w:val="0"/>
              <w:autoSpaceDE/>
              <w:bidi w:val="0"/>
              <w:adjustRightInd/>
              <w:spacing w:beforeAutospacing="0" w:afterAutospacing="0" w:line="575" w:lineRule="exact"/>
              <w:jc w:val="center"/>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w:t>
            </w:r>
          </w:p>
        </w:tc>
        <w:tc>
          <w:tcPr>
            <w:tcW w:w="1113"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20"/>
              <w:pageBreakBefore w:val="0"/>
              <w:widowControl/>
              <w:kinsoku/>
              <w:wordWrap/>
              <w:overflowPunct/>
              <w:topLinePunct w:val="0"/>
              <w:autoSpaceDE/>
              <w:bidi w:val="0"/>
              <w:adjustRightInd/>
              <w:spacing w:beforeAutospacing="0" w:afterAutospacing="0" w:line="575" w:lineRule="exact"/>
              <w:jc w:val="center"/>
              <w:textAlignment w:val="auto"/>
              <w:rPr>
                <w:rFonts w:hint="default"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10</w:t>
            </w:r>
          </w:p>
        </w:tc>
        <w:tc>
          <w:tcPr>
            <w:tcW w:w="1142"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20"/>
              <w:pageBreakBefore w:val="0"/>
              <w:widowControl/>
              <w:kinsoku/>
              <w:wordWrap/>
              <w:overflowPunct/>
              <w:topLinePunct w:val="0"/>
              <w:autoSpaceDE/>
              <w:bidi w:val="0"/>
              <w:adjustRightInd/>
              <w:spacing w:beforeAutospacing="0" w:afterAutospacing="0" w:line="575" w:lineRule="exact"/>
              <w:jc w:val="center"/>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5</w:t>
            </w:r>
          </w:p>
        </w:tc>
      </w:tr>
      <w:tr>
        <w:tblPrEx>
          <w:tblCellMar>
            <w:top w:w="0" w:type="dxa"/>
            <w:left w:w="0" w:type="dxa"/>
            <w:bottom w:w="0" w:type="dxa"/>
            <w:right w:w="0" w:type="dxa"/>
          </w:tblCellMar>
        </w:tblPrEx>
        <w:trPr>
          <w:trHeight w:val="646" w:hRule="atLeast"/>
        </w:trPr>
        <w:tc>
          <w:tcPr>
            <w:tcW w:w="1203" w:type="dxa"/>
            <w:vMerge w:val="continue"/>
            <w:tcBorders>
              <w:left w:val="single" w:color="auto" w:sz="4" w:space="0"/>
              <w:right w:val="single" w:color="auto" w:sz="4" w:space="0"/>
            </w:tcBorders>
            <w:shd w:val="clear" w:color="auto" w:fill="auto"/>
            <w:tcMar>
              <w:left w:w="70" w:type="dxa"/>
              <w:right w:w="70" w:type="dxa"/>
            </w:tcMar>
            <w:vAlign w:val="center"/>
          </w:tcPr>
          <w:p>
            <w:pPr>
              <w:pStyle w:val="20"/>
              <w:pageBreakBefore w:val="0"/>
              <w:widowControl/>
              <w:kinsoku/>
              <w:wordWrap/>
              <w:overflowPunct/>
              <w:topLinePunct w:val="0"/>
              <w:autoSpaceDE/>
              <w:bidi w:val="0"/>
              <w:adjustRightInd/>
              <w:spacing w:beforeAutospacing="0" w:afterAutospacing="0" w:line="575" w:lineRule="exact"/>
              <w:jc w:val="left"/>
              <w:textAlignment w:val="auto"/>
              <w:rPr>
                <w:rFonts w:hint="eastAsia" w:ascii="仿宋_GB2312" w:hAnsi="仿宋_GB2312" w:eastAsia="仿宋_GB2312" w:cs="仿宋_GB2312"/>
                <w:sz w:val="24"/>
                <w:szCs w:val="24"/>
                <w:highlight w:val="none"/>
                <w:lang w:val="en-US" w:eastAsia="zh-CN"/>
              </w:rPr>
            </w:pPr>
          </w:p>
        </w:tc>
        <w:tc>
          <w:tcPr>
            <w:tcW w:w="716" w:type="dxa"/>
            <w:tcBorders>
              <w:top w:val="nil"/>
              <w:left w:val="single" w:color="auto" w:sz="4" w:space="0"/>
              <w:bottom w:val="single" w:color="auto" w:sz="4" w:space="0"/>
              <w:right w:val="single" w:color="auto" w:sz="4" w:space="0"/>
            </w:tcBorders>
            <w:shd w:val="clear" w:color="auto" w:fill="auto"/>
            <w:tcMar>
              <w:left w:w="70" w:type="dxa"/>
              <w:right w:w="70" w:type="dxa"/>
            </w:tcMar>
            <w:vAlign w:val="center"/>
          </w:tcPr>
          <w:p>
            <w:pPr>
              <w:pStyle w:val="20"/>
              <w:pageBreakBefore w:val="0"/>
              <w:widowControl/>
              <w:kinsoku/>
              <w:wordWrap/>
              <w:overflowPunct/>
              <w:topLinePunct w:val="0"/>
              <w:autoSpaceDE/>
              <w:bidi w:val="0"/>
              <w:adjustRightInd/>
              <w:spacing w:beforeAutospacing="0" w:afterAutospacing="0" w:line="575" w:lineRule="exact"/>
              <w:jc w:val="center"/>
              <w:textAlignment w:val="auto"/>
              <w:rPr>
                <w:rFonts w:hint="eastAsia" w:ascii="仿宋_GB2312" w:hAnsi="仿宋_GB2312" w:eastAsia="仿宋_GB2312" w:cs="仿宋_GB2312"/>
                <w:kern w:val="0"/>
                <w:sz w:val="24"/>
                <w:szCs w:val="24"/>
                <w:highlight w:val="none"/>
                <w:lang w:val="en-US" w:eastAsia="zh-CN" w:bidi="ar-SA"/>
              </w:rPr>
            </w:pPr>
            <w:r>
              <w:rPr>
                <w:rFonts w:hint="eastAsia" w:ascii="仿宋_GB2312" w:hAnsi="仿宋_GB2312" w:eastAsia="仿宋_GB2312" w:cs="仿宋_GB2312"/>
                <w:sz w:val="24"/>
                <w:szCs w:val="24"/>
                <w:highlight w:val="none"/>
                <w:lang w:val="en-US" w:eastAsia="zh-CN"/>
              </w:rPr>
              <w:t>10</w:t>
            </w:r>
          </w:p>
        </w:tc>
        <w:tc>
          <w:tcPr>
            <w:tcW w:w="3069" w:type="dxa"/>
            <w:tcBorders>
              <w:top w:val="nil"/>
              <w:left w:val="single" w:color="auto" w:sz="4" w:space="0"/>
              <w:bottom w:val="single" w:color="auto" w:sz="4" w:space="0"/>
              <w:right w:val="single" w:color="auto" w:sz="4" w:space="0"/>
            </w:tcBorders>
            <w:shd w:val="clear" w:color="auto" w:fill="auto"/>
            <w:tcMar>
              <w:left w:w="70" w:type="dxa"/>
              <w:right w:w="70" w:type="dxa"/>
            </w:tcMar>
            <w:vAlign w:val="center"/>
          </w:tcPr>
          <w:p>
            <w:pPr>
              <w:pStyle w:val="20"/>
              <w:pageBreakBefore w:val="0"/>
              <w:widowControl/>
              <w:kinsoku/>
              <w:wordWrap/>
              <w:overflowPunct/>
              <w:topLinePunct w:val="0"/>
              <w:autoSpaceDE/>
              <w:bidi w:val="0"/>
              <w:adjustRightInd/>
              <w:spacing w:beforeAutospacing="0" w:afterAutospacing="0" w:line="575" w:lineRule="exact"/>
              <w:jc w:val="left"/>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博士后科研工作站、流动站</w:t>
            </w:r>
          </w:p>
        </w:tc>
        <w:tc>
          <w:tcPr>
            <w:tcW w:w="756"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20"/>
              <w:pageBreakBefore w:val="0"/>
              <w:widowControl/>
              <w:kinsoku/>
              <w:wordWrap/>
              <w:overflowPunct/>
              <w:topLinePunct w:val="0"/>
              <w:autoSpaceDE/>
              <w:bidi w:val="0"/>
              <w:adjustRightInd/>
              <w:spacing w:beforeAutospacing="0" w:afterAutospacing="0" w:line="575" w:lineRule="exact"/>
              <w:jc w:val="center"/>
              <w:textAlignment w:val="auto"/>
              <w:rPr>
                <w:rFonts w:hint="eastAsia" w:ascii="仿宋_GB2312" w:hAnsi="仿宋_GB2312" w:eastAsia="仿宋_GB2312" w:cs="仿宋_GB2312"/>
                <w:kern w:val="0"/>
                <w:sz w:val="24"/>
                <w:szCs w:val="24"/>
                <w:highlight w:val="none"/>
                <w:lang w:val="en-US" w:eastAsia="zh-CN" w:bidi="ar-SA"/>
              </w:rPr>
            </w:pPr>
            <w:r>
              <w:rPr>
                <w:rFonts w:hint="eastAsia" w:ascii="仿宋_GB2312" w:hAnsi="仿宋_GB2312" w:eastAsia="仿宋_GB2312" w:cs="仿宋_GB2312"/>
                <w:sz w:val="24"/>
                <w:szCs w:val="24"/>
                <w:highlight w:val="none"/>
                <w:lang w:val="en-US" w:eastAsia="zh-CN"/>
              </w:rPr>
              <w:t>家</w:t>
            </w:r>
          </w:p>
        </w:tc>
        <w:tc>
          <w:tcPr>
            <w:tcW w:w="937"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20"/>
              <w:pageBreakBefore w:val="0"/>
              <w:widowControl/>
              <w:kinsoku/>
              <w:wordWrap/>
              <w:overflowPunct/>
              <w:topLinePunct w:val="0"/>
              <w:autoSpaceDE/>
              <w:bidi w:val="0"/>
              <w:adjustRightInd/>
              <w:spacing w:beforeAutospacing="0" w:afterAutospacing="0" w:line="575" w:lineRule="exact"/>
              <w:jc w:val="center"/>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w:t>
            </w:r>
          </w:p>
        </w:tc>
        <w:tc>
          <w:tcPr>
            <w:tcW w:w="1113"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20"/>
              <w:pageBreakBefore w:val="0"/>
              <w:widowControl/>
              <w:kinsoku/>
              <w:wordWrap/>
              <w:overflowPunct/>
              <w:topLinePunct w:val="0"/>
              <w:autoSpaceDE/>
              <w:bidi w:val="0"/>
              <w:adjustRightInd/>
              <w:spacing w:beforeAutospacing="0" w:afterAutospacing="0" w:line="575" w:lineRule="exact"/>
              <w:jc w:val="center"/>
              <w:textAlignment w:val="auto"/>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w:t>
            </w:r>
          </w:p>
        </w:tc>
        <w:tc>
          <w:tcPr>
            <w:tcW w:w="1142"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20"/>
              <w:pageBreakBefore w:val="0"/>
              <w:widowControl/>
              <w:kinsoku/>
              <w:wordWrap/>
              <w:overflowPunct/>
              <w:topLinePunct w:val="0"/>
              <w:autoSpaceDE/>
              <w:bidi w:val="0"/>
              <w:adjustRightInd/>
              <w:spacing w:beforeAutospacing="0" w:afterAutospacing="0" w:line="575" w:lineRule="exact"/>
              <w:jc w:val="center"/>
              <w:textAlignment w:val="auto"/>
              <w:rPr>
                <w:rFonts w:hint="default"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7</w:t>
            </w:r>
          </w:p>
        </w:tc>
      </w:tr>
      <w:tr>
        <w:tblPrEx>
          <w:tblCellMar>
            <w:top w:w="0" w:type="dxa"/>
            <w:left w:w="0" w:type="dxa"/>
            <w:bottom w:w="0" w:type="dxa"/>
            <w:right w:w="0" w:type="dxa"/>
          </w:tblCellMar>
        </w:tblPrEx>
        <w:trPr>
          <w:trHeight w:val="646" w:hRule="atLeast"/>
        </w:trPr>
        <w:tc>
          <w:tcPr>
            <w:tcW w:w="1203" w:type="dxa"/>
            <w:vMerge w:val="continue"/>
            <w:tcBorders>
              <w:left w:val="single" w:color="auto" w:sz="4" w:space="0"/>
              <w:bottom w:val="single" w:color="auto" w:sz="4" w:space="0"/>
              <w:right w:val="single" w:color="auto" w:sz="4" w:space="0"/>
            </w:tcBorders>
            <w:shd w:val="clear" w:color="auto" w:fill="auto"/>
            <w:tcMar>
              <w:left w:w="70" w:type="dxa"/>
              <w:right w:w="70" w:type="dxa"/>
            </w:tcMar>
            <w:vAlign w:val="center"/>
          </w:tcPr>
          <w:p>
            <w:pPr>
              <w:pStyle w:val="20"/>
              <w:pageBreakBefore w:val="0"/>
              <w:widowControl/>
              <w:kinsoku/>
              <w:wordWrap/>
              <w:overflowPunct/>
              <w:topLinePunct w:val="0"/>
              <w:autoSpaceDE/>
              <w:bidi w:val="0"/>
              <w:adjustRightInd/>
              <w:spacing w:beforeAutospacing="0" w:afterAutospacing="0" w:line="575" w:lineRule="exact"/>
              <w:jc w:val="left"/>
              <w:textAlignment w:val="auto"/>
              <w:rPr>
                <w:rFonts w:hint="eastAsia" w:ascii="仿宋_GB2312" w:hAnsi="仿宋_GB2312" w:eastAsia="仿宋_GB2312" w:cs="仿宋_GB2312"/>
                <w:sz w:val="24"/>
                <w:szCs w:val="24"/>
                <w:highlight w:val="none"/>
                <w:lang w:val="en-US" w:eastAsia="zh-CN"/>
              </w:rPr>
            </w:pPr>
          </w:p>
        </w:tc>
        <w:tc>
          <w:tcPr>
            <w:tcW w:w="716" w:type="dxa"/>
            <w:tcBorders>
              <w:top w:val="nil"/>
              <w:left w:val="single" w:color="auto" w:sz="4" w:space="0"/>
              <w:bottom w:val="single" w:color="auto" w:sz="4" w:space="0"/>
              <w:right w:val="single" w:color="auto" w:sz="4" w:space="0"/>
            </w:tcBorders>
            <w:shd w:val="clear" w:color="auto" w:fill="auto"/>
            <w:tcMar>
              <w:left w:w="70" w:type="dxa"/>
              <w:right w:w="70" w:type="dxa"/>
            </w:tcMar>
            <w:vAlign w:val="center"/>
          </w:tcPr>
          <w:p>
            <w:pPr>
              <w:pStyle w:val="20"/>
              <w:pageBreakBefore w:val="0"/>
              <w:widowControl/>
              <w:kinsoku/>
              <w:wordWrap/>
              <w:overflowPunct/>
              <w:topLinePunct w:val="0"/>
              <w:autoSpaceDE/>
              <w:bidi w:val="0"/>
              <w:adjustRightInd/>
              <w:spacing w:beforeAutospacing="0" w:afterAutospacing="0" w:line="575" w:lineRule="exact"/>
              <w:jc w:val="center"/>
              <w:textAlignment w:val="auto"/>
              <w:rPr>
                <w:rFonts w:hint="default"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11</w:t>
            </w:r>
          </w:p>
        </w:tc>
        <w:tc>
          <w:tcPr>
            <w:tcW w:w="3069" w:type="dxa"/>
            <w:tcBorders>
              <w:top w:val="nil"/>
              <w:left w:val="single" w:color="auto" w:sz="4" w:space="0"/>
              <w:bottom w:val="single" w:color="auto" w:sz="4" w:space="0"/>
              <w:right w:val="single" w:color="auto" w:sz="4" w:space="0"/>
            </w:tcBorders>
            <w:shd w:val="clear" w:color="auto" w:fill="auto"/>
            <w:tcMar>
              <w:left w:w="70" w:type="dxa"/>
              <w:right w:w="70" w:type="dxa"/>
            </w:tcMar>
            <w:vAlign w:val="center"/>
          </w:tcPr>
          <w:p>
            <w:pPr>
              <w:pStyle w:val="20"/>
              <w:pageBreakBefore w:val="0"/>
              <w:widowControl/>
              <w:kinsoku/>
              <w:wordWrap/>
              <w:overflowPunct/>
              <w:topLinePunct w:val="0"/>
              <w:autoSpaceDE/>
              <w:bidi w:val="0"/>
              <w:adjustRightInd/>
              <w:spacing w:beforeAutospacing="0" w:afterAutospacing="0" w:line="575" w:lineRule="exact"/>
              <w:jc w:val="left"/>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国家级、自治区级技能大师工作室</w:t>
            </w:r>
          </w:p>
        </w:tc>
        <w:tc>
          <w:tcPr>
            <w:tcW w:w="756" w:type="dxa"/>
            <w:tcBorders>
              <w:top w:val="nil"/>
              <w:left w:val="nil"/>
              <w:bottom w:val="single" w:color="auto" w:sz="4" w:space="0"/>
              <w:right w:val="single" w:color="auto" w:sz="4" w:space="0"/>
            </w:tcBorders>
            <w:shd w:val="clear" w:color="auto" w:fill="auto"/>
            <w:tcMar>
              <w:left w:w="70" w:type="dxa"/>
              <w:right w:w="70" w:type="dxa"/>
            </w:tcMar>
            <w:vAlign w:val="center"/>
          </w:tcPr>
          <w:p>
            <w:pPr>
              <w:pageBreakBefore w:val="0"/>
              <w:kinsoku/>
              <w:wordWrap/>
              <w:overflowPunct/>
              <w:topLinePunct w:val="0"/>
              <w:autoSpaceDE/>
              <w:bidi w:val="0"/>
              <w:adjustRightInd/>
              <w:spacing w:line="575" w:lineRule="exact"/>
              <w:jc w:val="center"/>
              <w:textAlignment w:val="auto"/>
              <w:rPr>
                <w:rFonts w:hint="eastAsia" w:ascii="仿宋_GB2312" w:hAnsi="仿宋_GB2312" w:eastAsia="仿宋_GB2312" w:cs="仿宋_GB2312"/>
                <w:kern w:val="0"/>
                <w:sz w:val="24"/>
                <w:szCs w:val="24"/>
                <w:highlight w:val="none"/>
                <w:lang w:val="en-US" w:eastAsia="zh-CN" w:bidi="ar-SA"/>
              </w:rPr>
            </w:pPr>
            <w:r>
              <w:rPr>
                <w:rFonts w:hint="eastAsia" w:ascii="仿宋_GB2312" w:hAnsi="仿宋_GB2312" w:eastAsia="仿宋_GB2312" w:cs="仿宋_GB2312"/>
                <w:kern w:val="0"/>
                <w:sz w:val="24"/>
                <w:szCs w:val="24"/>
                <w:highlight w:val="none"/>
                <w:lang w:val="en-US" w:eastAsia="zh-CN" w:bidi="ar-SA"/>
              </w:rPr>
              <w:t>家</w:t>
            </w:r>
          </w:p>
        </w:tc>
        <w:tc>
          <w:tcPr>
            <w:tcW w:w="937"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20"/>
              <w:pageBreakBefore w:val="0"/>
              <w:widowControl/>
              <w:kinsoku/>
              <w:wordWrap/>
              <w:overflowPunct/>
              <w:topLinePunct w:val="0"/>
              <w:autoSpaceDE/>
              <w:bidi w:val="0"/>
              <w:adjustRightInd/>
              <w:spacing w:beforeAutospacing="0" w:afterAutospacing="0" w:line="575" w:lineRule="exact"/>
              <w:jc w:val="center"/>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3</w:t>
            </w:r>
          </w:p>
        </w:tc>
        <w:tc>
          <w:tcPr>
            <w:tcW w:w="1113"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20"/>
              <w:pageBreakBefore w:val="0"/>
              <w:widowControl/>
              <w:kinsoku/>
              <w:wordWrap/>
              <w:overflowPunct/>
              <w:topLinePunct w:val="0"/>
              <w:autoSpaceDE/>
              <w:bidi w:val="0"/>
              <w:adjustRightInd/>
              <w:spacing w:beforeAutospacing="0" w:afterAutospacing="0" w:line="575" w:lineRule="exact"/>
              <w:jc w:val="center"/>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5</w:t>
            </w:r>
          </w:p>
        </w:tc>
        <w:tc>
          <w:tcPr>
            <w:tcW w:w="1142"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20"/>
              <w:pageBreakBefore w:val="0"/>
              <w:widowControl/>
              <w:kinsoku/>
              <w:wordWrap/>
              <w:overflowPunct/>
              <w:topLinePunct w:val="0"/>
              <w:autoSpaceDE/>
              <w:bidi w:val="0"/>
              <w:adjustRightInd/>
              <w:spacing w:beforeAutospacing="0" w:afterAutospacing="0" w:line="575" w:lineRule="exact"/>
              <w:jc w:val="center"/>
              <w:textAlignment w:val="auto"/>
              <w:rPr>
                <w:rFonts w:hint="default"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7</w:t>
            </w:r>
          </w:p>
        </w:tc>
      </w:tr>
    </w:tbl>
    <w:p>
      <w:pPr>
        <w:pageBreakBefore w:val="0"/>
        <w:kinsoku/>
        <w:wordWrap/>
        <w:overflowPunct/>
        <w:topLinePunct w:val="0"/>
        <w:autoSpaceDE/>
        <w:bidi w:val="0"/>
        <w:adjustRightInd/>
        <w:spacing w:line="575" w:lineRule="exact"/>
        <w:ind w:firstLine="640" w:firstLineChars="200"/>
        <w:textAlignment w:val="auto"/>
        <w:rPr>
          <w:rFonts w:hint="eastAsia" w:ascii="仿宋_GB2312" w:hAnsi="仿宋_GB2312" w:eastAsia="仿宋_GB2312" w:cs="仿宋_GB2312"/>
          <w:szCs w:val="32"/>
          <w:highlight w:val="none"/>
        </w:rPr>
      </w:pPr>
    </w:p>
    <w:p>
      <w:pPr>
        <w:pageBreakBefore w:val="0"/>
        <w:kinsoku/>
        <w:wordWrap/>
        <w:overflowPunct/>
        <w:topLinePunct w:val="0"/>
        <w:autoSpaceDE/>
        <w:bidi w:val="0"/>
        <w:adjustRightInd/>
        <w:spacing w:line="575" w:lineRule="exact"/>
        <w:ind w:firstLine="640" w:firstLineChars="200"/>
        <w:textAlignment w:val="auto"/>
        <w:rPr>
          <w:rFonts w:ascii="仿宋_GB2312" w:hAnsi="仿宋_GB2312" w:eastAsia="仿宋_GB2312" w:cs="仿宋_GB2312"/>
          <w:szCs w:val="32"/>
          <w:highlight w:val="none"/>
        </w:rPr>
      </w:pPr>
      <w:r>
        <w:rPr>
          <w:rFonts w:hint="eastAsia" w:ascii="仿宋_GB2312" w:hAnsi="仿宋_GB2312" w:eastAsia="仿宋_GB2312" w:cs="仿宋_GB2312"/>
          <w:szCs w:val="32"/>
          <w:highlight w:val="none"/>
        </w:rPr>
        <w:t>面对新形势、新任务、新要求，对标一流水平、更高标准，鄂尔多斯人才工作还面临一些问题，集中表现在：一是人才竞争力和能级不够强，高层次、高技能人才和高端企业经营管理人才规模与鄂尔多斯高质量发展的要求之间还不匹配，受区位条件、产业特征、环境氛围等多种因素制约，人才引留难度加大。二是大平台、好平台、新平台不多，产才融合、产学研协同的力度不强，对人才的吸附能力、集成服务能力、潜能释放能力不足。三是以市场为导向的人才机制相对滞后，人力资源市场发育落后，专业服务机构数量少、规模小、专业化和体系化程度低。四是人才政策竞争力、影响力、作用力</w:t>
      </w:r>
      <w:r>
        <w:rPr>
          <w:rFonts w:hint="eastAsia" w:ascii="仿宋_GB2312" w:hAnsi="仿宋_GB2312" w:eastAsia="仿宋_GB2312" w:cs="仿宋_GB2312"/>
          <w:szCs w:val="32"/>
          <w:highlight w:val="none"/>
          <w:lang w:val="en-US" w:eastAsia="zh-CN"/>
        </w:rPr>
        <w:t>不够强</w:t>
      </w:r>
      <w:r>
        <w:rPr>
          <w:rFonts w:hint="eastAsia" w:ascii="仿宋_GB2312" w:hAnsi="仿宋_GB2312" w:eastAsia="仿宋_GB2312" w:cs="仿宋_GB2312"/>
          <w:szCs w:val="32"/>
          <w:highlight w:val="none"/>
        </w:rPr>
        <w:t>，人才工作品牌影响力不够响，人才发展生态有待进一步优化，人才工作合力有待进一步集聚，人才对鄂尔多斯的归属感、满意度还有待进一步提升。五是人才资金投入规模还不够大，与地区财政收入不匹配，和发达地区相比差距较大，人才项目、人才计划绩效评估还需加强、人才投入效率还有待提升。</w:t>
      </w:r>
    </w:p>
    <w:p>
      <w:pPr>
        <w:keepNext/>
        <w:keepLines/>
        <w:pageBreakBefore w:val="0"/>
        <w:numPr>
          <w:ilvl w:val="0"/>
          <w:numId w:val="1"/>
        </w:numPr>
        <w:kinsoku/>
        <w:wordWrap/>
        <w:overflowPunct/>
        <w:topLinePunct w:val="0"/>
        <w:autoSpaceDE/>
        <w:bidi w:val="0"/>
        <w:adjustRightInd/>
        <w:spacing w:line="575" w:lineRule="exact"/>
        <w:ind w:firstLine="640" w:firstLineChars="200"/>
        <w:textAlignment w:val="auto"/>
        <w:outlineLvl w:val="0"/>
        <w:rPr>
          <w:rFonts w:ascii="黑体" w:hAnsi="黑体" w:eastAsia="黑体" w:cs="黑体"/>
          <w:bCs/>
          <w:kern w:val="44"/>
          <w:szCs w:val="32"/>
          <w:highlight w:val="none"/>
        </w:rPr>
      </w:pPr>
      <w:bookmarkStart w:id="2" w:name="_Toc91188872"/>
      <w:bookmarkStart w:id="3" w:name="_Toc5922"/>
      <w:bookmarkStart w:id="4" w:name="_Toc88490267"/>
      <w:r>
        <w:rPr>
          <w:rFonts w:hint="eastAsia" w:ascii="黑体" w:hAnsi="黑体" w:eastAsia="黑体" w:cs="黑体"/>
          <w:bCs/>
          <w:kern w:val="44"/>
          <w:szCs w:val="32"/>
          <w:highlight w:val="none"/>
        </w:rPr>
        <w:t>“十四五”面临的形势、指导思想、</w:t>
      </w:r>
      <w:r>
        <w:rPr>
          <w:rFonts w:hint="eastAsia" w:ascii="黑体" w:hAnsi="黑体" w:eastAsia="黑体" w:cs="黑体"/>
          <w:bCs/>
          <w:kern w:val="44"/>
          <w:szCs w:val="32"/>
          <w:highlight w:val="none"/>
          <w:lang w:val="en-US" w:eastAsia="zh-CN"/>
        </w:rPr>
        <w:t>主要</w:t>
      </w:r>
      <w:r>
        <w:rPr>
          <w:rFonts w:hint="eastAsia" w:ascii="黑体" w:hAnsi="黑体" w:eastAsia="黑体" w:cs="黑体"/>
          <w:bCs/>
          <w:kern w:val="44"/>
          <w:szCs w:val="32"/>
          <w:highlight w:val="none"/>
        </w:rPr>
        <w:t>目标</w:t>
      </w:r>
      <w:bookmarkEnd w:id="2"/>
      <w:bookmarkEnd w:id="3"/>
      <w:bookmarkEnd w:id="4"/>
    </w:p>
    <w:p>
      <w:pPr>
        <w:keepNext/>
        <w:keepLines/>
        <w:pageBreakBefore w:val="0"/>
        <w:numPr>
          <w:ilvl w:val="0"/>
          <w:numId w:val="2"/>
        </w:numPr>
        <w:kinsoku/>
        <w:wordWrap/>
        <w:overflowPunct/>
        <w:topLinePunct w:val="0"/>
        <w:autoSpaceDE/>
        <w:bidi w:val="0"/>
        <w:adjustRightInd/>
        <w:spacing w:line="575" w:lineRule="exact"/>
        <w:ind w:firstLine="640" w:firstLineChars="200"/>
        <w:jc w:val="left"/>
        <w:textAlignment w:val="auto"/>
        <w:outlineLvl w:val="1"/>
        <w:rPr>
          <w:rFonts w:ascii="楷体_GB2312" w:hAnsi="楷体_GB2312" w:eastAsia="楷体_GB2312" w:cs="楷体_GB2312"/>
          <w:bCs/>
          <w:szCs w:val="32"/>
          <w:highlight w:val="none"/>
          <w:lang w:val="zh-CN" w:bidi="zh-CN"/>
        </w:rPr>
      </w:pPr>
      <w:bookmarkStart w:id="5" w:name="_Toc91188873"/>
      <w:bookmarkStart w:id="6" w:name="_Toc12880"/>
      <w:bookmarkStart w:id="7" w:name="_Toc88490268"/>
      <w:r>
        <w:rPr>
          <w:rFonts w:hint="eastAsia" w:ascii="楷体_GB2312" w:hAnsi="楷体_GB2312" w:eastAsia="楷体_GB2312" w:cs="楷体_GB2312"/>
          <w:bCs/>
          <w:szCs w:val="32"/>
          <w:highlight w:val="none"/>
          <w:lang w:val="zh-CN" w:bidi="zh-CN"/>
        </w:rPr>
        <w:t>面临形势</w:t>
      </w:r>
      <w:bookmarkEnd w:id="5"/>
      <w:bookmarkEnd w:id="6"/>
      <w:bookmarkEnd w:id="7"/>
    </w:p>
    <w:p>
      <w:pPr>
        <w:pageBreakBefore w:val="0"/>
        <w:kinsoku/>
        <w:wordWrap/>
        <w:overflowPunct/>
        <w:topLinePunct w:val="0"/>
        <w:autoSpaceDE/>
        <w:bidi w:val="0"/>
        <w:adjustRightInd/>
        <w:spacing w:line="575" w:lineRule="exact"/>
        <w:ind w:firstLine="643" w:firstLineChars="200"/>
        <w:textAlignment w:val="auto"/>
        <w:rPr>
          <w:rFonts w:ascii="仿宋_GB2312" w:hAnsi="仿宋_GB2312" w:eastAsia="仿宋_GB2312" w:cs="仿宋_GB2312"/>
          <w:b/>
          <w:szCs w:val="32"/>
          <w:highlight w:val="none"/>
        </w:rPr>
      </w:pPr>
      <w:r>
        <w:rPr>
          <w:rFonts w:hint="eastAsia" w:ascii="仿宋_GB2312" w:hAnsi="仿宋_GB2312" w:eastAsia="仿宋_GB2312" w:cs="仿宋_GB2312"/>
          <w:b/>
          <w:szCs w:val="32"/>
          <w:highlight w:val="none"/>
        </w:rPr>
        <w:t>从世情来看，</w:t>
      </w:r>
      <w:r>
        <w:rPr>
          <w:rFonts w:hint="eastAsia" w:ascii="仿宋_GB2312" w:hAnsi="仿宋_GB2312" w:eastAsia="仿宋_GB2312" w:cs="仿宋_GB2312"/>
          <w:szCs w:val="32"/>
          <w:highlight w:val="none"/>
        </w:rPr>
        <w:t>世界处于百年未有之大变局，世界多极化、</w:t>
      </w:r>
      <w:r>
        <w:rPr>
          <w:rFonts w:hint="eastAsia" w:ascii="仿宋_GB2312" w:hAnsi="仿宋_GB2312" w:eastAsia="仿宋_GB2312" w:cs="仿宋_GB2312"/>
          <w:color w:val="000000" w:themeColor="text1"/>
          <w:szCs w:val="32"/>
          <w:highlight w:val="none"/>
          <w14:textFill>
            <w14:solidFill>
              <w14:schemeClr w14:val="tx1"/>
            </w14:solidFill>
          </w14:textFill>
        </w:rPr>
        <w:t>经济全球化深刻变化</w:t>
      </w:r>
      <w:r>
        <w:rPr>
          <w:rFonts w:hint="eastAsia" w:ascii="仿宋_GB2312" w:hAnsi="仿宋_GB2312" w:eastAsia="仿宋_GB2312" w:cs="仿宋_GB2312"/>
          <w:szCs w:val="32"/>
          <w:highlight w:val="none"/>
        </w:rPr>
        <w:t>，新一轮科技革命和产业变革加速演进，世界经济发展动力发生</w:t>
      </w:r>
      <w:r>
        <w:rPr>
          <w:rFonts w:hint="eastAsia" w:ascii="仿宋_GB2312" w:hAnsi="仿宋_GB2312" w:eastAsia="仿宋_GB2312" w:cs="仿宋_GB2312"/>
          <w:szCs w:val="32"/>
          <w:highlight w:val="none"/>
          <w:lang w:val="en-US" w:eastAsia="zh-CN"/>
        </w:rPr>
        <w:t>重大变迁</w:t>
      </w:r>
      <w:r>
        <w:rPr>
          <w:rFonts w:hint="eastAsia" w:ascii="仿宋_GB2312" w:hAnsi="仿宋_GB2312" w:eastAsia="仿宋_GB2312" w:cs="仿宋_GB2312"/>
          <w:szCs w:val="32"/>
          <w:highlight w:val="none"/>
        </w:rPr>
        <w:t>，全球产业链、供应链、创新链、人才链发生深刻变革。创新成为赢得竞争的</w:t>
      </w:r>
      <w:r>
        <w:rPr>
          <w:rFonts w:hint="eastAsia" w:ascii="仿宋_GB2312" w:hAnsi="仿宋_GB2312" w:eastAsia="仿宋_GB2312" w:cs="仿宋_GB2312"/>
          <w:color w:val="000000" w:themeColor="text1"/>
          <w:szCs w:val="32"/>
          <w:highlight w:val="none"/>
          <w14:textFill>
            <w14:solidFill>
              <w14:schemeClr w14:val="tx1"/>
            </w14:solidFill>
          </w14:textFill>
        </w:rPr>
        <w:t>重要关键，人才成为赢得未来的战略资源。面对世界</w:t>
      </w:r>
      <w:r>
        <w:rPr>
          <w:rFonts w:hint="eastAsia" w:ascii="仿宋_GB2312" w:hAnsi="仿宋_GB2312" w:eastAsia="仿宋_GB2312" w:cs="仿宋_GB2312"/>
          <w:szCs w:val="32"/>
          <w:highlight w:val="none"/>
        </w:rPr>
        <w:t>变局、把握发展态势，必须把人才和创新作为应对变局的关键变量，化压力为动力、变挑战为机遇，需要创造新的发展动力和机遇。</w:t>
      </w:r>
    </w:p>
    <w:p>
      <w:pPr>
        <w:pageBreakBefore w:val="0"/>
        <w:kinsoku/>
        <w:wordWrap/>
        <w:overflowPunct/>
        <w:topLinePunct w:val="0"/>
        <w:autoSpaceDE/>
        <w:bidi w:val="0"/>
        <w:adjustRightInd/>
        <w:spacing w:line="575" w:lineRule="exact"/>
        <w:ind w:firstLine="643" w:firstLineChars="200"/>
        <w:textAlignment w:val="auto"/>
        <w:rPr>
          <w:rFonts w:ascii="仿宋_GB2312" w:hAnsi="仿宋_GB2312" w:eastAsia="仿宋_GB2312" w:cs="仿宋_GB2312"/>
          <w:szCs w:val="32"/>
          <w:highlight w:val="none"/>
        </w:rPr>
      </w:pPr>
      <w:r>
        <w:rPr>
          <w:rFonts w:hint="eastAsia" w:ascii="仿宋_GB2312" w:hAnsi="仿宋_GB2312" w:eastAsia="仿宋_GB2312" w:cs="仿宋_GB2312"/>
          <w:b/>
          <w:szCs w:val="32"/>
          <w:highlight w:val="none"/>
        </w:rPr>
        <w:t>从国情区情来看，</w:t>
      </w:r>
      <w:r>
        <w:rPr>
          <w:rFonts w:hint="eastAsia" w:ascii="仿宋_GB2312" w:hAnsi="仿宋_GB2312" w:eastAsia="仿宋_GB2312" w:cs="仿宋_GB2312"/>
          <w:szCs w:val="32"/>
          <w:highlight w:val="none"/>
        </w:rPr>
        <w:t>“十四五”时期是我国全面建成小康社会、实现第一个百年奋斗目标之后，乘势而上开启全面建设社会主义现代化国家新征程</w:t>
      </w:r>
      <w:r>
        <w:rPr>
          <w:rFonts w:hint="eastAsia" w:ascii="仿宋_GB2312" w:hAnsi="仿宋_GB2312" w:eastAsia="仿宋_GB2312" w:cs="仿宋_GB2312"/>
          <w:szCs w:val="32"/>
          <w:highlight w:val="none"/>
          <w:lang w:eastAsia="zh-CN"/>
        </w:rPr>
        <w:t>，</w:t>
      </w:r>
      <w:r>
        <w:rPr>
          <w:rFonts w:hint="eastAsia" w:ascii="仿宋_GB2312" w:hAnsi="仿宋_GB2312" w:eastAsia="仿宋_GB2312" w:cs="仿宋_GB2312"/>
          <w:szCs w:val="32"/>
          <w:highlight w:val="none"/>
        </w:rPr>
        <w:t>向第二个百年奋斗目标进军的第一个五年，也是内蒙古走好以生态优先、绿色发展为导向的高质量发展新路子，实现新的更大发展的关键时期。实现奋斗目标，走好高质量发展新路子，高水平科技自立自强是关键，人才发展是基础，必须做到“八个坚持”“四个面向”，广泛集聚人才，科学培养、用好用活人才，让人才成为推动高质量发展的动力。</w:t>
      </w:r>
    </w:p>
    <w:p>
      <w:pPr>
        <w:pageBreakBefore w:val="0"/>
        <w:kinsoku/>
        <w:wordWrap/>
        <w:overflowPunct/>
        <w:topLinePunct w:val="0"/>
        <w:autoSpaceDE/>
        <w:bidi w:val="0"/>
        <w:adjustRightInd/>
        <w:spacing w:line="575" w:lineRule="exact"/>
        <w:ind w:firstLine="643" w:firstLineChars="200"/>
        <w:textAlignment w:val="auto"/>
        <w:rPr>
          <w:rFonts w:ascii="仿宋_GB2312" w:hAnsi="仿宋_GB2312" w:eastAsia="仿宋_GB2312" w:cs="仿宋_GB2312"/>
          <w:szCs w:val="32"/>
          <w:highlight w:val="none"/>
        </w:rPr>
      </w:pPr>
      <w:r>
        <w:rPr>
          <w:rFonts w:hint="eastAsia" w:ascii="仿宋_GB2312" w:hAnsi="仿宋_GB2312" w:eastAsia="仿宋_GB2312" w:cs="仿宋_GB2312"/>
          <w:b/>
          <w:szCs w:val="32"/>
          <w:highlight w:val="none"/>
        </w:rPr>
        <w:t>从市情来看</w:t>
      </w:r>
      <w:r>
        <w:rPr>
          <w:rFonts w:hint="eastAsia" w:ascii="仿宋_GB2312" w:hAnsi="仿宋_GB2312" w:eastAsia="仿宋_GB2312" w:cs="仿宋_GB2312"/>
          <w:szCs w:val="32"/>
          <w:highlight w:val="none"/>
        </w:rPr>
        <w:t>，随着新一轮西部大开发、黄河流域生态保护和高质量发展、以国内大循环为主体、国内国际双循环相互促进新发展格局等一系列重大国家战略的深入实施，鄂尔多斯拥有多重叠加的发展机遇，具备更好推动以生态优先、绿色发展为导向的高质量发展的多方面有利条件。同时鄂尔多斯还面临着经济平稳健康发展基础还不牢固，综合发展水平还不适应高质量发展要求，产业转型升级尚未根本扭转，实现碳达峰、碳中和目标的挑战前所未有，生态环境保护任重道远等一系列挑战。面对新发展阶段高质量发展任务，必须在人才、创新上有新的突破，让人才成为鄂尔多斯发展的“源动力”，创新成为鄂尔多斯发展的“新引擎”。</w:t>
      </w:r>
    </w:p>
    <w:p>
      <w:pPr>
        <w:keepNext/>
        <w:keepLines/>
        <w:pageBreakBefore w:val="0"/>
        <w:numPr>
          <w:ilvl w:val="0"/>
          <w:numId w:val="2"/>
        </w:numPr>
        <w:kinsoku/>
        <w:wordWrap/>
        <w:overflowPunct/>
        <w:topLinePunct w:val="0"/>
        <w:autoSpaceDE/>
        <w:bidi w:val="0"/>
        <w:adjustRightInd/>
        <w:spacing w:line="575" w:lineRule="exact"/>
        <w:ind w:firstLine="640" w:firstLineChars="200"/>
        <w:jc w:val="left"/>
        <w:textAlignment w:val="auto"/>
        <w:outlineLvl w:val="1"/>
        <w:rPr>
          <w:rFonts w:ascii="楷体_GB2312" w:hAnsi="楷体_GB2312" w:eastAsia="楷体_GB2312" w:cs="楷体_GB2312"/>
          <w:bCs/>
          <w:szCs w:val="32"/>
          <w:highlight w:val="none"/>
          <w:lang w:val="zh-CN" w:bidi="zh-CN"/>
        </w:rPr>
      </w:pPr>
      <w:bookmarkStart w:id="8" w:name="_Toc91188874"/>
      <w:bookmarkStart w:id="9" w:name="_Toc88490269"/>
      <w:bookmarkStart w:id="10" w:name="_Toc20153"/>
      <w:r>
        <w:rPr>
          <w:rFonts w:hint="eastAsia" w:ascii="楷体_GB2312" w:hAnsi="楷体_GB2312" w:eastAsia="楷体_GB2312" w:cs="楷体_GB2312"/>
          <w:bCs/>
          <w:szCs w:val="32"/>
          <w:highlight w:val="none"/>
          <w:lang w:val="zh-CN" w:bidi="zh-CN"/>
        </w:rPr>
        <w:t>指导思想</w:t>
      </w:r>
      <w:bookmarkEnd w:id="8"/>
      <w:bookmarkEnd w:id="9"/>
      <w:bookmarkEnd w:id="10"/>
    </w:p>
    <w:p>
      <w:pPr>
        <w:pStyle w:val="2"/>
        <w:pageBreakBefore w:val="0"/>
        <w:kinsoku/>
        <w:wordWrap/>
        <w:overflowPunct/>
        <w:topLinePunct w:val="0"/>
        <w:autoSpaceDE/>
        <w:bidi w:val="0"/>
        <w:adjustRightInd/>
        <w:spacing w:before="0" w:line="575" w:lineRule="exact"/>
        <w:ind w:left="0" w:leftChars="0" w:firstLine="640" w:firstLineChars="200"/>
        <w:textAlignment w:val="auto"/>
        <w:rPr>
          <w:rFonts w:hint="eastAsia" w:ascii="仿宋_GB2312" w:hAnsi="仿宋_GB2312" w:eastAsia="仿宋_GB2312" w:cs="仿宋_GB2312"/>
          <w:kern w:val="2"/>
          <w:sz w:val="32"/>
          <w:szCs w:val="32"/>
          <w:highlight w:val="none"/>
          <w:lang w:val="zh-CN" w:eastAsia="zh-CN" w:bidi="ar-SA"/>
        </w:rPr>
      </w:pPr>
      <w:r>
        <w:rPr>
          <w:rFonts w:hint="eastAsia" w:ascii="仿宋_GB2312" w:hAnsi="仿宋_GB2312" w:eastAsia="仿宋_GB2312" w:cs="仿宋_GB2312"/>
          <w:kern w:val="2"/>
          <w:sz w:val="32"/>
          <w:szCs w:val="32"/>
          <w:highlight w:val="none"/>
          <w:lang w:val="zh-CN" w:eastAsia="zh-CN" w:bidi="ar-SA"/>
        </w:rPr>
        <w:t>以习近平新时代中国特色社会主义思想为指导，深入贯彻党的十九大和十九届二中、三中、四中、五中、六中全会精神及习近平总书记关于新时代人才工作的新理念新战略新举措，牢固确立人才引领发展的战略地位，全面落实中央、自治区党委和市委人才工作会议精神。坚持党管人才，坚持“四个面向”，坚定不移贯彻新发展理念，坚持稳中求进工作总基调，以推动高质量发展为主题，以深化供给侧结构性改革为主线，以改革创新为根本动力，以满足人民日益增长的美好生活需要为根本目的。聚焦自治区“两个屏障”“两个基地”和“一个桥头堡”的战略定位，主动融入“一心多点”人才工作新格局，大力实施“人才鄂尔多斯战略”。坚持党管人才，坚持“四个面向”，坚持遵循人才成长规律，按照市第五次党代会要求，结合鄂尔多斯自身特点和发展阶段，全方位培养、引进、用好人才，提高人才资源配置能力、服务能力、发展能力，着力打造一支数量充足、结构合理、素质优良、作用突出的人才队伍。实行更加积极、更加开放、更加有效的人才政策，更好激发人才创新创业创造活力，构建聚才育才用才优良环境，营造“近悦远来”的人才生态，为“走好新路子、建设先行区”提供强大人才保障和智力支撑。</w:t>
      </w:r>
    </w:p>
    <w:p>
      <w:pPr>
        <w:keepNext/>
        <w:keepLines/>
        <w:pageBreakBefore w:val="0"/>
        <w:numPr>
          <w:ilvl w:val="0"/>
          <w:numId w:val="2"/>
        </w:numPr>
        <w:kinsoku/>
        <w:wordWrap/>
        <w:overflowPunct/>
        <w:topLinePunct w:val="0"/>
        <w:autoSpaceDE/>
        <w:bidi w:val="0"/>
        <w:adjustRightInd/>
        <w:spacing w:line="575" w:lineRule="exact"/>
        <w:ind w:firstLine="640" w:firstLineChars="200"/>
        <w:jc w:val="left"/>
        <w:textAlignment w:val="auto"/>
        <w:outlineLvl w:val="1"/>
        <w:rPr>
          <w:rFonts w:ascii="楷体_GB2312" w:hAnsi="楷体_GB2312" w:eastAsia="楷体_GB2312" w:cs="楷体_GB2312"/>
          <w:bCs/>
          <w:szCs w:val="32"/>
          <w:highlight w:val="none"/>
          <w:lang w:val="zh-CN" w:bidi="zh-CN"/>
        </w:rPr>
      </w:pPr>
      <w:bookmarkStart w:id="11" w:name="_Toc88490270"/>
      <w:bookmarkStart w:id="12" w:name="_Toc25300"/>
      <w:bookmarkStart w:id="13" w:name="_Toc91188875"/>
      <w:r>
        <w:rPr>
          <w:rFonts w:hint="eastAsia" w:ascii="楷体_GB2312" w:hAnsi="楷体_GB2312" w:eastAsia="楷体_GB2312" w:cs="楷体_GB2312"/>
          <w:bCs/>
          <w:szCs w:val="32"/>
          <w:highlight w:val="none"/>
          <w:lang w:val="en-US" w:bidi="zh-CN"/>
        </w:rPr>
        <w:t>主要</w:t>
      </w:r>
      <w:r>
        <w:rPr>
          <w:rFonts w:hint="eastAsia" w:ascii="楷体_GB2312" w:hAnsi="楷体_GB2312" w:eastAsia="楷体_GB2312" w:cs="楷体_GB2312"/>
          <w:bCs/>
          <w:szCs w:val="32"/>
          <w:highlight w:val="none"/>
          <w:lang w:val="zh-CN" w:bidi="zh-CN"/>
        </w:rPr>
        <w:t>目标</w:t>
      </w:r>
      <w:bookmarkEnd w:id="11"/>
      <w:bookmarkEnd w:id="12"/>
      <w:bookmarkEnd w:id="13"/>
    </w:p>
    <w:p>
      <w:pPr>
        <w:pageBreakBefore w:val="0"/>
        <w:kinsoku/>
        <w:wordWrap/>
        <w:overflowPunct/>
        <w:topLinePunct w:val="0"/>
        <w:autoSpaceDE/>
        <w:bidi w:val="0"/>
        <w:adjustRightInd/>
        <w:spacing w:line="575" w:lineRule="exact"/>
        <w:ind w:firstLine="672" w:firstLineChars="200"/>
        <w:textAlignment w:val="auto"/>
        <w:rPr>
          <w:rFonts w:hint="eastAsia" w:ascii="仿宋_GB2312" w:hAnsi="仿宋_GB2312" w:eastAsia="仿宋_GB2312" w:cs="仿宋_GB2312"/>
          <w:color w:val="000000" w:themeColor="text1"/>
          <w:spacing w:val="8"/>
          <w:highlight w:val="none"/>
          <w:shd w:val="clear" w:color="auto" w:fill="FFFFFF"/>
          <w:lang w:val="en-US"/>
          <w14:textFill>
            <w14:solidFill>
              <w14:schemeClr w14:val="tx1"/>
            </w14:solidFill>
          </w14:textFill>
        </w:rPr>
      </w:pPr>
      <w:r>
        <w:rPr>
          <w:rFonts w:hint="eastAsia" w:ascii="仿宋_GB2312" w:hAnsi="仿宋_GB2312" w:eastAsia="仿宋_GB2312" w:cs="仿宋_GB2312"/>
          <w:color w:val="000000" w:themeColor="text1"/>
          <w:spacing w:val="8"/>
          <w:highlight w:val="none"/>
          <w:shd w:val="clear" w:color="auto" w:fill="FFFFFF"/>
          <w:lang w:val="en-US"/>
          <w14:textFill>
            <w14:solidFill>
              <w14:schemeClr w14:val="tx1"/>
            </w14:solidFill>
          </w14:textFill>
        </w:rPr>
        <w:t>力争通过5年努力，</w:t>
      </w:r>
      <w:r>
        <w:rPr>
          <w:rFonts w:hint="eastAsia" w:ascii="仿宋_GB2312" w:hAnsi="仿宋_GB2312" w:eastAsia="仿宋_GB2312" w:cs="仿宋_GB2312"/>
          <w:color w:val="000000" w:themeColor="text1"/>
          <w:spacing w:val="8"/>
          <w:highlight w:val="none"/>
          <w:shd w:val="clear" w:color="auto" w:fill="FFFFFF"/>
          <w:lang w:val="en-US" w:eastAsia="zh-CN"/>
          <w14:textFill>
            <w14:solidFill>
              <w14:schemeClr w14:val="tx1"/>
            </w14:solidFill>
          </w14:textFill>
        </w:rPr>
        <w:t>实现</w:t>
      </w:r>
      <w:r>
        <w:rPr>
          <w:rFonts w:hint="eastAsia" w:ascii="仿宋_GB2312" w:hAnsi="仿宋_GB2312" w:eastAsia="仿宋_GB2312" w:cs="仿宋_GB2312"/>
          <w:color w:val="000000" w:themeColor="text1"/>
          <w:spacing w:val="8"/>
          <w:highlight w:val="none"/>
          <w:shd w:val="clear" w:color="auto" w:fill="FFFFFF"/>
          <w:lang w:val="en-US"/>
          <w14:textFill>
            <w14:solidFill>
              <w14:schemeClr w14:val="tx1"/>
            </w14:solidFill>
          </w14:textFill>
        </w:rPr>
        <w:t>人才发展体制机制改革持续推进，人才精准引进水平和自主培养能力明显提高，人才创新创业承载平台更为完备，人才服务保障体系更加完善，人才队伍规模、结构、质量得到系统提升</w:t>
      </w:r>
      <w:r>
        <w:rPr>
          <w:rFonts w:hint="eastAsia" w:ascii="仿宋_GB2312" w:hAnsi="仿宋_GB2312" w:eastAsia="仿宋_GB2312" w:cs="仿宋_GB2312"/>
          <w:color w:val="000000" w:themeColor="text1"/>
          <w:spacing w:val="8"/>
          <w:highlight w:val="none"/>
          <w:shd w:val="clear" w:color="auto" w:fill="FFFFFF"/>
          <w:lang w:val="en-US" w:eastAsia="zh-CN"/>
          <w14:textFill>
            <w14:solidFill>
              <w14:schemeClr w14:val="tx1"/>
            </w14:solidFill>
          </w14:textFill>
        </w:rPr>
        <w:t>。</w:t>
      </w:r>
      <w:r>
        <w:rPr>
          <w:rFonts w:hint="eastAsia" w:ascii="仿宋_GB2312" w:hAnsi="仿宋_GB2312" w:eastAsia="仿宋_GB2312" w:cs="仿宋_GB2312"/>
          <w:color w:val="000000" w:themeColor="text1"/>
          <w:spacing w:val="8"/>
          <w:highlight w:val="none"/>
          <w:shd w:val="clear" w:color="auto" w:fill="FFFFFF"/>
          <w:lang w:val="en-US"/>
          <w14:textFill>
            <w14:solidFill>
              <w14:schemeClr w14:val="tx1"/>
            </w14:solidFill>
          </w14:textFill>
        </w:rPr>
        <w:t>以产业集聚人才、以人才引领产业取得重要进展，在重点领域区域建成若干高层次人才集聚平台、拥有一批一流科技人才和创新团队，打造中西部地区重要人才中心和创新高地。</w:t>
      </w:r>
    </w:p>
    <w:p>
      <w:pPr>
        <w:pageBreakBefore w:val="0"/>
        <w:kinsoku/>
        <w:wordWrap/>
        <w:overflowPunct/>
        <w:topLinePunct w:val="0"/>
        <w:autoSpaceDE/>
        <w:bidi w:val="0"/>
        <w:adjustRightInd/>
        <w:spacing w:line="575" w:lineRule="exact"/>
        <w:ind w:firstLine="672" w:firstLineChars="200"/>
        <w:textAlignment w:val="auto"/>
        <w:rPr>
          <w:rFonts w:hint="eastAsia" w:ascii="仿宋_GB2312" w:hAnsi="仿宋_GB2312" w:eastAsia="仿宋_GB2312" w:cs="仿宋_GB2312"/>
          <w:color w:val="000000" w:themeColor="text1"/>
          <w:spacing w:val="8"/>
          <w:highlight w:val="none"/>
          <w:shd w:val="clear" w:color="auto" w:fill="FFFFFF"/>
          <w:lang w:val="en-US"/>
          <w14:textFill>
            <w14:solidFill>
              <w14:schemeClr w14:val="tx1"/>
            </w14:solidFill>
          </w14:textFill>
        </w:rPr>
      </w:pPr>
      <w:bookmarkStart w:id="14" w:name="_Toc91188876"/>
      <w:bookmarkStart w:id="15" w:name="_Toc88490271"/>
      <w:r>
        <w:rPr>
          <w:rFonts w:hint="eastAsia" w:ascii="仿宋_GB2312" w:hAnsi="仿宋_GB2312" w:eastAsia="仿宋_GB2312" w:cs="仿宋_GB2312"/>
          <w:color w:val="000000" w:themeColor="text1"/>
          <w:spacing w:val="8"/>
          <w:highlight w:val="none"/>
          <w:shd w:val="clear" w:color="auto" w:fill="FFFFFF"/>
          <w:lang w:val="en-US" w:eastAsia="zh-CN"/>
          <w14:textFill>
            <w14:solidFill>
              <w14:schemeClr w14:val="tx1"/>
            </w14:solidFill>
          </w14:textFill>
        </w:rPr>
        <w:t>1.</w:t>
      </w:r>
      <w:r>
        <w:rPr>
          <w:rFonts w:hint="eastAsia" w:ascii="仿宋_GB2312" w:hAnsi="仿宋_GB2312" w:eastAsia="仿宋_GB2312" w:cs="仿宋_GB2312"/>
          <w:color w:val="000000" w:themeColor="text1"/>
          <w:spacing w:val="8"/>
          <w:highlight w:val="none"/>
          <w:shd w:val="clear" w:color="auto" w:fill="FFFFFF"/>
          <w:lang w:val="en-US"/>
          <w14:textFill>
            <w14:solidFill>
              <w14:schemeClr w14:val="tx1"/>
            </w14:solidFill>
          </w14:textFill>
        </w:rPr>
        <w:t>人才队伍不断扩大。人才总量稳步增长，队伍规模不断扩大。到2025年，全市人才资源总量达到5</w:t>
      </w:r>
      <w:r>
        <w:rPr>
          <w:rFonts w:hint="eastAsia" w:ascii="仿宋_GB2312" w:hAnsi="仿宋_GB2312" w:eastAsia="仿宋_GB2312" w:cs="仿宋_GB2312"/>
          <w:color w:val="000000" w:themeColor="text1"/>
          <w:spacing w:val="8"/>
          <w:highlight w:val="none"/>
          <w:shd w:val="clear" w:color="auto" w:fill="FFFFFF"/>
          <w:lang w:val="en-US" w:eastAsia="zh-CN"/>
          <w14:textFill>
            <w14:solidFill>
              <w14:schemeClr w14:val="tx1"/>
            </w14:solidFill>
          </w14:textFill>
        </w:rPr>
        <w:t>3.8</w:t>
      </w:r>
      <w:r>
        <w:rPr>
          <w:rFonts w:hint="eastAsia" w:ascii="仿宋_GB2312" w:hAnsi="仿宋_GB2312" w:eastAsia="仿宋_GB2312" w:cs="仿宋_GB2312"/>
          <w:color w:val="000000" w:themeColor="text1"/>
          <w:spacing w:val="8"/>
          <w:highlight w:val="none"/>
          <w:shd w:val="clear" w:color="auto" w:fill="FFFFFF"/>
          <w:lang w:val="en-US"/>
          <w14:textFill>
            <w14:solidFill>
              <w14:schemeClr w14:val="tx1"/>
            </w14:solidFill>
          </w14:textFill>
        </w:rPr>
        <w:t>万人，全市人才队伍整体素质和人才对经济社会发展的贡献率得到全面提升，人才发展总体水平在同类城市中保持比较优势。</w:t>
      </w:r>
    </w:p>
    <w:p>
      <w:pPr>
        <w:pageBreakBefore w:val="0"/>
        <w:kinsoku/>
        <w:wordWrap/>
        <w:overflowPunct/>
        <w:topLinePunct w:val="0"/>
        <w:autoSpaceDE/>
        <w:bidi w:val="0"/>
        <w:adjustRightInd/>
        <w:spacing w:line="575" w:lineRule="exact"/>
        <w:ind w:firstLine="672" w:firstLineChars="200"/>
        <w:textAlignment w:val="auto"/>
        <w:rPr>
          <w:rFonts w:hint="eastAsia" w:ascii="仿宋_GB2312" w:hAnsi="仿宋_GB2312" w:eastAsia="仿宋_GB2312" w:cs="仿宋_GB2312"/>
          <w:color w:val="000000" w:themeColor="text1"/>
          <w:spacing w:val="8"/>
          <w:highlight w:val="none"/>
          <w:shd w:val="clear" w:color="auto" w:fill="FFFFFF"/>
          <w:lang w:val="en-US"/>
          <w14:textFill>
            <w14:solidFill>
              <w14:schemeClr w14:val="tx1"/>
            </w14:solidFill>
          </w14:textFill>
        </w:rPr>
      </w:pPr>
      <w:r>
        <w:rPr>
          <w:rFonts w:hint="eastAsia" w:ascii="仿宋_GB2312" w:hAnsi="仿宋_GB2312" w:eastAsia="仿宋_GB2312" w:cs="仿宋_GB2312"/>
          <w:color w:val="000000" w:themeColor="text1"/>
          <w:spacing w:val="8"/>
          <w:highlight w:val="none"/>
          <w:shd w:val="clear" w:color="auto" w:fill="FFFFFF"/>
          <w:lang w:val="en-US" w:eastAsia="zh-CN"/>
          <w14:textFill>
            <w14:solidFill>
              <w14:schemeClr w14:val="tx1"/>
            </w14:solidFill>
          </w14:textFill>
        </w:rPr>
        <w:t>2.</w:t>
      </w:r>
      <w:r>
        <w:rPr>
          <w:rFonts w:hint="eastAsia" w:ascii="仿宋_GB2312" w:hAnsi="仿宋_GB2312" w:eastAsia="仿宋_GB2312" w:cs="仿宋_GB2312"/>
          <w:color w:val="000000" w:themeColor="text1"/>
          <w:spacing w:val="8"/>
          <w:highlight w:val="none"/>
          <w:shd w:val="clear" w:color="auto" w:fill="FFFFFF"/>
          <w:lang w:val="en-US"/>
          <w14:textFill>
            <w14:solidFill>
              <w14:schemeClr w14:val="tx1"/>
            </w14:solidFill>
          </w14:textFill>
        </w:rPr>
        <w:t>人才结构素质不断优化。围绕重点产业和重点领域的发展需要，着力引进培养经济社会高质量发展急需紧缺人才，实现高层次人才、高技能人才、高素质经营管理人才、高水平创新创业团队数量大幅提高。到2025年，高层次人才数量突破6万人，高层次人才占人才资源总量比例达到11%，每万</w:t>
      </w:r>
      <w:r>
        <w:rPr>
          <w:rFonts w:hint="eastAsia" w:ascii="仿宋_GB2312" w:hAnsi="仿宋_GB2312" w:eastAsia="仿宋_GB2312" w:cs="仿宋_GB2312"/>
          <w:color w:val="000000" w:themeColor="text1"/>
          <w:spacing w:val="8"/>
          <w:highlight w:val="none"/>
          <w:shd w:val="clear" w:color="auto" w:fill="FFFFFF"/>
          <w:lang w:val="en-US" w:eastAsia="zh-CN"/>
          <w14:textFill>
            <w14:solidFill>
              <w14:schemeClr w14:val="tx1"/>
            </w14:solidFill>
          </w14:textFill>
        </w:rPr>
        <w:t>名</w:t>
      </w:r>
      <w:r>
        <w:rPr>
          <w:rFonts w:hint="eastAsia" w:ascii="仿宋_GB2312" w:hAnsi="仿宋_GB2312" w:eastAsia="仿宋_GB2312" w:cs="仿宋_GB2312"/>
          <w:color w:val="000000" w:themeColor="text1"/>
          <w:spacing w:val="8"/>
          <w:highlight w:val="none"/>
          <w:shd w:val="clear" w:color="auto" w:fill="FFFFFF"/>
          <w:lang w:val="en-US"/>
          <w14:textFill>
            <w14:solidFill>
              <w14:schemeClr w14:val="tx1"/>
            </w14:solidFill>
          </w14:textFill>
        </w:rPr>
        <w:t>劳动力中研发人员达61人</w:t>
      </w:r>
      <w:r>
        <w:rPr>
          <w:rFonts w:hint="eastAsia" w:ascii="仿宋_GB2312" w:hAnsi="仿宋_GB2312" w:eastAsia="仿宋_GB2312" w:cs="仿宋_GB2312"/>
          <w:color w:val="000000" w:themeColor="text1"/>
          <w:spacing w:val="8"/>
          <w:highlight w:val="none"/>
          <w:shd w:val="clear" w:color="auto" w:fill="FFFFFF"/>
          <w:lang w:val="en-US" w:eastAsia="zh-CN"/>
          <w14:textFill>
            <w14:solidFill>
              <w14:schemeClr w14:val="tx1"/>
            </w14:solidFill>
          </w14:textFill>
        </w:rPr>
        <w:t>/</w:t>
      </w:r>
      <w:r>
        <w:rPr>
          <w:rFonts w:hint="eastAsia" w:ascii="仿宋_GB2312" w:hAnsi="仿宋_GB2312" w:eastAsia="仿宋_GB2312" w:cs="仿宋_GB2312"/>
          <w:color w:val="000000" w:themeColor="text1"/>
          <w:spacing w:val="8"/>
          <w:highlight w:val="none"/>
          <w:shd w:val="clear" w:color="auto" w:fill="FFFFFF"/>
          <w:lang w:val="en-US"/>
          <w14:textFill>
            <w14:solidFill>
              <w14:schemeClr w14:val="tx1"/>
            </w14:solidFill>
          </w14:textFill>
        </w:rPr>
        <w:t>年，高技能人才占技能劳动者比例达33%，人才素质大幅提升。</w:t>
      </w:r>
    </w:p>
    <w:p>
      <w:pPr>
        <w:pageBreakBefore w:val="0"/>
        <w:kinsoku/>
        <w:wordWrap/>
        <w:overflowPunct/>
        <w:topLinePunct w:val="0"/>
        <w:autoSpaceDE/>
        <w:bidi w:val="0"/>
        <w:adjustRightInd/>
        <w:spacing w:line="575" w:lineRule="exact"/>
        <w:ind w:firstLine="672" w:firstLineChars="200"/>
        <w:textAlignment w:val="auto"/>
        <w:rPr>
          <w:rFonts w:hint="eastAsia" w:ascii="仿宋_GB2312" w:hAnsi="仿宋_GB2312" w:eastAsia="仿宋_GB2312" w:cs="仿宋_GB2312"/>
          <w:color w:val="000000" w:themeColor="text1"/>
          <w:spacing w:val="8"/>
          <w:highlight w:val="none"/>
          <w:shd w:val="clear" w:color="auto" w:fill="FFFFFF"/>
          <w:lang w:val="en-US"/>
          <w14:textFill>
            <w14:solidFill>
              <w14:schemeClr w14:val="tx1"/>
            </w14:solidFill>
          </w14:textFill>
        </w:rPr>
      </w:pPr>
      <w:r>
        <w:rPr>
          <w:rFonts w:hint="eastAsia" w:ascii="仿宋_GB2312" w:hAnsi="仿宋_GB2312" w:eastAsia="仿宋_GB2312" w:cs="仿宋_GB2312"/>
          <w:color w:val="000000" w:themeColor="text1"/>
          <w:spacing w:val="8"/>
          <w:highlight w:val="none"/>
          <w:shd w:val="clear" w:color="auto" w:fill="FFFFFF"/>
          <w:lang w:val="en-US" w:eastAsia="zh-CN"/>
          <w14:textFill>
            <w14:solidFill>
              <w14:schemeClr w14:val="tx1"/>
            </w14:solidFill>
          </w14:textFill>
        </w:rPr>
        <w:t>3.</w:t>
      </w:r>
      <w:r>
        <w:rPr>
          <w:rFonts w:hint="eastAsia" w:ascii="仿宋_GB2312" w:hAnsi="仿宋_GB2312" w:eastAsia="仿宋_GB2312" w:cs="仿宋_GB2312"/>
          <w:color w:val="000000" w:themeColor="text1"/>
          <w:spacing w:val="8"/>
          <w:highlight w:val="none"/>
          <w:shd w:val="clear" w:color="auto" w:fill="FFFFFF"/>
          <w:lang w:val="en-US"/>
          <w14:textFill>
            <w14:solidFill>
              <w14:schemeClr w14:val="tx1"/>
            </w14:solidFill>
          </w14:textFill>
        </w:rPr>
        <w:t>人才竞争力不断提升。紧扣重点产业集群培育，加快领军型、专业型和实用型人才梯队集聚，着力推进人才链与产业链深度融合、互动发展。到2025年，形成煤化工、新能源、新材料、装备制造、羊绒纺织等重点产业人才集聚高地，人才规模效益显著提高。</w:t>
      </w:r>
    </w:p>
    <w:p>
      <w:pPr>
        <w:pageBreakBefore w:val="0"/>
        <w:kinsoku/>
        <w:wordWrap/>
        <w:overflowPunct/>
        <w:topLinePunct w:val="0"/>
        <w:autoSpaceDE/>
        <w:bidi w:val="0"/>
        <w:adjustRightInd/>
        <w:spacing w:line="575" w:lineRule="exact"/>
        <w:ind w:firstLine="672" w:firstLineChars="200"/>
        <w:textAlignment w:val="auto"/>
        <w:rPr>
          <w:rFonts w:hint="eastAsia" w:ascii="仿宋_GB2312" w:hAnsi="仿宋_GB2312" w:eastAsia="仿宋_GB2312" w:cs="仿宋_GB2312"/>
          <w:color w:val="000000" w:themeColor="text1"/>
          <w:spacing w:val="8"/>
          <w:highlight w:val="none"/>
          <w:shd w:val="clear" w:color="auto" w:fill="FFFFFF"/>
          <w:lang w:val="en-US"/>
          <w14:textFill>
            <w14:solidFill>
              <w14:schemeClr w14:val="tx1"/>
            </w14:solidFill>
          </w14:textFill>
        </w:rPr>
      </w:pPr>
      <w:r>
        <w:rPr>
          <w:rFonts w:hint="eastAsia" w:ascii="仿宋_GB2312" w:hAnsi="仿宋_GB2312" w:eastAsia="仿宋_GB2312" w:cs="仿宋_GB2312"/>
          <w:color w:val="000000" w:themeColor="text1"/>
          <w:spacing w:val="8"/>
          <w:highlight w:val="none"/>
          <w:shd w:val="clear" w:color="auto" w:fill="FFFFFF"/>
          <w:lang w:val="en-US" w:eastAsia="zh-CN"/>
          <w14:textFill>
            <w14:solidFill>
              <w14:schemeClr w14:val="tx1"/>
            </w14:solidFill>
          </w14:textFill>
        </w:rPr>
        <w:t>4.</w:t>
      </w:r>
      <w:r>
        <w:rPr>
          <w:rFonts w:hint="eastAsia" w:ascii="仿宋_GB2312" w:hAnsi="仿宋_GB2312" w:eastAsia="仿宋_GB2312" w:cs="仿宋_GB2312"/>
          <w:color w:val="000000" w:themeColor="text1"/>
          <w:spacing w:val="8"/>
          <w:highlight w:val="none"/>
          <w:shd w:val="clear" w:color="auto" w:fill="FFFFFF"/>
          <w:lang w:val="en-US"/>
          <w14:textFill>
            <w14:solidFill>
              <w14:schemeClr w14:val="tx1"/>
            </w14:solidFill>
          </w14:textFill>
        </w:rPr>
        <w:t>人才使用效能明显提高。到2025年，全社会研发经费投入大幅增长，R&amp;D经费投入强度达到国家平均水平，每万人发明专利拥有量达到5件，人才队伍整体素质和持续发展潜力全面提升，人才对经济社会发展的引领、促进作用明显增强，自主创新能力明显提升，全面建成国家创新型城市。</w:t>
      </w:r>
    </w:p>
    <w:p>
      <w:pPr>
        <w:pageBreakBefore w:val="0"/>
        <w:kinsoku/>
        <w:wordWrap/>
        <w:overflowPunct/>
        <w:topLinePunct w:val="0"/>
        <w:autoSpaceDE/>
        <w:bidi w:val="0"/>
        <w:adjustRightInd/>
        <w:spacing w:line="575" w:lineRule="exact"/>
        <w:ind w:firstLine="672" w:firstLineChars="200"/>
        <w:textAlignment w:val="auto"/>
        <w:rPr>
          <w:rFonts w:hint="eastAsia" w:ascii="仿宋_GB2312" w:hAnsi="仿宋_GB2312" w:eastAsia="仿宋_GB2312" w:cs="仿宋_GB2312"/>
          <w:color w:val="000000" w:themeColor="text1"/>
          <w:spacing w:val="8"/>
          <w:highlight w:val="none"/>
          <w:shd w:val="clear" w:color="auto" w:fill="FFFFFF"/>
          <w:lang w:val="en-US"/>
          <w14:textFill>
            <w14:solidFill>
              <w14:schemeClr w14:val="tx1"/>
            </w14:solidFill>
          </w14:textFill>
        </w:rPr>
      </w:pPr>
      <w:r>
        <w:rPr>
          <w:rFonts w:hint="eastAsia" w:ascii="仿宋_GB2312" w:hAnsi="仿宋_GB2312" w:eastAsia="仿宋_GB2312" w:cs="仿宋_GB2312"/>
          <w:color w:val="000000" w:themeColor="text1"/>
          <w:spacing w:val="8"/>
          <w:highlight w:val="none"/>
          <w:shd w:val="clear" w:color="auto" w:fill="FFFFFF"/>
          <w:lang w:val="en-US" w:eastAsia="zh-CN"/>
          <w14:textFill>
            <w14:solidFill>
              <w14:schemeClr w14:val="tx1"/>
            </w14:solidFill>
          </w14:textFill>
        </w:rPr>
        <w:t>5.</w:t>
      </w:r>
      <w:r>
        <w:rPr>
          <w:rFonts w:hint="eastAsia" w:ascii="仿宋_GB2312" w:hAnsi="仿宋_GB2312" w:eastAsia="仿宋_GB2312" w:cs="仿宋_GB2312"/>
          <w:color w:val="000000" w:themeColor="text1"/>
          <w:spacing w:val="8"/>
          <w:highlight w:val="none"/>
          <w:shd w:val="clear" w:color="auto" w:fill="FFFFFF"/>
          <w:lang w:val="en-US"/>
          <w14:textFill>
            <w14:solidFill>
              <w14:schemeClr w14:val="tx1"/>
            </w14:solidFill>
          </w14:textFill>
        </w:rPr>
        <w:t>人才环境更加优化。人才引育平台更加完备，到2025年，自治区级</w:t>
      </w:r>
      <w:r>
        <w:rPr>
          <w:rFonts w:hint="eastAsia" w:ascii="仿宋_GB2312" w:hAnsi="仿宋_GB2312" w:eastAsia="仿宋_GB2312" w:cs="仿宋_GB2312"/>
          <w:color w:val="000000" w:themeColor="text1"/>
          <w:spacing w:val="8"/>
          <w:highlight w:val="none"/>
          <w:shd w:val="clear" w:color="auto" w:fill="FFFFFF"/>
          <w:lang w:val="en-US" w:eastAsia="zh-CN"/>
          <w14:textFill>
            <w14:solidFill>
              <w14:schemeClr w14:val="tx1"/>
            </w14:solidFill>
          </w14:textFill>
        </w:rPr>
        <w:t>及</w:t>
      </w:r>
      <w:r>
        <w:rPr>
          <w:rFonts w:hint="eastAsia" w:ascii="仿宋_GB2312" w:hAnsi="仿宋_GB2312" w:eastAsia="仿宋_GB2312" w:cs="仿宋_GB2312"/>
          <w:color w:val="000000" w:themeColor="text1"/>
          <w:spacing w:val="8"/>
          <w:highlight w:val="none"/>
          <w:shd w:val="clear" w:color="auto" w:fill="FFFFFF"/>
          <w:lang w:val="en-US"/>
          <w14:textFill>
            <w14:solidFill>
              <w14:schemeClr w14:val="tx1"/>
            </w14:solidFill>
          </w14:textFill>
        </w:rPr>
        <w:t>以上研发机构数量达到240个以上。高新技术企业总数突破270家，科技型中小企业达到300家以上。符合各类人才特点、有利于促进人才全面发展的人才开发与管理体系更加健全，人才发展的政策、服务、人文、载体等环境更加优化。</w:t>
      </w:r>
    </w:p>
    <w:p>
      <w:pPr>
        <w:pStyle w:val="3"/>
        <w:pageBreakBefore w:val="0"/>
        <w:kinsoku/>
        <w:wordWrap/>
        <w:overflowPunct/>
        <w:topLinePunct w:val="0"/>
        <w:autoSpaceDE/>
        <w:bidi w:val="0"/>
        <w:adjustRightInd/>
        <w:spacing w:before="0" w:line="575" w:lineRule="exact"/>
        <w:ind w:left="0" w:leftChars="0" w:firstLine="0" w:firstLineChars="0"/>
        <w:jc w:val="center"/>
        <w:textAlignment w:val="auto"/>
        <w:rPr>
          <w:rFonts w:hint="eastAsia" w:ascii="方正小标宋_GBK" w:hAnsi="方正小标宋_GBK" w:eastAsia="方正小标宋_GBK" w:cs="方正小标宋_GBK"/>
        </w:rPr>
      </w:pPr>
      <w:r>
        <w:rPr>
          <w:rFonts w:hint="eastAsia" w:ascii="方正小标宋_GBK" w:hAnsi="方正小标宋_GBK" w:eastAsia="方正小标宋_GBK" w:cs="方正小标宋_GBK"/>
          <w:color w:val="333333"/>
          <w:sz w:val="28"/>
          <w:szCs w:val="28"/>
          <w:highlight w:val="none"/>
          <w:shd w:val="clear" w:color="auto" w:fill="FFFFFF"/>
          <w:lang w:val="en-US" w:eastAsia="zh-CN"/>
        </w:rPr>
        <w:t>专栏</w:t>
      </w:r>
      <w:r>
        <w:rPr>
          <w:rFonts w:hint="eastAsia" w:ascii="方正小标宋_GBK" w:hAnsi="方正小标宋_GBK" w:eastAsia="方正小标宋_GBK" w:cs="方正小标宋_GBK"/>
          <w:color w:val="333333"/>
          <w:sz w:val="28"/>
          <w:szCs w:val="28"/>
          <w:highlight w:val="none"/>
          <w:shd w:val="clear" w:color="auto" w:fill="FFFFFF"/>
        </w:rPr>
        <w:t>2</w:t>
      </w:r>
      <w:r>
        <w:rPr>
          <w:rFonts w:hint="eastAsia" w:ascii="方正小标宋_GBK" w:hAnsi="方正小标宋_GBK" w:eastAsia="方正小标宋_GBK" w:cs="方正小标宋_GBK"/>
          <w:color w:val="333333"/>
          <w:sz w:val="28"/>
          <w:szCs w:val="28"/>
          <w:highlight w:val="none"/>
          <w:shd w:val="clear" w:color="auto" w:fill="FFFFFF"/>
          <w:lang w:val="en-US" w:eastAsia="zh-CN"/>
        </w:rPr>
        <w:t xml:space="preserve">  </w:t>
      </w:r>
      <w:r>
        <w:rPr>
          <w:rFonts w:hint="eastAsia" w:ascii="方正小标宋_GBK" w:hAnsi="方正小标宋_GBK" w:eastAsia="方正小标宋_GBK" w:cs="方正小标宋_GBK"/>
          <w:color w:val="333333"/>
          <w:sz w:val="28"/>
          <w:szCs w:val="28"/>
          <w:highlight w:val="none"/>
          <w:shd w:val="clear" w:color="auto" w:fill="FFFFFF"/>
        </w:rPr>
        <w:t>“十四五”时期全市人才发展主要指标</w:t>
      </w:r>
    </w:p>
    <w:tbl>
      <w:tblPr>
        <w:tblStyle w:val="21"/>
        <w:tblpPr w:leftFromText="180" w:rightFromText="180" w:vertAnchor="text" w:tblpXSpec="center" w:tblpY="1"/>
        <w:tblOverlap w:val="never"/>
        <w:tblW w:w="9153" w:type="dxa"/>
        <w:jc w:val="center"/>
        <w:tblLayout w:type="fixed"/>
        <w:tblCellMar>
          <w:top w:w="0" w:type="dxa"/>
          <w:left w:w="0" w:type="dxa"/>
          <w:bottom w:w="0" w:type="dxa"/>
          <w:right w:w="0" w:type="dxa"/>
        </w:tblCellMar>
      </w:tblPr>
      <w:tblGrid>
        <w:gridCol w:w="1213"/>
        <w:gridCol w:w="800"/>
        <w:gridCol w:w="3390"/>
        <w:gridCol w:w="930"/>
        <w:gridCol w:w="1380"/>
        <w:gridCol w:w="1440"/>
      </w:tblGrid>
      <w:tr>
        <w:tblPrEx>
          <w:tblCellMar>
            <w:top w:w="0" w:type="dxa"/>
            <w:left w:w="0" w:type="dxa"/>
            <w:bottom w:w="0" w:type="dxa"/>
            <w:right w:w="0" w:type="dxa"/>
          </w:tblCellMar>
        </w:tblPrEx>
        <w:trPr>
          <w:trHeight w:val="624" w:hRule="atLeast"/>
          <w:jc w:val="center"/>
        </w:trPr>
        <w:tc>
          <w:tcPr>
            <w:tcW w:w="1213" w:type="dxa"/>
            <w:tcBorders>
              <w:top w:val="single" w:color="auto" w:sz="4" w:space="0"/>
              <w:left w:val="single" w:color="auto" w:sz="4" w:space="0"/>
              <w:bottom w:val="single" w:color="auto" w:sz="4" w:space="0"/>
              <w:right w:val="single" w:color="auto" w:sz="4" w:space="0"/>
            </w:tcBorders>
            <w:shd w:val="clear" w:color="auto" w:fill="auto"/>
            <w:tcMar>
              <w:left w:w="70" w:type="dxa"/>
              <w:right w:w="70" w:type="dxa"/>
            </w:tcMar>
            <w:vAlign w:val="center"/>
          </w:tcPr>
          <w:p>
            <w:pPr>
              <w:pStyle w:val="20"/>
              <w:pageBreakBefore w:val="0"/>
              <w:widowControl/>
              <w:kinsoku/>
              <w:wordWrap/>
              <w:overflowPunct/>
              <w:topLinePunct w:val="0"/>
              <w:autoSpaceDE/>
              <w:bidi w:val="0"/>
              <w:adjustRightInd/>
              <w:spacing w:beforeAutospacing="0" w:afterAutospacing="0" w:line="575" w:lineRule="exact"/>
              <w:jc w:val="center"/>
              <w:textAlignment w:val="auto"/>
              <w:rPr>
                <w:rFonts w:hint="eastAsia" w:ascii="黑体" w:hAnsi="黑体" w:eastAsia="黑体" w:cs="黑体"/>
                <w:sz w:val="24"/>
                <w:szCs w:val="24"/>
                <w:highlight w:val="none"/>
                <w:lang w:val="en-US" w:eastAsia="zh-CN"/>
              </w:rPr>
            </w:pPr>
            <w:r>
              <w:rPr>
                <w:rFonts w:hint="eastAsia" w:ascii="黑体" w:hAnsi="黑体" w:eastAsia="黑体" w:cs="黑体"/>
                <w:sz w:val="24"/>
                <w:szCs w:val="24"/>
                <w:highlight w:val="none"/>
                <w:lang w:val="en-US" w:eastAsia="zh-CN"/>
              </w:rPr>
              <w:t>一级指标</w:t>
            </w:r>
          </w:p>
        </w:tc>
        <w:tc>
          <w:tcPr>
            <w:tcW w:w="800" w:type="dxa"/>
            <w:tcBorders>
              <w:top w:val="single" w:color="auto" w:sz="4" w:space="0"/>
              <w:left w:val="single" w:color="auto" w:sz="4" w:space="0"/>
              <w:bottom w:val="single" w:color="auto" w:sz="4" w:space="0"/>
              <w:right w:val="single" w:color="auto" w:sz="4" w:space="0"/>
            </w:tcBorders>
            <w:shd w:val="clear" w:color="auto" w:fill="auto"/>
            <w:tcMar>
              <w:left w:w="70" w:type="dxa"/>
              <w:right w:w="70" w:type="dxa"/>
            </w:tcMar>
            <w:vAlign w:val="center"/>
          </w:tcPr>
          <w:p>
            <w:pPr>
              <w:pStyle w:val="20"/>
              <w:pageBreakBefore w:val="0"/>
              <w:widowControl/>
              <w:kinsoku/>
              <w:wordWrap/>
              <w:overflowPunct/>
              <w:topLinePunct w:val="0"/>
              <w:autoSpaceDE/>
              <w:bidi w:val="0"/>
              <w:adjustRightInd/>
              <w:spacing w:beforeAutospacing="0" w:afterAutospacing="0" w:line="575" w:lineRule="exact"/>
              <w:jc w:val="center"/>
              <w:textAlignment w:val="auto"/>
              <w:rPr>
                <w:rFonts w:ascii="黑体" w:hAnsi="黑体" w:eastAsia="黑体" w:cs="黑体"/>
                <w:sz w:val="24"/>
                <w:szCs w:val="24"/>
                <w:highlight w:val="none"/>
              </w:rPr>
            </w:pPr>
            <w:r>
              <w:rPr>
                <w:rFonts w:hint="eastAsia" w:ascii="黑体" w:hAnsi="黑体" w:eastAsia="黑体" w:cs="黑体"/>
                <w:sz w:val="24"/>
                <w:szCs w:val="24"/>
                <w:highlight w:val="none"/>
              </w:rPr>
              <w:t>序号</w:t>
            </w:r>
          </w:p>
        </w:tc>
        <w:tc>
          <w:tcPr>
            <w:tcW w:w="3390" w:type="dxa"/>
            <w:tcBorders>
              <w:top w:val="single" w:color="auto" w:sz="4" w:space="0"/>
              <w:left w:val="single" w:color="auto" w:sz="4" w:space="0"/>
              <w:bottom w:val="single" w:color="auto" w:sz="4" w:space="0"/>
              <w:right w:val="single" w:color="auto" w:sz="4" w:space="0"/>
            </w:tcBorders>
            <w:shd w:val="clear" w:color="auto" w:fill="auto"/>
            <w:tcMar>
              <w:left w:w="70" w:type="dxa"/>
              <w:right w:w="70" w:type="dxa"/>
            </w:tcMar>
            <w:vAlign w:val="center"/>
          </w:tcPr>
          <w:p>
            <w:pPr>
              <w:pStyle w:val="20"/>
              <w:pageBreakBefore w:val="0"/>
              <w:widowControl/>
              <w:kinsoku/>
              <w:wordWrap/>
              <w:overflowPunct/>
              <w:topLinePunct w:val="0"/>
              <w:autoSpaceDE/>
              <w:bidi w:val="0"/>
              <w:adjustRightInd/>
              <w:spacing w:beforeAutospacing="0" w:afterAutospacing="0" w:line="575" w:lineRule="exact"/>
              <w:jc w:val="center"/>
              <w:textAlignment w:val="auto"/>
              <w:rPr>
                <w:rFonts w:hint="eastAsia" w:ascii="黑体" w:hAnsi="黑体" w:eastAsia="黑体" w:cs="黑体"/>
                <w:sz w:val="24"/>
                <w:szCs w:val="24"/>
                <w:highlight w:val="none"/>
                <w:lang w:val="en-US" w:eastAsia="zh-CN"/>
              </w:rPr>
            </w:pPr>
            <w:r>
              <w:rPr>
                <w:rFonts w:hint="eastAsia" w:ascii="黑体" w:hAnsi="黑体" w:eastAsia="黑体" w:cs="黑体"/>
                <w:sz w:val="24"/>
                <w:szCs w:val="24"/>
                <w:highlight w:val="none"/>
                <w:lang w:val="en-US" w:eastAsia="zh-CN"/>
              </w:rPr>
              <w:t>二级</w:t>
            </w:r>
            <w:r>
              <w:rPr>
                <w:rFonts w:hint="eastAsia" w:ascii="黑体" w:hAnsi="黑体" w:eastAsia="黑体" w:cs="黑体"/>
                <w:sz w:val="24"/>
                <w:szCs w:val="24"/>
                <w:highlight w:val="none"/>
              </w:rPr>
              <w:t>指标</w:t>
            </w:r>
          </w:p>
        </w:tc>
        <w:tc>
          <w:tcPr>
            <w:tcW w:w="930" w:type="dxa"/>
            <w:tcBorders>
              <w:top w:val="single" w:color="auto" w:sz="4" w:space="0"/>
              <w:left w:val="single" w:color="auto" w:sz="4" w:space="0"/>
              <w:bottom w:val="single" w:color="auto" w:sz="4" w:space="0"/>
              <w:right w:val="single" w:color="auto" w:sz="4" w:space="0"/>
            </w:tcBorders>
            <w:shd w:val="clear" w:color="auto" w:fill="auto"/>
            <w:tcMar>
              <w:left w:w="70" w:type="dxa"/>
              <w:right w:w="70" w:type="dxa"/>
            </w:tcMar>
            <w:vAlign w:val="center"/>
          </w:tcPr>
          <w:p>
            <w:pPr>
              <w:pStyle w:val="20"/>
              <w:pageBreakBefore w:val="0"/>
              <w:widowControl/>
              <w:kinsoku/>
              <w:wordWrap/>
              <w:overflowPunct/>
              <w:topLinePunct w:val="0"/>
              <w:autoSpaceDE/>
              <w:bidi w:val="0"/>
              <w:adjustRightInd/>
              <w:spacing w:beforeAutospacing="0" w:afterAutospacing="0" w:line="575" w:lineRule="exact"/>
              <w:jc w:val="center"/>
              <w:textAlignment w:val="auto"/>
              <w:rPr>
                <w:rFonts w:ascii="黑体" w:hAnsi="黑体" w:eastAsia="黑体" w:cs="黑体"/>
                <w:sz w:val="24"/>
                <w:szCs w:val="24"/>
                <w:highlight w:val="none"/>
              </w:rPr>
            </w:pPr>
            <w:r>
              <w:rPr>
                <w:rFonts w:hint="eastAsia" w:ascii="黑体" w:hAnsi="黑体" w:eastAsia="黑体" w:cs="黑体"/>
                <w:sz w:val="24"/>
                <w:szCs w:val="24"/>
                <w:highlight w:val="none"/>
              </w:rPr>
              <w:t>单位</w:t>
            </w:r>
          </w:p>
        </w:tc>
        <w:tc>
          <w:tcPr>
            <w:tcW w:w="1380" w:type="dxa"/>
            <w:tcBorders>
              <w:top w:val="single" w:color="auto" w:sz="4" w:space="0"/>
              <w:left w:val="single" w:color="auto" w:sz="4" w:space="0"/>
              <w:bottom w:val="single" w:color="auto" w:sz="4" w:space="0"/>
              <w:right w:val="single" w:color="auto" w:sz="4" w:space="0"/>
            </w:tcBorders>
            <w:shd w:val="clear" w:color="auto" w:fill="auto"/>
            <w:tcMar>
              <w:left w:w="70" w:type="dxa"/>
              <w:right w:w="70" w:type="dxa"/>
            </w:tcMar>
            <w:vAlign w:val="center"/>
          </w:tcPr>
          <w:p>
            <w:pPr>
              <w:pStyle w:val="20"/>
              <w:keepNext w:val="0"/>
              <w:keepLines w:val="0"/>
              <w:pageBreakBefore w:val="0"/>
              <w:widowControl/>
              <w:kinsoku/>
              <w:wordWrap/>
              <w:overflowPunct/>
              <w:topLinePunct w:val="0"/>
              <w:autoSpaceDE/>
              <w:autoSpaceDN/>
              <w:bidi w:val="0"/>
              <w:adjustRightInd/>
              <w:snapToGrid/>
              <w:spacing w:beforeAutospacing="0" w:afterAutospacing="0" w:line="575" w:lineRule="exact"/>
              <w:jc w:val="center"/>
              <w:textAlignment w:val="auto"/>
              <w:rPr>
                <w:rFonts w:hint="eastAsia" w:ascii="黑体" w:hAnsi="黑体" w:eastAsia="黑体" w:cs="黑体"/>
                <w:sz w:val="24"/>
                <w:szCs w:val="24"/>
                <w:highlight w:val="none"/>
                <w:lang w:val="en-US" w:eastAsia="zh-CN"/>
              </w:rPr>
            </w:pPr>
            <w:r>
              <w:rPr>
                <w:rFonts w:hint="eastAsia" w:ascii="黑体" w:hAnsi="黑体" w:eastAsia="黑体" w:cs="黑体"/>
                <w:sz w:val="24"/>
                <w:szCs w:val="24"/>
                <w:highlight w:val="none"/>
              </w:rPr>
              <w:t>2020年</w:t>
            </w:r>
            <w:r>
              <w:rPr>
                <w:rFonts w:hint="eastAsia" w:ascii="黑体" w:hAnsi="黑体" w:eastAsia="黑体" w:cs="黑体"/>
                <w:sz w:val="24"/>
                <w:szCs w:val="24"/>
                <w:highlight w:val="none"/>
                <w:lang w:val="en-US" w:eastAsia="zh-CN"/>
              </w:rPr>
              <w:t>基数</w:t>
            </w:r>
          </w:p>
        </w:tc>
        <w:tc>
          <w:tcPr>
            <w:tcW w:w="1440" w:type="dxa"/>
            <w:tcBorders>
              <w:top w:val="single" w:color="auto" w:sz="4" w:space="0"/>
              <w:left w:val="single" w:color="auto" w:sz="4" w:space="0"/>
              <w:bottom w:val="single" w:color="auto" w:sz="4" w:space="0"/>
              <w:right w:val="single" w:color="auto" w:sz="4" w:space="0"/>
            </w:tcBorders>
            <w:shd w:val="clear" w:color="auto" w:fill="auto"/>
            <w:tcMar>
              <w:left w:w="70" w:type="dxa"/>
              <w:right w:w="70" w:type="dxa"/>
            </w:tcMar>
            <w:vAlign w:val="center"/>
          </w:tcPr>
          <w:p>
            <w:pPr>
              <w:pStyle w:val="20"/>
              <w:keepNext w:val="0"/>
              <w:keepLines w:val="0"/>
              <w:pageBreakBefore w:val="0"/>
              <w:widowControl/>
              <w:kinsoku/>
              <w:wordWrap/>
              <w:overflowPunct/>
              <w:topLinePunct w:val="0"/>
              <w:autoSpaceDE/>
              <w:autoSpaceDN/>
              <w:bidi w:val="0"/>
              <w:adjustRightInd/>
              <w:snapToGrid/>
              <w:spacing w:beforeAutospacing="0" w:afterAutospacing="0" w:line="575" w:lineRule="exact"/>
              <w:jc w:val="center"/>
              <w:textAlignment w:val="auto"/>
              <w:rPr>
                <w:rFonts w:ascii="黑体" w:hAnsi="黑体" w:eastAsia="黑体" w:cs="黑体"/>
                <w:sz w:val="24"/>
                <w:szCs w:val="24"/>
                <w:highlight w:val="none"/>
              </w:rPr>
            </w:pPr>
            <w:r>
              <w:rPr>
                <w:rFonts w:hint="eastAsia" w:ascii="黑体" w:hAnsi="黑体" w:eastAsia="黑体" w:cs="黑体"/>
                <w:sz w:val="24"/>
                <w:szCs w:val="24"/>
                <w:highlight w:val="none"/>
              </w:rPr>
              <w:t>2025年目标</w:t>
            </w:r>
          </w:p>
        </w:tc>
      </w:tr>
      <w:tr>
        <w:tblPrEx>
          <w:tblCellMar>
            <w:top w:w="0" w:type="dxa"/>
            <w:left w:w="0" w:type="dxa"/>
            <w:bottom w:w="0" w:type="dxa"/>
            <w:right w:w="0" w:type="dxa"/>
          </w:tblCellMar>
        </w:tblPrEx>
        <w:trPr>
          <w:trHeight w:val="624" w:hRule="atLeast"/>
          <w:jc w:val="center"/>
        </w:trPr>
        <w:tc>
          <w:tcPr>
            <w:tcW w:w="1213" w:type="dxa"/>
            <w:vMerge w:val="restart"/>
            <w:tcBorders>
              <w:top w:val="single" w:color="auto" w:sz="4" w:space="0"/>
              <w:left w:val="single" w:color="auto" w:sz="4" w:space="0"/>
              <w:bottom w:val="single" w:color="auto" w:sz="4" w:space="0"/>
              <w:right w:val="single" w:color="auto" w:sz="4" w:space="0"/>
            </w:tcBorders>
            <w:shd w:val="clear" w:color="auto" w:fill="auto"/>
            <w:tcMar>
              <w:left w:w="70" w:type="dxa"/>
              <w:right w:w="70" w:type="dxa"/>
            </w:tcMar>
            <w:vAlign w:val="center"/>
          </w:tcPr>
          <w:p>
            <w:pPr>
              <w:pStyle w:val="20"/>
              <w:pageBreakBefore w:val="0"/>
              <w:widowControl/>
              <w:kinsoku/>
              <w:wordWrap/>
              <w:overflowPunct/>
              <w:topLinePunct w:val="0"/>
              <w:autoSpaceDE/>
              <w:bidi w:val="0"/>
              <w:adjustRightInd/>
              <w:spacing w:beforeAutospacing="0" w:afterAutospacing="0" w:line="575" w:lineRule="exact"/>
              <w:jc w:val="center"/>
              <w:textAlignment w:val="auto"/>
              <w:rPr>
                <w:rFonts w:hint="default"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人才总量</w:t>
            </w:r>
          </w:p>
        </w:tc>
        <w:tc>
          <w:tcPr>
            <w:tcW w:w="800" w:type="dxa"/>
            <w:tcBorders>
              <w:top w:val="single" w:color="auto" w:sz="4" w:space="0"/>
              <w:left w:val="single" w:color="auto" w:sz="4" w:space="0"/>
              <w:bottom w:val="single" w:color="auto" w:sz="4" w:space="0"/>
              <w:right w:val="single" w:color="auto" w:sz="4" w:space="0"/>
            </w:tcBorders>
            <w:shd w:val="clear" w:color="auto" w:fill="auto"/>
            <w:tcMar>
              <w:left w:w="70" w:type="dxa"/>
              <w:right w:w="70" w:type="dxa"/>
            </w:tcMar>
            <w:vAlign w:val="center"/>
          </w:tcPr>
          <w:p>
            <w:pPr>
              <w:pStyle w:val="20"/>
              <w:pageBreakBefore w:val="0"/>
              <w:widowControl/>
              <w:kinsoku/>
              <w:wordWrap/>
              <w:overflowPunct/>
              <w:topLinePunct w:val="0"/>
              <w:autoSpaceDE/>
              <w:bidi w:val="0"/>
              <w:adjustRightInd/>
              <w:spacing w:beforeAutospacing="0" w:afterAutospacing="0" w:line="575" w:lineRule="exact"/>
              <w:jc w:val="center"/>
              <w:textAlignment w:val="auto"/>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w:t>
            </w:r>
          </w:p>
        </w:tc>
        <w:tc>
          <w:tcPr>
            <w:tcW w:w="3390" w:type="dxa"/>
            <w:tcBorders>
              <w:top w:val="single" w:color="auto" w:sz="4" w:space="0"/>
              <w:left w:val="single" w:color="auto" w:sz="4" w:space="0"/>
              <w:bottom w:val="single" w:color="auto" w:sz="4" w:space="0"/>
              <w:right w:val="single" w:color="auto" w:sz="4" w:space="0"/>
            </w:tcBorders>
            <w:shd w:val="clear" w:color="auto" w:fill="auto"/>
            <w:tcMar>
              <w:left w:w="70" w:type="dxa"/>
              <w:right w:w="70" w:type="dxa"/>
            </w:tcMar>
            <w:vAlign w:val="center"/>
          </w:tcPr>
          <w:p>
            <w:pPr>
              <w:pStyle w:val="20"/>
              <w:pageBreakBefore w:val="0"/>
              <w:widowControl/>
              <w:kinsoku/>
              <w:wordWrap/>
              <w:overflowPunct/>
              <w:topLinePunct w:val="0"/>
              <w:autoSpaceDE/>
              <w:bidi w:val="0"/>
              <w:adjustRightInd/>
              <w:spacing w:beforeAutospacing="0" w:afterAutospacing="0" w:line="575" w:lineRule="exact"/>
              <w:jc w:val="both"/>
              <w:textAlignment w:val="auto"/>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人才资源总量</w:t>
            </w:r>
          </w:p>
        </w:tc>
        <w:tc>
          <w:tcPr>
            <w:tcW w:w="930" w:type="dxa"/>
            <w:tcBorders>
              <w:top w:val="single" w:color="auto" w:sz="4" w:space="0"/>
              <w:left w:val="single" w:color="auto" w:sz="4" w:space="0"/>
              <w:bottom w:val="single" w:color="auto" w:sz="4" w:space="0"/>
              <w:right w:val="single" w:color="auto" w:sz="4" w:space="0"/>
            </w:tcBorders>
            <w:shd w:val="clear" w:color="auto" w:fill="auto"/>
            <w:tcMar>
              <w:left w:w="70" w:type="dxa"/>
              <w:right w:w="70" w:type="dxa"/>
            </w:tcMar>
            <w:vAlign w:val="center"/>
          </w:tcPr>
          <w:p>
            <w:pPr>
              <w:pStyle w:val="20"/>
              <w:pageBreakBefore w:val="0"/>
              <w:widowControl/>
              <w:kinsoku/>
              <w:wordWrap/>
              <w:overflowPunct/>
              <w:topLinePunct w:val="0"/>
              <w:autoSpaceDE/>
              <w:bidi w:val="0"/>
              <w:adjustRightInd/>
              <w:spacing w:beforeAutospacing="0" w:afterAutospacing="0" w:line="575" w:lineRule="exact"/>
              <w:jc w:val="center"/>
              <w:textAlignment w:val="auto"/>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万人</w:t>
            </w:r>
          </w:p>
        </w:tc>
        <w:tc>
          <w:tcPr>
            <w:tcW w:w="1380" w:type="dxa"/>
            <w:tcBorders>
              <w:top w:val="single" w:color="auto" w:sz="4" w:space="0"/>
              <w:left w:val="single" w:color="auto" w:sz="4" w:space="0"/>
              <w:bottom w:val="single" w:color="auto" w:sz="4" w:space="0"/>
              <w:right w:val="single" w:color="auto" w:sz="4" w:space="0"/>
            </w:tcBorders>
            <w:shd w:val="clear" w:color="auto" w:fill="auto"/>
            <w:tcMar>
              <w:left w:w="70" w:type="dxa"/>
              <w:right w:w="70" w:type="dxa"/>
            </w:tcMar>
            <w:vAlign w:val="center"/>
          </w:tcPr>
          <w:p>
            <w:pPr>
              <w:pStyle w:val="20"/>
              <w:pageBreakBefore w:val="0"/>
              <w:widowControl/>
              <w:kinsoku/>
              <w:wordWrap/>
              <w:overflowPunct/>
              <w:topLinePunct w:val="0"/>
              <w:autoSpaceDE/>
              <w:bidi w:val="0"/>
              <w:adjustRightInd/>
              <w:spacing w:beforeAutospacing="0" w:afterAutospacing="0" w:line="575" w:lineRule="exact"/>
              <w:jc w:val="center"/>
              <w:textAlignment w:val="auto"/>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43.8</w:t>
            </w:r>
          </w:p>
        </w:tc>
        <w:tc>
          <w:tcPr>
            <w:tcW w:w="1440" w:type="dxa"/>
            <w:tcBorders>
              <w:top w:val="single" w:color="auto" w:sz="4" w:space="0"/>
              <w:left w:val="single" w:color="auto" w:sz="4" w:space="0"/>
              <w:bottom w:val="single" w:color="auto" w:sz="4" w:space="0"/>
              <w:right w:val="single" w:color="auto" w:sz="4" w:space="0"/>
            </w:tcBorders>
            <w:shd w:val="clear" w:color="auto" w:fill="auto"/>
            <w:tcMar>
              <w:left w:w="70" w:type="dxa"/>
              <w:right w:w="70" w:type="dxa"/>
            </w:tcMar>
            <w:vAlign w:val="center"/>
          </w:tcPr>
          <w:p>
            <w:pPr>
              <w:pStyle w:val="20"/>
              <w:pageBreakBefore w:val="0"/>
              <w:widowControl/>
              <w:kinsoku/>
              <w:wordWrap/>
              <w:overflowPunct/>
              <w:topLinePunct w:val="0"/>
              <w:autoSpaceDE/>
              <w:bidi w:val="0"/>
              <w:adjustRightInd/>
              <w:spacing w:beforeAutospacing="0" w:afterAutospacing="0" w:line="575" w:lineRule="exact"/>
              <w:jc w:val="center"/>
              <w:textAlignment w:val="auto"/>
              <w:rPr>
                <w:rFonts w:hint="default"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53.8</w:t>
            </w:r>
          </w:p>
        </w:tc>
      </w:tr>
      <w:tr>
        <w:tblPrEx>
          <w:tblCellMar>
            <w:top w:w="0" w:type="dxa"/>
            <w:left w:w="0" w:type="dxa"/>
            <w:bottom w:w="0" w:type="dxa"/>
            <w:right w:w="0" w:type="dxa"/>
          </w:tblCellMar>
        </w:tblPrEx>
        <w:trPr>
          <w:trHeight w:val="624" w:hRule="atLeast"/>
          <w:jc w:val="center"/>
        </w:trPr>
        <w:tc>
          <w:tcPr>
            <w:tcW w:w="1213" w:type="dxa"/>
            <w:vMerge w:val="continue"/>
            <w:tcBorders>
              <w:top w:val="single" w:color="auto" w:sz="4" w:space="0"/>
              <w:left w:val="single" w:color="auto" w:sz="4" w:space="0"/>
              <w:bottom w:val="single" w:color="auto" w:sz="4" w:space="0"/>
              <w:right w:val="single" w:color="auto" w:sz="4" w:space="0"/>
            </w:tcBorders>
            <w:shd w:val="clear" w:color="auto" w:fill="auto"/>
            <w:tcMar>
              <w:left w:w="70" w:type="dxa"/>
              <w:right w:w="70" w:type="dxa"/>
            </w:tcMar>
            <w:vAlign w:val="center"/>
          </w:tcPr>
          <w:p>
            <w:pPr>
              <w:pStyle w:val="20"/>
              <w:pageBreakBefore w:val="0"/>
              <w:widowControl/>
              <w:kinsoku/>
              <w:wordWrap/>
              <w:overflowPunct/>
              <w:topLinePunct w:val="0"/>
              <w:autoSpaceDE/>
              <w:bidi w:val="0"/>
              <w:adjustRightInd/>
              <w:spacing w:beforeAutospacing="0" w:afterAutospacing="0" w:line="575" w:lineRule="exact"/>
              <w:jc w:val="center"/>
              <w:textAlignment w:val="auto"/>
              <w:rPr>
                <w:rFonts w:hint="eastAsia" w:ascii="仿宋_GB2312" w:hAnsi="仿宋_GB2312" w:eastAsia="仿宋_GB2312" w:cs="仿宋_GB2312"/>
                <w:sz w:val="24"/>
                <w:szCs w:val="24"/>
                <w:highlight w:val="none"/>
              </w:rPr>
            </w:pPr>
          </w:p>
        </w:tc>
        <w:tc>
          <w:tcPr>
            <w:tcW w:w="800" w:type="dxa"/>
            <w:tcBorders>
              <w:top w:val="single" w:color="auto" w:sz="4" w:space="0"/>
              <w:left w:val="single" w:color="auto" w:sz="4" w:space="0"/>
              <w:bottom w:val="single" w:color="auto" w:sz="4" w:space="0"/>
              <w:right w:val="single" w:color="auto" w:sz="4" w:space="0"/>
            </w:tcBorders>
            <w:shd w:val="clear" w:color="auto" w:fill="auto"/>
            <w:tcMar>
              <w:left w:w="70" w:type="dxa"/>
              <w:right w:w="70" w:type="dxa"/>
            </w:tcMar>
            <w:vAlign w:val="center"/>
          </w:tcPr>
          <w:p>
            <w:pPr>
              <w:pStyle w:val="20"/>
              <w:pageBreakBefore w:val="0"/>
              <w:widowControl/>
              <w:kinsoku/>
              <w:wordWrap/>
              <w:overflowPunct/>
              <w:topLinePunct w:val="0"/>
              <w:autoSpaceDE/>
              <w:bidi w:val="0"/>
              <w:adjustRightInd/>
              <w:spacing w:beforeAutospacing="0" w:afterAutospacing="0" w:line="575" w:lineRule="exact"/>
              <w:jc w:val="center"/>
              <w:textAlignment w:val="auto"/>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2</w:t>
            </w:r>
          </w:p>
        </w:tc>
        <w:tc>
          <w:tcPr>
            <w:tcW w:w="3390" w:type="dxa"/>
            <w:tcBorders>
              <w:top w:val="single" w:color="auto" w:sz="4" w:space="0"/>
              <w:left w:val="single" w:color="auto" w:sz="4" w:space="0"/>
              <w:bottom w:val="single" w:color="auto" w:sz="4" w:space="0"/>
              <w:right w:val="single" w:color="auto" w:sz="4" w:space="0"/>
            </w:tcBorders>
            <w:shd w:val="clear" w:color="auto" w:fill="auto"/>
            <w:tcMar>
              <w:left w:w="70" w:type="dxa"/>
              <w:right w:w="70" w:type="dxa"/>
            </w:tcMar>
            <w:vAlign w:val="center"/>
          </w:tcPr>
          <w:p>
            <w:pPr>
              <w:pStyle w:val="20"/>
              <w:pageBreakBefore w:val="0"/>
              <w:widowControl/>
              <w:kinsoku/>
              <w:wordWrap/>
              <w:overflowPunct/>
              <w:topLinePunct w:val="0"/>
              <w:autoSpaceDE/>
              <w:bidi w:val="0"/>
              <w:adjustRightInd/>
              <w:spacing w:beforeAutospacing="0" w:afterAutospacing="0" w:line="575" w:lineRule="exact"/>
              <w:ind w:firstLine="480" w:firstLineChars="200"/>
              <w:jc w:val="both"/>
              <w:textAlignment w:val="auto"/>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党政人才</w:t>
            </w:r>
          </w:p>
        </w:tc>
        <w:tc>
          <w:tcPr>
            <w:tcW w:w="930" w:type="dxa"/>
            <w:tcBorders>
              <w:top w:val="single" w:color="auto" w:sz="4" w:space="0"/>
              <w:left w:val="single" w:color="auto" w:sz="4" w:space="0"/>
              <w:bottom w:val="single" w:color="auto" w:sz="4" w:space="0"/>
              <w:right w:val="single" w:color="auto" w:sz="4" w:space="0"/>
            </w:tcBorders>
            <w:shd w:val="clear" w:color="auto" w:fill="auto"/>
            <w:tcMar>
              <w:left w:w="70" w:type="dxa"/>
              <w:right w:w="70" w:type="dxa"/>
            </w:tcMar>
            <w:vAlign w:val="center"/>
          </w:tcPr>
          <w:p>
            <w:pPr>
              <w:pStyle w:val="20"/>
              <w:pageBreakBefore w:val="0"/>
              <w:widowControl/>
              <w:kinsoku/>
              <w:wordWrap/>
              <w:overflowPunct/>
              <w:topLinePunct w:val="0"/>
              <w:autoSpaceDE/>
              <w:bidi w:val="0"/>
              <w:adjustRightInd/>
              <w:spacing w:beforeAutospacing="0" w:afterAutospacing="0" w:line="575" w:lineRule="exact"/>
              <w:jc w:val="center"/>
              <w:textAlignment w:val="auto"/>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万人</w:t>
            </w:r>
          </w:p>
        </w:tc>
        <w:tc>
          <w:tcPr>
            <w:tcW w:w="1380" w:type="dxa"/>
            <w:tcBorders>
              <w:top w:val="single" w:color="auto" w:sz="4" w:space="0"/>
              <w:left w:val="single" w:color="auto" w:sz="4" w:space="0"/>
              <w:bottom w:val="single" w:color="auto" w:sz="4" w:space="0"/>
              <w:right w:val="single" w:color="auto" w:sz="4" w:space="0"/>
            </w:tcBorders>
            <w:shd w:val="clear" w:color="auto" w:fill="auto"/>
            <w:tcMar>
              <w:left w:w="70" w:type="dxa"/>
              <w:right w:w="70" w:type="dxa"/>
            </w:tcMar>
            <w:vAlign w:val="center"/>
          </w:tcPr>
          <w:p>
            <w:pPr>
              <w:pStyle w:val="20"/>
              <w:pageBreakBefore w:val="0"/>
              <w:widowControl/>
              <w:kinsoku/>
              <w:wordWrap/>
              <w:overflowPunct/>
              <w:topLinePunct w:val="0"/>
              <w:autoSpaceDE/>
              <w:bidi w:val="0"/>
              <w:adjustRightInd/>
              <w:spacing w:beforeAutospacing="0" w:afterAutospacing="0" w:line="575" w:lineRule="exact"/>
              <w:jc w:val="center"/>
              <w:textAlignment w:val="auto"/>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1.48</w:t>
            </w:r>
          </w:p>
        </w:tc>
        <w:tc>
          <w:tcPr>
            <w:tcW w:w="1440" w:type="dxa"/>
            <w:tcBorders>
              <w:top w:val="single" w:color="auto" w:sz="4" w:space="0"/>
              <w:left w:val="single" w:color="auto" w:sz="4" w:space="0"/>
              <w:bottom w:val="single" w:color="auto" w:sz="4" w:space="0"/>
              <w:right w:val="single" w:color="auto" w:sz="4" w:space="0"/>
            </w:tcBorders>
            <w:shd w:val="clear" w:color="auto" w:fill="auto"/>
            <w:tcMar>
              <w:left w:w="70" w:type="dxa"/>
              <w:right w:w="70" w:type="dxa"/>
            </w:tcMar>
            <w:vAlign w:val="center"/>
          </w:tcPr>
          <w:p>
            <w:pPr>
              <w:pStyle w:val="20"/>
              <w:pageBreakBefore w:val="0"/>
              <w:widowControl/>
              <w:kinsoku/>
              <w:wordWrap/>
              <w:overflowPunct/>
              <w:topLinePunct w:val="0"/>
              <w:autoSpaceDE/>
              <w:bidi w:val="0"/>
              <w:adjustRightInd/>
              <w:spacing w:beforeAutospacing="0" w:afterAutospacing="0" w:line="575" w:lineRule="exact"/>
              <w:jc w:val="center"/>
              <w:textAlignment w:val="auto"/>
              <w:rPr>
                <w:rFonts w:hint="default"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1.5</w:t>
            </w:r>
          </w:p>
        </w:tc>
      </w:tr>
      <w:tr>
        <w:tblPrEx>
          <w:tblCellMar>
            <w:top w:w="0" w:type="dxa"/>
            <w:left w:w="0" w:type="dxa"/>
            <w:bottom w:w="0" w:type="dxa"/>
            <w:right w:w="0" w:type="dxa"/>
          </w:tblCellMar>
        </w:tblPrEx>
        <w:trPr>
          <w:trHeight w:val="624" w:hRule="atLeast"/>
          <w:jc w:val="center"/>
        </w:trPr>
        <w:tc>
          <w:tcPr>
            <w:tcW w:w="1213" w:type="dxa"/>
            <w:vMerge w:val="continue"/>
            <w:tcBorders>
              <w:top w:val="single" w:color="auto" w:sz="4" w:space="0"/>
              <w:left w:val="single" w:color="auto" w:sz="4" w:space="0"/>
              <w:bottom w:val="single" w:color="auto" w:sz="4" w:space="0"/>
              <w:right w:val="single" w:color="auto" w:sz="4" w:space="0"/>
            </w:tcBorders>
            <w:shd w:val="clear" w:color="auto" w:fill="auto"/>
            <w:tcMar>
              <w:left w:w="70" w:type="dxa"/>
              <w:right w:w="70" w:type="dxa"/>
            </w:tcMar>
            <w:vAlign w:val="center"/>
          </w:tcPr>
          <w:p>
            <w:pPr>
              <w:pStyle w:val="20"/>
              <w:pageBreakBefore w:val="0"/>
              <w:widowControl/>
              <w:kinsoku/>
              <w:wordWrap/>
              <w:overflowPunct/>
              <w:topLinePunct w:val="0"/>
              <w:autoSpaceDE/>
              <w:bidi w:val="0"/>
              <w:adjustRightInd/>
              <w:spacing w:beforeAutospacing="0" w:afterAutospacing="0" w:line="575" w:lineRule="exact"/>
              <w:jc w:val="center"/>
              <w:textAlignment w:val="auto"/>
              <w:rPr>
                <w:rFonts w:hint="eastAsia" w:ascii="仿宋_GB2312" w:hAnsi="仿宋_GB2312" w:eastAsia="仿宋_GB2312" w:cs="仿宋_GB2312"/>
                <w:sz w:val="24"/>
                <w:szCs w:val="24"/>
                <w:highlight w:val="none"/>
              </w:rPr>
            </w:pPr>
          </w:p>
        </w:tc>
        <w:tc>
          <w:tcPr>
            <w:tcW w:w="800" w:type="dxa"/>
            <w:tcBorders>
              <w:top w:val="single" w:color="auto" w:sz="4" w:space="0"/>
              <w:left w:val="single" w:color="auto" w:sz="4" w:space="0"/>
              <w:bottom w:val="single" w:color="auto" w:sz="4" w:space="0"/>
              <w:right w:val="single" w:color="auto" w:sz="4" w:space="0"/>
            </w:tcBorders>
            <w:shd w:val="clear" w:color="auto" w:fill="auto"/>
            <w:tcMar>
              <w:left w:w="70" w:type="dxa"/>
              <w:right w:w="70" w:type="dxa"/>
            </w:tcMar>
            <w:vAlign w:val="center"/>
          </w:tcPr>
          <w:p>
            <w:pPr>
              <w:pStyle w:val="20"/>
              <w:pageBreakBefore w:val="0"/>
              <w:widowControl/>
              <w:kinsoku/>
              <w:wordWrap/>
              <w:overflowPunct/>
              <w:topLinePunct w:val="0"/>
              <w:autoSpaceDE/>
              <w:bidi w:val="0"/>
              <w:adjustRightInd/>
              <w:spacing w:beforeAutospacing="0" w:afterAutospacing="0" w:line="575" w:lineRule="exact"/>
              <w:jc w:val="center"/>
              <w:textAlignment w:val="auto"/>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3</w:t>
            </w:r>
          </w:p>
        </w:tc>
        <w:tc>
          <w:tcPr>
            <w:tcW w:w="3390" w:type="dxa"/>
            <w:tcBorders>
              <w:top w:val="single" w:color="auto" w:sz="4" w:space="0"/>
              <w:left w:val="single" w:color="auto" w:sz="4" w:space="0"/>
              <w:bottom w:val="single" w:color="auto" w:sz="4" w:space="0"/>
              <w:right w:val="single" w:color="auto" w:sz="4" w:space="0"/>
            </w:tcBorders>
            <w:shd w:val="clear" w:color="auto" w:fill="auto"/>
            <w:tcMar>
              <w:left w:w="70" w:type="dxa"/>
              <w:right w:w="70" w:type="dxa"/>
            </w:tcMar>
            <w:vAlign w:val="center"/>
          </w:tcPr>
          <w:p>
            <w:pPr>
              <w:pStyle w:val="20"/>
              <w:pageBreakBefore w:val="0"/>
              <w:widowControl/>
              <w:kinsoku/>
              <w:wordWrap/>
              <w:overflowPunct/>
              <w:topLinePunct w:val="0"/>
              <w:autoSpaceDE/>
              <w:bidi w:val="0"/>
              <w:adjustRightInd/>
              <w:spacing w:beforeAutospacing="0" w:afterAutospacing="0" w:line="575" w:lineRule="exact"/>
              <w:ind w:firstLine="480" w:firstLineChars="200"/>
              <w:jc w:val="both"/>
              <w:textAlignment w:val="auto"/>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企业经营管理人才</w:t>
            </w:r>
          </w:p>
        </w:tc>
        <w:tc>
          <w:tcPr>
            <w:tcW w:w="930" w:type="dxa"/>
            <w:tcBorders>
              <w:top w:val="single" w:color="auto" w:sz="4" w:space="0"/>
              <w:left w:val="single" w:color="auto" w:sz="4" w:space="0"/>
              <w:bottom w:val="single" w:color="auto" w:sz="4" w:space="0"/>
              <w:right w:val="single" w:color="auto" w:sz="4" w:space="0"/>
            </w:tcBorders>
            <w:shd w:val="clear" w:color="auto" w:fill="auto"/>
            <w:tcMar>
              <w:left w:w="70" w:type="dxa"/>
              <w:right w:w="70" w:type="dxa"/>
            </w:tcMar>
            <w:vAlign w:val="center"/>
          </w:tcPr>
          <w:p>
            <w:pPr>
              <w:pStyle w:val="20"/>
              <w:pageBreakBefore w:val="0"/>
              <w:widowControl/>
              <w:kinsoku/>
              <w:wordWrap/>
              <w:overflowPunct/>
              <w:topLinePunct w:val="0"/>
              <w:autoSpaceDE/>
              <w:bidi w:val="0"/>
              <w:adjustRightInd/>
              <w:spacing w:beforeAutospacing="0" w:afterAutospacing="0" w:line="575" w:lineRule="exact"/>
              <w:jc w:val="center"/>
              <w:textAlignment w:val="auto"/>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万人</w:t>
            </w:r>
          </w:p>
        </w:tc>
        <w:tc>
          <w:tcPr>
            <w:tcW w:w="1380" w:type="dxa"/>
            <w:tcBorders>
              <w:top w:val="single" w:color="auto" w:sz="4" w:space="0"/>
              <w:left w:val="single" w:color="auto" w:sz="4" w:space="0"/>
              <w:bottom w:val="single" w:color="auto" w:sz="4" w:space="0"/>
              <w:right w:val="single" w:color="auto" w:sz="4" w:space="0"/>
            </w:tcBorders>
            <w:shd w:val="clear" w:color="auto" w:fill="auto"/>
            <w:tcMar>
              <w:left w:w="70" w:type="dxa"/>
              <w:right w:w="70" w:type="dxa"/>
            </w:tcMar>
            <w:vAlign w:val="center"/>
          </w:tcPr>
          <w:p>
            <w:pPr>
              <w:pStyle w:val="20"/>
              <w:pageBreakBefore w:val="0"/>
              <w:widowControl/>
              <w:kinsoku/>
              <w:wordWrap/>
              <w:overflowPunct/>
              <w:topLinePunct w:val="0"/>
              <w:autoSpaceDE/>
              <w:bidi w:val="0"/>
              <w:adjustRightInd/>
              <w:spacing w:beforeAutospacing="0" w:afterAutospacing="0" w:line="575" w:lineRule="exact"/>
              <w:jc w:val="center"/>
              <w:textAlignment w:val="auto"/>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12.9</w:t>
            </w:r>
          </w:p>
        </w:tc>
        <w:tc>
          <w:tcPr>
            <w:tcW w:w="1440" w:type="dxa"/>
            <w:tcBorders>
              <w:top w:val="single" w:color="auto" w:sz="4" w:space="0"/>
              <w:left w:val="single" w:color="auto" w:sz="4" w:space="0"/>
              <w:bottom w:val="single" w:color="auto" w:sz="4" w:space="0"/>
              <w:right w:val="single" w:color="auto" w:sz="4" w:space="0"/>
            </w:tcBorders>
            <w:shd w:val="clear" w:color="auto" w:fill="auto"/>
            <w:tcMar>
              <w:left w:w="70" w:type="dxa"/>
              <w:right w:w="70" w:type="dxa"/>
            </w:tcMar>
            <w:vAlign w:val="center"/>
          </w:tcPr>
          <w:p>
            <w:pPr>
              <w:pStyle w:val="20"/>
              <w:pageBreakBefore w:val="0"/>
              <w:widowControl/>
              <w:kinsoku/>
              <w:wordWrap/>
              <w:overflowPunct/>
              <w:topLinePunct w:val="0"/>
              <w:autoSpaceDE/>
              <w:bidi w:val="0"/>
              <w:adjustRightInd/>
              <w:spacing w:beforeAutospacing="0" w:afterAutospacing="0" w:line="575" w:lineRule="exact"/>
              <w:jc w:val="center"/>
              <w:textAlignment w:val="auto"/>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19.6</w:t>
            </w:r>
          </w:p>
        </w:tc>
      </w:tr>
      <w:tr>
        <w:tblPrEx>
          <w:tblCellMar>
            <w:top w:w="0" w:type="dxa"/>
            <w:left w:w="0" w:type="dxa"/>
            <w:bottom w:w="0" w:type="dxa"/>
            <w:right w:w="0" w:type="dxa"/>
          </w:tblCellMar>
        </w:tblPrEx>
        <w:trPr>
          <w:trHeight w:val="624" w:hRule="atLeast"/>
          <w:jc w:val="center"/>
        </w:trPr>
        <w:tc>
          <w:tcPr>
            <w:tcW w:w="1213" w:type="dxa"/>
            <w:vMerge w:val="continue"/>
            <w:tcBorders>
              <w:top w:val="single" w:color="auto" w:sz="4" w:space="0"/>
              <w:left w:val="single" w:color="auto" w:sz="4" w:space="0"/>
              <w:bottom w:val="single" w:color="auto" w:sz="4" w:space="0"/>
              <w:right w:val="single" w:color="auto" w:sz="4" w:space="0"/>
            </w:tcBorders>
            <w:shd w:val="clear" w:color="auto" w:fill="auto"/>
            <w:tcMar>
              <w:left w:w="70" w:type="dxa"/>
              <w:right w:w="70" w:type="dxa"/>
            </w:tcMar>
            <w:vAlign w:val="center"/>
          </w:tcPr>
          <w:p>
            <w:pPr>
              <w:pStyle w:val="20"/>
              <w:pageBreakBefore w:val="0"/>
              <w:widowControl/>
              <w:kinsoku/>
              <w:wordWrap/>
              <w:overflowPunct/>
              <w:topLinePunct w:val="0"/>
              <w:autoSpaceDE/>
              <w:bidi w:val="0"/>
              <w:adjustRightInd/>
              <w:spacing w:beforeAutospacing="0" w:afterAutospacing="0" w:line="575" w:lineRule="exact"/>
              <w:jc w:val="center"/>
              <w:textAlignment w:val="auto"/>
              <w:rPr>
                <w:rFonts w:hint="eastAsia" w:ascii="仿宋_GB2312" w:hAnsi="仿宋_GB2312" w:eastAsia="仿宋_GB2312" w:cs="仿宋_GB2312"/>
                <w:sz w:val="24"/>
                <w:szCs w:val="24"/>
                <w:highlight w:val="none"/>
              </w:rPr>
            </w:pPr>
          </w:p>
        </w:tc>
        <w:tc>
          <w:tcPr>
            <w:tcW w:w="800" w:type="dxa"/>
            <w:tcBorders>
              <w:top w:val="single" w:color="auto" w:sz="4" w:space="0"/>
              <w:left w:val="single" w:color="auto" w:sz="4" w:space="0"/>
              <w:bottom w:val="single" w:color="auto" w:sz="4" w:space="0"/>
              <w:right w:val="single" w:color="auto" w:sz="4" w:space="0"/>
            </w:tcBorders>
            <w:shd w:val="clear" w:color="auto" w:fill="auto"/>
            <w:tcMar>
              <w:left w:w="70" w:type="dxa"/>
              <w:right w:w="70" w:type="dxa"/>
            </w:tcMar>
            <w:vAlign w:val="center"/>
          </w:tcPr>
          <w:p>
            <w:pPr>
              <w:pStyle w:val="20"/>
              <w:pageBreakBefore w:val="0"/>
              <w:widowControl/>
              <w:kinsoku/>
              <w:wordWrap/>
              <w:overflowPunct/>
              <w:topLinePunct w:val="0"/>
              <w:autoSpaceDE/>
              <w:bidi w:val="0"/>
              <w:adjustRightInd/>
              <w:spacing w:beforeAutospacing="0" w:afterAutospacing="0" w:line="575" w:lineRule="exact"/>
              <w:jc w:val="center"/>
              <w:textAlignment w:val="auto"/>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4</w:t>
            </w:r>
          </w:p>
        </w:tc>
        <w:tc>
          <w:tcPr>
            <w:tcW w:w="3390" w:type="dxa"/>
            <w:tcBorders>
              <w:top w:val="single" w:color="auto" w:sz="4" w:space="0"/>
              <w:left w:val="single" w:color="auto" w:sz="4" w:space="0"/>
              <w:bottom w:val="single" w:color="auto" w:sz="4" w:space="0"/>
              <w:right w:val="single" w:color="auto" w:sz="4" w:space="0"/>
            </w:tcBorders>
            <w:shd w:val="clear" w:color="auto" w:fill="auto"/>
            <w:tcMar>
              <w:left w:w="70" w:type="dxa"/>
              <w:right w:w="70" w:type="dxa"/>
            </w:tcMar>
            <w:vAlign w:val="center"/>
          </w:tcPr>
          <w:p>
            <w:pPr>
              <w:pStyle w:val="20"/>
              <w:pageBreakBefore w:val="0"/>
              <w:widowControl/>
              <w:kinsoku/>
              <w:wordWrap/>
              <w:overflowPunct/>
              <w:topLinePunct w:val="0"/>
              <w:autoSpaceDE/>
              <w:bidi w:val="0"/>
              <w:adjustRightInd/>
              <w:spacing w:beforeAutospacing="0" w:afterAutospacing="0" w:line="575" w:lineRule="exact"/>
              <w:ind w:firstLine="480" w:firstLineChars="200"/>
              <w:jc w:val="both"/>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专业技术人才</w:t>
            </w:r>
          </w:p>
        </w:tc>
        <w:tc>
          <w:tcPr>
            <w:tcW w:w="930" w:type="dxa"/>
            <w:tcBorders>
              <w:top w:val="single" w:color="auto" w:sz="4" w:space="0"/>
              <w:left w:val="single" w:color="auto" w:sz="4" w:space="0"/>
              <w:bottom w:val="single" w:color="auto" w:sz="4" w:space="0"/>
              <w:right w:val="single" w:color="auto" w:sz="4" w:space="0"/>
            </w:tcBorders>
            <w:shd w:val="clear" w:color="auto" w:fill="auto"/>
            <w:tcMar>
              <w:left w:w="70" w:type="dxa"/>
              <w:right w:w="70" w:type="dxa"/>
            </w:tcMar>
            <w:vAlign w:val="center"/>
          </w:tcPr>
          <w:p>
            <w:pPr>
              <w:pStyle w:val="20"/>
              <w:pageBreakBefore w:val="0"/>
              <w:widowControl/>
              <w:kinsoku/>
              <w:wordWrap/>
              <w:overflowPunct/>
              <w:topLinePunct w:val="0"/>
              <w:autoSpaceDE/>
              <w:bidi w:val="0"/>
              <w:adjustRightInd/>
              <w:spacing w:beforeAutospacing="0" w:afterAutospacing="0" w:line="575" w:lineRule="exact"/>
              <w:jc w:val="center"/>
              <w:textAlignment w:val="auto"/>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万人</w:t>
            </w:r>
          </w:p>
        </w:tc>
        <w:tc>
          <w:tcPr>
            <w:tcW w:w="1380" w:type="dxa"/>
            <w:tcBorders>
              <w:top w:val="single" w:color="auto" w:sz="4" w:space="0"/>
              <w:left w:val="single" w:color="auto" w:sz="4" w:space="0"/>
              <w:bottom w:val="single" w:color="auto" w:sz="4" w:space="0"/>
              <w:right w:val="single" w:color="auto" w:sz="4" w:space="0"/>
            </w:tcBorders>
            <w:shd w:val="clear" w:color="auto" w:fill="auto"/>
            <w:tcMar>
              <w:left w:w="70" w:type="dxa"/>
              <w:right w:w="70" w:type="dxa"/>
            </w:tcMar>
            <w:vAlign w:val="center"/>
          </w:tcPr>
          <w:p>
            <w:pPr>
              <w:pStyle w:val="20"/>
              <w:pageBreakBefore w:val="0"/>
              <w:widowControl/>
              <w:kinsoku/>
              <w:wordWrap/>
              <w:overflowPunct/>
              <w:topLinePunct w:val="0"/>
              <w:autoSpaceDE/>
              <w:bidi w:val="0"/>
              <w:adjustRightInd/>
              <w:spacing w:beforeAutospacing="0" w:afterAutospacing="0" w:line="575" w:lineRule="exact"/>
              <w:jc w:val="center"/>
              <w:textAlignment w:val="auto"/>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16.29</w:t>
            </w:r>
          </w:p>
        </w:tc>
        <w:tc>
          <w:tcPr>
            <w:tcW w:w="1440" w:type="dxa"/>
            <w:tcBorders>
              <w:top w:val="single" w:color="auto" w:sz="4" w:space="0"/>
              <w:left w:val="single" w:color="auto" w:sz="4" w:space="0"/>
              <w:bottom w:val="single" w:color="auto" w:sz="4" w:space="0"/>
              <w:right w:val="single" w:color="auto" w:sz="4" w:space="0"/>
            </w:tcBorders>
            <w:shd w:val="clear" w:color="auto" w:fill="auto"/>
            <w:tcMar>
              <w:left w:w="70" w:type="dxa"/>
              <w:right w:w="70" w:type="dxa"/>
            </w:tcMar>
            <w:vAlign w:val="center"/>
          </w:tcPr>
          <w:p>
            <w:pPr>
              <w:pStyle w:val="20"/>
              <w:pageBreakBefore w:val="0"/>
              <w:widowControl/>
              <w:kinsoku/>
              <w:wordWrap/>
              <w:overflowPunct/>
              <w:topLinePunct w:val="0"/>
              <w:autoSpaceDE/>
              <w:bidi w:val="0"/>
              <w:adjustRightInd/>
              <w:spacing w:beforeAutospacing="0" w:afterAutospacing="0" w:line="575" w:lineRule="exact"/>
              <w:jc w:val="center"/>
              <w:textAlignment w:val="auto"/>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20.8</w:t>
            </w:r>
          </w:p>
        </w:tc>
      </w:tr>
      <w:tr>
        <w:tblPrEx>
          <w:tblCellMar>
            <w:top w:w="0" w:type="dxa"/>
            <w:left w:w="0" w:type="dxa"/>
            <w:bottom w:w="0" w:type="dxa"/>
            <w:right w:w="0" w:type="dxa"/>
          </w:tblCellMar>
        </w:tblPrEx>
        <w:trPr>
          <w:trHeight w:val="624" w:hRule="atLeast"/>
          <w:jc w:val="center"/>
        </w:trPr>
        <w:tc>
          <w:tcPr>
            <w:tcW w:w="1213" w:type="dxa"/>
            <w:vMerge w:val="continue"/>
            <w:tcBorders>
              <w:top w:val="single" w:color="auto" w:sz="4" w:space="0"/>
              <w:left w:val="single" w:color="auto" w:sz="4" w:space="0"/>
              <w:bottom w:val="single" w:color="auto" w:sz="4" w:space="0"/>
              <w:right w:val="single" w:color="auto" w:sz="4" w:space="0"/>
            </w:tcBorders>
            <w:shd w:val="clear" w:color="auto" w:fill="auto"/>
            <w:tcMar>
              <w:left w:w="70" w:type="dxa"/>
              <w:right w:w="70" w:type="dxa"/>
            </w:tcMar>
            <w:vAlign w:val="center"/>
          </w:tcPr>
          <w:p>
            <w:pPr>
              <w:pStyle w:val="20"/>
              <w:pageBreakBefore w:val="0"/>
              <w:widowControl/>
              <w:kinsoku/>
              <w:wordWrap/>
              <w:overflowPunct/>
              <w:topLinePunct w:val="0"/>
              <w:autoSpaceDE/>
              <w:bidi w:val="0"/>
              <w:adjustRightInd/>
              <w:spacing w:beforeAutospacing="0" w:afterAutospacing="0" w:line="575" w:lineRule="exact"/>
              <w:jc w:val="center"/>
              <w:textAlignment w:val="auto"/>
              <w:rPr>
                <w:rFonts w:hint="eastAsia" w:ascii="仿宋_GB2312" w:hAnsi="仿宋_GB2312" w:eastAsia="仿宋_GB2312" w:cs="仿宋_GB2312"/>
                <w:sz w:val="24"/>
                <w:szCs w:val="24"/>
                <w:highlight w:val="none"/>
              </w:rPr>
            </w:pPr>
          </w:p>
        </w:tc>
        <w:tc>
          <w:tcPr>
            <w:tcW w:w="800" w:type="dxa"/>
            <w:tcBorders>
              <w:top w:val="single" w:color="auto" w:sz="4" w:space="0"/>
              <w:left w:val="single" w:color="auto" w:sz="4" w:space="0"/>
              <w:bottom w:val="single" w:color="auto" w:sz="4" w:space="0"/>
              <w:right w:val="single" w:color="auto" w:sz="4" w:space="0"/>
            </w:tcBorders>
            <w:shd w:val="clear" w:color="auto" w:fill="auto"/>
            <w:tcMar>
              <w:left w:w="70" w:type="dxa"/>
              <w:right w:w="70" w:type="dxa"/>
            </w:tcMar>
            <w:vAlign w:val="center"/>
          </w:tcPr>
          <w:p>
            <w:pPr>
              <w:pStyle w:val="20"/>
              <w:pageBreakBefore w:val="0"/>
              <w:widowControl/>
              <w:kinsoku/>
              <w:wordWrap/>
              <w:overflowPunct/>
              <w:topLinePunct w:val="0"/>
              <w:autoSpaceDE/>
              <w:bidi w:val="0"/>
              <w:adjustRightInd/>
              <w:spacing w:beforeAutospacing="0" w:afterAutospacing="0" w:line="575" w:lineRule="exact"/>
              <w:jc w:val="center"/>
              <w:textAlignment w:val="auto"/>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5</w:t>
            </w:r>
          </w:p>
        </w:tc>
        <w:tc>
          <w:tcPr>
            <w:tcW w:w="3390" w:type="dxa"/>
            <w:tcBorders>
              <w:top w:val="single" w:color="auto" w:sz="4" w:space="0"/>
              <w:left w:val="single" w:color="auto" w:sz="4" w:space="0"/>
              <w:bottom w:val="single" w:color="auto" w:sz="4" w:space="0"/>
              <w:right w:val="single" w:color="auto" w:sz="4" w:space="0"/>
            </w:tcBorders>
            <w:shd w:val="clear" w:color="auto" w:fill="auto"/>
            <w:tcMar>
              <w:left w:w="70" w:type="dxa"/>
              <w:right w:w="70" w:type="dxa"/>
            </w:tcMar>
            <w:vAlign w:val="center"/>
          </w:tcPr>
          <w:p>
            <w:pPr>
              <w:pStyle w:val="20"/>
              <w:pageBreakBefore w:val="0"/>
              <w:widowControl/>
              <w:kinsoku/>
              <w:wordWrap/>
              <w:overflowPunct/>
              <w:topLinePunct w:val="0"/>
              <w:autoSpaceDE/>
              <w:bidi w:val="0"/>
              <w:adjustRightInd/>
              <w:spacing w:beforeAutospacing="0" w:afterAutospacing="0" w:line="575" w:lineRule="exact"/>
              <w:ind w:firstLine="480" w:firstLineChars="200"/>
              <w:jc w:val="both"/>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高技能人才</w:t>
            </w:r>
          </w:p>
        </w:tc>
        <w:tc>
          <w:tcPr>
            <w:tcW w:w="930" w:type="dxa"/>
            <w:tcBorders>
              <w:top w:val="single" w:color="auto" w:sz="4" w:space="0"/>
              <w:left w:val="single" w:color="auto" w:sz="4" w:space="0"/>
              <w:bottom w:val="single" w:color="auto" w:sz="4" w:space="0"/>
              <w:right w:val="single" w:color="auto" w:sz="4" w:space="0"/>
            </w:tcBorders>
            <w:shd w:val="clear" w:color="auto" w:fill="auto"/>
            <w:tcMar>
              <w:left w:w="70" w:type="dxa"/>
              <w:right w:w="70" w:type="dxa"/>
            </w:tcMar>
            <w:vAlign w:val="center"/>
          </w:tcPr>
          <w:p>
            <w:pPr>
              <w:pStyle w:val="20"/>
              <w:pageBreakBefore w:val="0"/>
              <w:widowControl/>
              <w:kinsoku/>
              <w:wordWrap/>
              <w:overflowPunct/>
              <w:topLinePunct w:val="0"/>
              <w:autoSpaceDE/>
              <w:bidi w:val="0"/>
              <w:adjustRightInd/>
              <w:spacing w:beforeAutospacing="0" w:afterAutospacing="0" w:line="575" w:lineRule="exact"/>
              <w:jc w:val="center"/>
              <w:textAlignment w:val="auto"/>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万人</w:t>
            </w:r>
          </w:p>
        </w:tc>
        <w:tc>
          <w:tcPr>
            <w:tcW w:w="1380" w:type="dxa"/>
            <w:tcBorders>
              <w:top w:val="single" w:color="auto" w:sz="4" w:space="0"/>
              <w:left w:val="single" w:color="auto" w:sz="4" w:space="0"/>
              <w:bottom w:val="single" w:color="auto" w:sz="4" w:space="0"/>
              <w:right w:val="single" w:color="auto" w:sz="4" w:space="0"/>
            </w:tcBorders>
            <w:shd w:val="clear" w:color="auto" w:fill="auto"/>
            <w:tcMar>
              <w:left w:w="70" w:type="dxa"/>
              <w:right w:w="70" w:type="dxa"/>
            </w:tcMar>
            <w:vAlign w:val="center"/>
          </w:tcPr>
          <w:p>
            <w:pPr>
              <w:pStyle w:val="20"/>
              <w:pageBreakBefore w:val="0"/>
              <w:widowControl/>
              <w:kinsoku/>
              <w:wordWrap/>
              <w:overflowPunct/>
              <w:topLinePunct w:val="0"/>
              <w:autoSpaceDE/>
              <w:bidi w:val="0"/>
              <w:adjustRightInd/>
              <w:spacing w:beforeAutospacing="0" w:afterAutospacing="0" w:line="575" w:lineRule="exact"/>
              <w:jc w:val="center"/>
              <w:textAlignment w:val="auto"/>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4.8</w:t>
            </w:r>
          </w:p>
        </w:tc>
        <w:tc>
          <w:tcPr>
            <w:tcW w:w="1440" w:type="dxa"/>
            <w:tcBorders>
              <w:top w:val="single" w:color="auto" w:sz="4" w:space="0"/>
              <w:left w:val="single" w:color="auto" w:sz="4" w:space="0"/>
              <w:bottom w:val="single" w:color="auto" w:sz="4" w:space="0"/>
              <w:right w:val="single" w:color="auto" w:sz="4" w:space="0"/>
            </w:tcBorders>
            <w:shd w:val="clear" w:color="auto" w:fill="auto"/>
            <w:tcMar>
              <w:left w:w="70" w:type="dxa"/>
              <w:right w:w="70" w:type="dxa"/>
            </w:tcMar>
            <w:vAlign w:val="center"/>
          </w:tcPr>
          <w:p>
            <w:pPr>
              <w:pStyle w:val="20"/>
              <w:pageBreakBefore w:val="0"/>
              <w:widowControl/>
              <w:kinsoku/>
              <w:wordWrap/>
              <w:overflowPunct/>
              <w:topLinePunct w:val="0"/>
              <w:autoSpaceDE/>
              <w:bidi w:val="0"/>
              <w:adjustRightInd/>
              <w:spacing w:beforeAutospacing="0" w:afterAutospacing="0" w:line="575" w:lineRule="exact"/>
              <w:jc w:val="center"/>
              <w:textAlignment w:val="auto"/>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7.5</w:t>
            </w:r>
          </w:p>
        </w:tc>
      </w:tr>
      <w:tr>
        <w:tblPrEx>
          <w:tblCellMar>
            <w:top w:w="0" w:type="dxa"/>
            <w:left w:w="0" w:type="dxa"/>
            <w:bottom w:w="0" w:type="dxa"/>
            <w:right w:w="0" w:type="dxa"/>
          </w:tblCellMar>
        </w:tblPrEx>
        <w:trPr>
          <w:trHeight w:val="624" w:hRule="atLeast"/>
          <w:jc w:val="center"/>
        </w:trPr>
        <w:tc>
          <w:tcPr>
            <w:tcW w:w="1213" w:type="dxa"/>
            <w:vMerge w:val="continue"/>
            <w:tcBorders>
              <w:top w:val="single" w:color="auto" w:sz="4" w:space="0"/>
              <w:left w:val="single" w:color="auto" w:sz="4" w:space="0"/>
              <w:bottom w:val="single" w:color="auto" w:sz="4" w:space="0"/>
              <w:right w:val="single" w:color="auto" w:sz="4" w:space="0"/>
            </w:tcBorders>
            <w:shd w:val="clear" w:color="auto" w:fill="auto"/>
            <w:tcMar>
              <w:left w:w="70" w:type="dxa"/>
              <w:right w:w="70" w:type="dxa"/>
            </w:tcMar>
            <w:vAlign w:val="center"/>
          </w:tcPr>
          <w:p>
            <w:pPr>
              <w:pStyle w:val="20"/>
              <w:pageBreakBefore w:val="0"/>
              <w:widowControl/>
              <w:kinsoku/>
              <w:wordWrap/>
              <w:overflowPunct/>
              <w:topLinePunct w:val="0"/>
              <w:autoSpaceDE/>
              <w:bidi w:val="0"/>
              <w:adjustRightInd/>
              <w:spacing w:beforeAutospacing="0" w:afterAutospacing="0" w:line="575" w:lineRule="exact"/>
              <w:jc w:val="center"/>
              <w:textAlignment w:val="auto"/>
              <w:rPr>
                <w:rFonts w:hint="eastAsia" w:ascii="仿宋_GB2312" w:hAnsi="仿宋_GB2312" w:eastAsia="仿宋_GB2312" w:cs="仿宋_GB2312"/>
                <w:sz w:val="24"/>
                <w:szCs w:val="24"/>
                <w:highlight w:val="none"/>
              </w:rPr>
            </w:pPr>
          </w:p>
        </w:tc>
        <w:tc>
          <w:tcPr>
            <w:tcW w:w="800" w:type="dxa"/>
            <w:tcBorders>
              <w:top w:val="single" w:color="auto" w:sz="4" w:space="0"/>
              <w:left w:val="single" w:color="auto" w:sz="4" w:space="0"/>
              <w:bottom w:val="single" w:color="auto" w:sz="4" w:space="0"/>
              <w:right w:val="single" w:color="auto" w:sz="4" w:space="0"/>
            </w:tcBorders>
            <w:shd w:val="clear" w:color="auto" w:fill="auto"/>
            <w:tcMar>
              <w:left w:w="70" w:type="dxa"/>
              <w:right w:w="70" w:type="dxa"/>
            </w:tcMar>
            <w:vAlign w:val="center"/>
          </w:tcPr>
          <w:p>
            <w:pPr>
              <w:pStyle w:val="20"/>
              <w:pageBreakBefore w:val="0"/>
              <w:widowControl/>
              <w:kinsoku/>
              <w:wordWrap/>
              <w:overflowPunct/>
              <w:topLinePunct w:val="0"/>
              <w:autoSpaceDE/>
              <w:bidi w:val="0"/>
              <w:adjustRightInd/>
              <w:spacing w:beforeAutospacing="0" w:afterAutospacing="0" w:line="575" w:lineRule="exact"/>
              <w:jc w:val="center"/>
              <w:textAlignment w:val="auto"/>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6</w:t>
            </w:r>
          </w:p>
        </w:tc>
        <w:tc>
          <w:tcPr>
            <w:tcW w:w="3390" w:type="dxa"/>
            <w:tcBorders>
              <w:top w:val="single" w:color="auto" w:sz="4" w:space="0"/>
              <w:left w:val="single" w:color="auto" w:sz="4" w:space="0"/>
              <w:bottom w:val="single" w:color="auto" w:sz="4" w:space="0"/>
              <w:right w:val="single" w:color="auto" w:sz="4" w:space="0"/>
            </w:tcBorders>
            <w:shd w:val="clear" w:color="auto" w:fill="auto"/>
            <w:tcMar>
              <w:left w:w="70" w:type="dxa"/>
              <w:right w:w="70" w:type="dxa"/>
            </w:tcMar>
            <w:vAlign w:val="center"/>
          </w:tcPr>
          <w:p>
            <w:pPr>
              <w:pStyle w:val="20"/>
              <w:pageBreakBefore w:val="0"/>
              <w:widowControl/>
              <w:kinsoku/>
              <w:wordWrap/>
              <w:overflowPunct/>
              <w:topLinePunct w:val="0"/>
              <w:autoSpaceDE/>
              <w:bidi w:val="0"/>
              <w:adjustRightInd/>
              <w:spacing w:beforeAutospacing="0" w:afterAutospacing="0" w:line="575" w:lineRule="exact"/>
              <w:ind w:firstLine="480" w:firstLineChars="200"/>
              <w:jc w:val="both"/>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乡村振兴</w:t>
            </w:r>
            <w:r>
              <w:rPr>
                <w:rFonts w:hint="eastAsia" w:ascii="仿宋_GB2312" w:hAnsi="仿宋_GB2312" w:eastAsia="仿宋_GB2312" w:cs="仿宋_GB2312"/>
                <w:sz w:val="24"/>
                <w:szCs w:val="24"/>
                <w:highlight w:val="none"/>
              </w:rPr>
              <w:t>人才</w:t>
            </w:r>
          </w:p>
        </w:tc>
        <w:tc>
          <w:tcPr>
            <w:tcW w:w="930" w:type="dxa"/>
            <w:tcBorders>
              <w:top w:val="single" w:color="auto" w:sz="4" w:space="0"/>
              <w:left w:val="single" w:color="auto" w:sz="4" w:space="0"/>
              <w:bottom w:val="single" w:color="auto" w:sz="4" w:space="0"/>
              <w:right w:val="single" w:color="auto" w:sz="4" w:space="0"/>
            </w:tcBorders>
            <w:shd w:val="clear" w:color="auto" w:fill="auto"/>
            <w:tcMar>
              <w:left w:w="70" w:type="dxa"/>
              <w:right w:w="70" w:type="dxa"/>
            </w:tcMar>
            <w:vAlign w:val="center"/>
          </w:tcPr>
          <w:p>
            <w:pPr>
              <w:pStyle w:val="20"/>
              <w:pageBreakBefore w:val="0"/>
              <w:widowControl/>
              <w:kinsoku/>
              <w:wordWrap/>
              <w:overflowPunct/>
              <w:topLinePunct w:val="0"/>
              <w:autoSpaceDE/>
              <w:bidi w:val="0"/>
              <w:adjustRightInd/>
              <w:spacing w:beforeAutospacing="0" w:afterAutospacing="0" w:line="575" w:lineRule="exact"/>
              <w:jc w:val="center"/>
              <w:textAlignment w:val="auto"/>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万人</w:t>
            </w:r>
          </w:p>
        </w:tc>
        <w:tc>
          <w:tcPr>
            <w:tcW w:w="1380" w:type="dxa"/>
            <w:tcBorders>
              <w:top w:val="single" w:color="auto" w:sz="4" w:space="0"/>
              <w:left w:val="single" w:color="auto" w:sz="4" w:space="0"/>
              <w:bottom w:val="single" w:color="auto" w:sz="4" w:space="0"/>
              <w:right w:val="single" w:color="auto" w:sz="4" w:space="0"/>
            </w:tcBorders>
            <w:shd w:val="clear" w:color="auto" w:fill="auto"/>
            <w:tcMar>
              <w:left w:w="70" w:type="dxa"/>
              <w:right w:w="70" w:type="dxa"/>
            </w:tcMar>
            <w:vAlign w:val="center"/>
          </w:tcPr>
          <w:p>
            <w:pPr>
              <w:pStyle w:val="20"/>
              <w:pageBreakBefore w:val="0"/>
              <w:widowControl/>
              <w:kinsoku/>
              <w:wordWrap/>
              <w:overflowPunct/>
              <w:topLinePunct w:val="0"/>
              <w:autoSpaceDE/>
              <w:bidi w:val="0"/>
              <w:adjustRightInd/>
              <w:spacing w:beforeAutospacing="0" w:afterAutospacing="0" w:line="575" w:lineRule="exact"/>
              <w:jc w:val="center"/>
              <w:textAlignment w:val="auto"/>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7.46</w:t>
            </w:r>
          </w:p>
        </w:tc>
        <w:tc>
          <w:tcPr>
            <w:tcW w:w="1440" w:type="dxa"/>
            <w:tcBorders>
              <w:top w:val="single" w:color="auto" w:sz="4" w:space="0"/>
              <w:left w:val="single" w:color="auto" w:sz="4" w:space="0"/>
              <w:bottom w:val="single" w:color="auto" w:sz="4" w:space="0"/>
              <w:right w:val="single" w:color="auto" w:sz="4" w:space="0"/>
            </w:tcBorders>
            <w:shd w:val="clear" w:color="auto" w:fill="auto"/>
            <w:tcMar>
              <w:left w:w="70" w:type="dxa"/>
              <w:right w:w="70" w:type="dxa"/>
            </w:tcMar>
            <w:vAlign w:val="center"/>
          </w:tcPr>
          <w:p>
            <w:pPr>
              <w:pStyle w:val="20"/>
              <w:pageBreakBefore w:val="0"/>
              <w:widowControl/>
              <w:kinsoku/>
              <w:wordWrap/>
              <w:overflowPunct/>
              <w:topLinePunct w:val="0"/>
              <w:autoSpaceDE/>
              <w:bidi w:val="0"/>
              <w:adjustRightInd/>
              <w:spacing w:beforeAutospacing="0" w:afterAutospacing="0" w:line="575" w:lineRule="exact"/>
              <w:jc w:val="center"/>
              <w:textAlignment w:val="auto"/>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10.7</w:t>
            </w:r>
          </w:p>
        </w:tc>
      </w:tr>
      <w:tr>
        <w:tblPrEx>
          <w:tblCellMar>
            <w:top w:w="0" w:type="dxa"/>
            <w:left w:w="0" w:type="dxa"/>
            <w:bottom w:w="0" w:type="dxa"/>
            <w:right w:w="0" w:type="dxa"/>
          </w:tblCellMar>
        </w:tblPrEx>
        <w:trPr>
          <w:trHeight w:val="624" w:hRule="atLeast"/>
          <w:jc w:val="center"/>
        </w:trPr>
        <w:tc>
          <w:tcPr>
            <w:tcW w:w="1213" w:type="dxa"/>
            <w:vMerge w:val="continue"/>
            <w:tcBorders>
              <w:top w:val="single" w:color="auto" w:sz="4" w:space="0"/>
              <w:left w:val="single" w:color="auto" w:sz="4" w:space="0"/>
              <w:bottom w:val="single" w:color="auto" w:sz="4" w:space="0"/>
              <w:right w:val="single" w:color="auto" w:sz="4" w:space="0"/>
            </w:tcBorders>
            <w:shd w:val="clear" w:color="auto" w:fill="auto"/>
            <w:tcMar>
              <w:left w:w="70" w:type="dxa"/>
              <w:right w:w="70" w:type="dxa"/>
            </w:tcMar>
            <w:vAlign w:val="center"/>
          </w:tcPr>
          <w:p>
            <w:pPr>
              <w:pStyle w:val="20"/>
              <w:pageBreakBefore w:val="0"/>
              <w:widowControl/>
              <w:kinsoku/>
              <w:wordWrap/>
              <w:overflowPunct/>
              <w:topLinePunct w:val="0"/>
              <w:autoSpaceDE/>
              <w:bidi w:val="0"/>
              <w:adjustRightInd/>
              <w:spacing w:beforeAutospacing="0" w:afterAutospacing="0" w:line="575" w:lineRule="exact"/>
              <w:jc w:val="center"/>
              <w:textAlignment w:val="auto"/>
              <w:rPr>
                <w:rFonts w:hint="eastAsia" w:ascii="仿宋_GB2312" w:hAnsi="仿宋_GB2312" w:eastAsia="仿宋_GB2312" w:cs="仿宋_GB2312"/>
                <w:sz w:val="24"/>
                <w:szCs w:val="24"/>
                <w:highlight w:val="none"/>
              </w:rPr>
            </w:pPr>
          </w:p>
        </w:tc>
        <w:tc>
          <w:tcPr>
            <w:tcW w:w="800" w:type="dxa"/>
            <w:tcBorders>
              <w:top w:val="single" w:color="auto" w:sz="4" w:space="0"/>
              <w:left w:val="single" w:color="auto" w:sz="4" w:space="0"/>
              <w:bottom w:val="single" w:color="auto" w:sz="4" w:space="0"/>
              <w:right w:val="single" w:color="auto" w:sz="4" w:space="0"/>
            </w:tcBorders>
            <w:shd w:val="clear" w:color="auto" w:fill="auto"/>
            <w:tcMar>
              <w:left w:w="70" w:type="dxa"/>
              <w:right w:w="70" w:type="dxa"/>
            </w:tcMar>
            <w:vAlign w:val="center"/>
          </w:tcPr>
          <w:p>
            <w:pPr>
              <w:pStyle w:val="20"/>
              <w:pageBreakBefore w:val="0"/>
              <w:widowControl/>
              <w:kinsoku/>
              <w:wordWrap/>
              <w:overflowPunct/>
              <w:topLinePunct w:val="0"/>
              <w:autoSpaceDE/>
              <w:bidi w:val="0"/>
              <w:adjustRightInd/>
              <w:spacing w:beforeAutospacing="0" w:afterAutospacing="0" w:line="575" w:lineRule="exact"/>
              <w:jc w:val="center"/>
              <w:textAlignment w:val="auto"/>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7</w:t>
            </w:r>
          </w:p>
        </w:tc>
        <w:tc>
          <w:tcPr>
            <w:tcW w:w="3390" w:type="dxa"/>
            <w:tcBorders>
              <w:top w:val="single" w:color="auto" w:sz="4" w:space="0"/>
              <w:left w:val="single" w:color="auto" w:sz="4" w:space="0"/>
              <w:bottom w:val="single" w:color="auto" w:sz="4" w:space="0"/>
              <w:right w:val="single" w:color="auto" w:sz="4" w:space="0"/>
            </w:tcBorders>
            <w:shd w:val="clear" w:color="auto" w:fill="auto"/>
            <w:tcMar>
              <w:left w:w="70" w:type="dxa"/>
              <w:right w:w="70" w:type="dxa"/>
            </w:tcMar>
            <w:vAlign w:val="center"/>
          </w:tcPr>
          <w:p>
            <w:pPr>
              <w:pStyle w:val="20"/>
              <w:pageBreakBefore w:val="0"/>
              <w:widowControl/>
              <w:kinsoku/>
              <w:wordWrap/>
              <w:overflowPunct/>
              <w:topLinePunct w:val="0"/>
              <w:autoSpaceDE/>
              <w:bidi w:val="0"/>
              <w:adjustRightInd/>
              <w:spacing w:beforeAutospacing="0" w:afterAutospacing="0" w:line="575" w:lineRule="exact"/>
              <w:ind w:firstLine="480" w:firstLineChars="200"/>
              <w:jc w:val="both"/>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社会工作专业人才</w:t>
            </w:r>
          </w:p>
        </w:tc>
        <w:tc>
          <w:tcPr>
            <w:tcW w:w="930" w:type="dxa"/>
            <w:tcBorders>
              <w:top w:val="single" w:color="auto" w:sz="4" w:space="0"/>
              <w:left w:val="single" w:color="auto" w:sz="4" w:space="0"/>
              <w:bottom w:val="single" w:color="auto" w:sz="4" w:space="0"/>
              <w:right w:val="single" w:color="auto" w:sz="4" w:space="0"/>
            </w:tcBorders>
            <w:shd w:val="clear" w:color="auto" w:fill="auto"/>
            <w:tcMar>
              <w:left w:w="70" w:type="dxa"/>
              <w:right w:w="70" w:type="dxa"/>
            </w:tcMar>
            <w:vAlign w:val="center"/>
          </w:tcPr>
          <w:p>
            <w:pPr>
              <w:pStyle w:val="20"/>
              <w:pageBreakBefore w:val="0"/>
              <w:widowControl/>
              <w:kinsoku/>
              <w:wordWrap/>
              <w:overflowPunct/>
              <w:topLinePunct w:val="0"/>
              <w:autoSpaceDE/>
              <w:bidi w:val="0"/>
              <w:adjustRightInd/>
              <w:spacing w:beforeAutospacing="0" w:afterAutospacing="0" w:line="575" w:lineRule="exact"/>
              <w:jc w:val="center"/>
              <w:textAlignment w:val="auto"/>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万人</w:t>
            </w:r>
          </w:p>
        </w:tc>
        <w:tc>
          <w:tcPr>
            <w:tcW w:w="1380" w:type="dxa"/>
            <w:tcBorders>
              <w:top w:val="single" w:color="auto" w:sz="4" w:space="0"/>
              <w:left w:val="single" w:color="auto" w:sz="4" w:space="0"/>
              <w:bottom w:val="single" w:color="auto" w:sz="4" w:space="0"/>
              <w:right w:val="single" w:color="auto" w:sz="4" w:space="0"/>
            </w:tcBorders>
            <w:shd w:val="clear" w:color="auto" w:fill="auto"/>
            <w:tcMar>
              <w:left w:w="70" w:type="dxa"/>
              <w:right w:w="70" w:type="dxa"/>
            </w:tcMar>
            <w:vAlign w:val="center"/>
          </w:tcPr>
          <w:p>
            <w:pPr>
              <w:pStyle w:val="20"/>
              <w:pageBreakBefore w:val="0"/>
              <w:widowControl/>
              <w:kinsoku/>
              <w:wordWrap/>
              <w:overflowPunct/>
              <w:topLinePunct w:val="0"/>
              <w:autoSpaceDE/>
              <w:bidi w:val="0"/>
              <w:adjustRightInd/>
              <w:spacing w:beforeAutospacing="0" w:afterAutospacing="0" w:line="575" w:lineRule="exact"/>
              <w:jc w:val="center"/>
              <w:textAlignment w:val="auto"/>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0.86</w:t>
            </w:r>
          </w:p>
        </w:tc>
        <w:tc>
          <w:tcPr>
            <w:tcW w:w="1440" w:type="dxa"/>
            <w:tcBorders>
              <w:top w:val="single" w:color="auto" w:sz="4" w:space="0"/>
              <w:left w:val="single" w:color="auto" w:sz="4" w:space="0"/>
              <w:bottom w:val="single" w:color="auto" w:sz="4" w:space="0"/>
              <w:right w:val="single" w:color="auto" w:sz="4" w:space="0"/>
            </w:tcBorders>
            <w:shd w:val="clear" w:color="auto" w:fill="auto"/>
            <w:tcMar>
              <w:left w:w="70" w:type="dxa"/>
              <w:right w:w="70" w:type="dxa"/>
            </w:tcMar>
            <w:vAlign w:val="center"/>
          </w:tcPr>
          <w:p>
            <w:pPr>
              <w:pStyle w:val="20"/>
              <w:pageBreakBefore w:val="0"/>
              <w:widowControl/>
              <w:kinsoku/>
              <w:wordWrap/>
              <w:overflowPunct/>
              <w:topLinePunct w:val="0"/>
              <w:autoSpaceDE/>
              <w:bidi w:val="0"/>
              <w:adjustRightInd/>
              <w:spacing w:beforeAutospacing="0" w:afterAutospacing="0" w:line="575" w:lineRule="exact"/>
              <w:jc w:val="center"/>
              <w:textAlignment w:val="auto"/>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1.4</w:t>
            </w:r>
          </w:p>
        </w:tc>
      </w:tr>
      <w:tr>
        <w:tblPrEx>
          <w:tblCellMar>
            <w:top w:w="0" w:type="dxa"/>
            <w:left w:w="0" w:type="dxa"/>
            <w:bottom w:w="0" w:type="dxa"/>
            <w:right w:w="0" w:type="dxa"/>
          </w:tblCellMar>
        </w:tblPrEx>
        <w:trPr>
          <w:trHeight w:val="624" w:hRule="atLeast"/>
          <w:jc w:val="center"/>
        </w:trPr>
        <w:tc>
          <w:tcPr>
            <w:tcW w:w="1213" w:type="dxa"/>
            <w:vMerge w:val="restart"/>
            <w:tcBorders>
              <w:top w:val="single" w:color="auto" w:sz="4" w:space="0"/>
              <w:left w:val="single" w:color="auto" w:sz="4" w:space="0"/>
              <w:bottom w:val="single" w:color="auto" w:sz="4" w:space="0"/>
              <w:right w:val="single" w:color="auto" w:sz="4" w:space="0"/>
            </w:tcBorders>
            <w:shd w:val="clear" w:color="auto" w:fill="auto"/>
            <w:tcMar>
              <w:left w:w="70" w:type="dxa"/>
              <w:right w:w="70" w:type="dxa"/>
            </w:tcMar>
            <w:vAlign w:val="center"/>
          </w:tcPr>
          <w:p>
            <w:pPr>
              <w:pStyle w:val="20"/>
              <w:pageBreakBefore w:val="0"/>
              <w:widowControl/>
              <w:kinsoku/>
              <w:wordWrap/>
              <w:overflowPunct/>
              <w:topLinePunct w:val="0"/>
              <w:autoSpaceDE/>
              <w:bidi w:val="0"/>
              <w:adjustRightInd/>
              <w:spacing w:beforeAutospacing="0" w:afterAutospacing="0" w:line="575" w:lineRule="exact"/>
              <w:jc w:val="center"/>
              <w:textAlignment w:val="auto"/>
              <w:rPr>
                <w:rFonts w:hint="default"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人才载体</w:t>
            </w:r>
          </w:p>
        </w:tc>
        <w:tc>
          <w:tcPr>
            <w:tcW w:w="800" w:type="dxa"/>
            <w:tcBorders>
              <w:top w:val="single" w:color="auto" w:sz="4" w:space="0"/>
              <w:left w:val="single" w:color="auto" w:sz="4" w:space="0"/>
              <w:bottom w:val="single" w:color="auto" w:sz="4" w:space="0"/>
              <w:right w:val="single" w:color="auto" w:sz="4" w:space="0"/>
            </w:tcBorders>
            <w:shd w:val="clear" w:color="auto" w:fill="auto"/>
            <w:tcMar>
              <w:left w:w="70" w:type="dxa"/>
              <w:right w:w="70" w:type="dxa"/>
            </w:tcMar>
            <w:vAlign w:val="center"/>
          </w:tcPr>
          <w:p>
            <w:pPr>
              <w:pStyle w:val="20"/>
              <w:pageBreakBefore w:val="0"/>
              <w:widowControl/>
              <w:kinsoku/>
              <w:wordWrap/>
              <w:overflowPunct/>
              <w:topLinePunct w:val="0"/>
              <w:autoSpaceDE/>
              <w:bidi w:val="0"/>
              <w:adjustRightInd/>
              <w:spacing w:beforeAutospacing="0" w:afterAutospacing="0" w:line="575" w:lineRule="exact"/>
              <w:jc w:val="center"/>
              <w:textAlignment w:val="auto"/>
              <w:rPr>
                <w:rFonts w:hint="default"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8</w:t>
            </w:r>
          </w:p>
        </w:tc>
        <w:tc>
          <w:tcPr>
            <w:tcW w:w="3390" w:type="dxa"/>
            <w:tcBorders>
              <w:top w:val="single" w:color="auto" w:sz="4" w:space="0"/>
              <w:left w:val="single" w:color="auto" w:sz="4" w:space="0"/>
              <w:bottom w:val="single" w:color="auto" w:sz="4" w:space="0"/>
              <w:right w:val="single" w:color="auto" w:sz="4" w:space="0"/>
            </w:tcBorders>
            <w:shd w:val="clear" w:color="auto" w:fill="auto"/>
            <w:tcMar>
              <w:left w:w="70" w:type="dxa"/>
              <w:right w:w="70" w:type="dxa"/>
            </w:tcMar>
            <w:vAlign w:val="center"/>
          </w:tcPr>
          <w:p>
            <w:pPr>
              <w:pStyle w:val="20"/>
              <w:pageBreakBefore w:val="0"/>
              <w:widowControl/>
              <w:kinsoku/>
              <w:wordWrap/>
              <w:overflowPunct/>
              <w:topLinePunct w:val="0"/>
              <w:autoSpaceDE/>
              <w:bidi w:val="0"/>
              <w:adjustRightInd/>
              <w:spacing w:beforeAutospacing="0" w:afterAutospacing="0" w:line="575" w:lineRule="exact"/>
              <w:jc w:val="both"/>
              <w:textAlignment w:val="auto"/>
              <w:rPr>
                <w:rFonts w:hint="default"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博士后科研工作站、流动站</w:t>
            </w:r>
          </w:p>
        </w:tc>
        <w:tc>
          <w:tcPr>
            <w:tcW w:w="930" w:type="dxa"/>
            <w:tcBorders>
              <w:top w:val="single" w:color="auto" w:sz="4" w:space="0"/>
              <w:left w:val="single" w:color="auto" w:sz="4" w:space="0"/>
              <w:bottom w:val="single" w:color="auto" w:sz="4" w:space="0"/>
              <w:right w:val="single" w:color="auto" w:sz="4" w:space="0"/>
            </w:tcBorders>
            <w:shd w:val="clear" w:color="auto" w:fill="auto"/>
            <w:tcMar>
              <w:left w:w="70" w:type="dxa"/>
              <w:right w:w="70" w:type="dxa"/>
            </w:tcMar>
            <w:vAlign w:val="center"/>
          </w:tcPr>
          <w:p>
            <w:pPr>
              <w:pStyle w:val="20"/>
              <w:pageBreakBefore w:val="0"/>
              <w:widowControl/>
              <w:kinsoku/>
              <w:wordWrap/>
              <w:overflowPunct/>
              <w:topLinePunct w:val="0"/>
              <w:autoSpaceDE/>
              <w:bidi w:val="0"/>
              <w:adjustRightInd/>
              <w:spacing w:beforeAutospacing="0" w:afterAutospacing="0" w:line="575" w:lineRule="exact"/>
              <w:jc w:val="center"/>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家</w:t>
            </w:r>
          </w:p>
        </w:tc>
        <w:tc>
          <w:tcPr>
            <w:tcW w:w="1380" w:type="dxa"/>
            <w:tcBorders>
              <w:top w:val="single" w:color="auto" w:sz="4" w:space="0"/>
              <w:left w:val="single" w:color="auto" w:sz="4" w:space="0"/>
              <w:bottom w:val="single" w:color="auto" w:sz="4" w:space="0"/>
              <w:right w:val="single" w:color="auto" w:sz="4" w:space="0"/>
            </w:tcBorders>
            <w:shd w:val="clear" w:color="auto" w:fill="auto"/>
            <w:tcMar>
              <w:left w:w="70" w:type="dxa"/>
              <w:right w:w="70" w:type="dxa"/>
            </w:tcMar>
            <w:vAlign w:val="center"/>
          </w:tcPr>
          <w:p>
            <w:pPr>
              <w:pStyle w:val="20"/>
              <w:pageBreakBefore w:val="0"/>
              <w:widowControl/>
              <w:kinsoku/>
              <w:wordWrap/>
              <w:overflowPunct/>
              <w:topLinePunct w:val="0"/>
              <w:autoSpaceDE/>
              <w:bidi w:val="0"/>
              <w:adjustRightInd/>
              <w:spacing w:beforeAutospacing="0" w:afterAutospacing="0" w:line="575" w:lineRule="exact"/>
              <w:jc w:val="center"/>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7</w:t>
            </w:r>
          </w:p>
        </w:tc>
        <w:tc>
          <w:tcPr>
            <w:tcW w:w="1440" w:type="dxa"/>
            <w:tcBorders>
              <w:top w:val="single" w:color="auto" w:sz="4" w:space="0"/>
              <w:left w:val="single" w:color="auto" w:sz="4" w:space="0"/>
              <w:bottom w:val="single" w:color="auto" w:sz="4" w:space="0"/>
              <w:right w:val="single" w:color="auto" w:sz="4" w:space="0"/>
            </w:tcBorders>
            <w:shd w:val="clear" w:color="auto" w:fill="auto"/>
            <w:tcMar>
              <w:left w:w="70" w:type="dxa"/>
              <w:right w:w="70" w:type="dxa"/>
            </w:tcMar>
            <w:vAlign w:val="center"/>
          </w:tcPr>
          <w:p>
            <w:pPr>
              <w:pStyle w:val="20"/>
              <w:pageBreakBefore w:val="0"/>
              <w:widowControl/>
              <w:kinsoku/>
              <w:wordWrap/>
              <w:overflowPunct/>
              <w:topLinePunct w:val="0"/>
              <w:autoSpaceDE/>
              <w:bidi w:val="0"/>
              <w:adjustRightInd/>
              <w:spacing w:beforeAutospacing="0" w:afterAutospacing="0" w:line="575" w:lineRule="exact"/>
              <w:jc w:val="center"/>
              <w:textAlignment w:val="auto"/>
              <w:rPr>
                <w:rFonts w:hint="default"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10</w:t>
            </w:r>
          </w:p>
        </w:tc>
      </w:tr>
      <w:tr>
        <w:tblPrEx>
          <w:tblCellMar>
            <w:top w:w="0" w:type="dxa"/>
            <w:left w:w="0" w:type="dxa"/>
            <w:bottom w:w="0" w:type="dxa"/>
            <w:right w:w="0" w:type="dxa"/>
          </w:tblCellMar>
        </w:tblPrEx>
        <w:trPr>
          <w:trHeight w:val="624" w:hRule="atLeast"/>
          <w:jc w:val="center"/>
        </w:trPr>
        <w:tc>
          <w:tcPr>
            <w:tcW w:w="1213" w:type="dxa"/>
            <w:vMerge w:val="continue"/>
            <w:tcBorders>
              <w:top w:val="single" w:color="auto" w:sz="4" w:space="0"/>
              <w:left w:val="single" w:color="auto" w:sz="4" w:space="0"/>
              <w:bottom w:val="single" w:color="auto" w:sz="4" w:space="0"/>
              <w:right w:val="single" w:color="auto" w:sz="4" w:space="0"/>
            </w:tcBorders>
            <w:shd w:val="clear" w:color="auto" w:fill="auto"/>
            <w:tcMar>
              <w:left w:w="70" w:type="dxa"/>
              <w:right w:w="70" w:type="dxa"/>
            </w:tcMar>
            <w:vAlign w:val="center"/>
          </w:tcPr>
          <w:p>
            <w:pPr>
              <w:pStyle w:val="20"/>
              <w:pageBreakBefore w:val="0"/>
              <w:widowControl/>
              <w:kinsoku/>
              <w:wordWrap/>
              <w:overflowPunct/>
              <w:topLinePunct w:val="0"/>
              <w:autoSpaceDE/>
              <w:bidi w:val="0"/>
              <w:adjustRightInd/>
              <w:spacing w:beforeAutospacing="0" w:afterAutospacing="0" w:line="575" w:lineRule="exact"/>
              <w:jc w:val="center"/>
              <w:textAlignment w:val="auto"/>
              <w:rPr>
                <w:rFonts w:hint="eastAsia" w:ascii="仿宋_GB2312" w:hAnsi="仿宋_GB2312" w:eastAsia="仿宋_GB2312" w:cs="仿宋_GB2312"/>
                <w:sz w:val="24"/>
                <w:szCs w:val="24"/>
                <w:highlight w:val="none"/>
                <w:lang w:val="en-US" w:eastAsia="zh-CN"/>
              </w:rPr>
            </w:pPr>
          </w:p>
        </w:tc>
        <w:tc>
          <w:tcPr>
            <w:tcW w:w="800" w:type="dxa"/>
            <w:tcBorders>
              <w:top w:val="single" w:color="auto" w:sz="4" w:space="0"/>
              <w:left w:val="single" w:color="auto" w:sz="4" w:space="0"/>
              <w:bottom w:val="single" w:color="auto" w:sz="4" w:space="0"/>
              <w:right w:val="single" w:color="auto" w:sz="4" w:space="0"/>
            </w:tcBorders>
            <w:shd w:val="clear" w:color="auto" w:fill="auto"/>
            <w:tcMar>
              <w:left w:w="70" w:type="dxa"/>
              <w:right w:w="70" w:type="dxa"/>
            </w:tcMar>
            <w:vAlign w:val="center"/>
          </w:tcPr>
          <w:p>
            <w:pPr>
              <w:pStyle w:val="20"/>
              <w:pageBreakBefore w:val="0"/>
              <w:widowControl/>
              <w:kinsoku/>
              <w:wordWrap/>
              <w:overflowPunct/>
              <w:topLinePunct w:val="0"/>
              <w:autoSpaceDE/>
              <w:bidi w:val="0"/>
              <w:adjustRightInd/>
              <w:spacing w:beforeAutospacing="0" w:afterAutospacing="0" w:line="575" w:lineRule="exact"/>
              <w:jc w:val="center"/>
              <w:textAlignment w:val="auto"/>
              <w:rPr>
                <w:rFonts w:hint="default"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9</w:t>
            </w:r>
          </w:p>
        </w:tc>
        <w:tc>
          <w:tcPr>
            <w:tcW w:w="3390" w:type="dxa"/>
            <w:tcBorders>
              <w:top w:val="single" w:color="auto" w:sz="4" w:space="0"/>
              <w:left w:val="single" w:color="auto" w:sz="4" w:space="0"/>
              <w:bottom w:val="single" w:color="auto" w:sz="4" w:space="0"/>
              <w:right w:val="single" w:color="auto" w:sz="4" w:space="0"/>
            </w:tcBorders>
            <w:shd w:val="clear" w:color="auto" w:fill="auto"/>
            <w:tcMar>
              <w:left w:w="70" w:type="dxa"/>
              <w:right w:w="70" w:type="dxa"/>
            </w:tcMar>
            <w:vAlign w:val="center"/>
          </w:tcPr>
          <w:p>
            <w:pPr>
              <w:pStyle w:val="20"/>
              <w:keepNext w:val="0"/>
              <w:keepLines w:val="0"/>
              <w:pageBreakBefore w:val="0"/>
              <w:widowControl/>
              <w:kinsoku/>
              <w:wordWrap/>
              <w:overflowPunct/>
              <w:topLinePunct w:val="0"/>
              <w:autoSpaceDE/>
              <w:autoSpaceDN/>
              <w:bidi w:val="0"/>
              <w:adjustRightInd/>
              <w:snapToGrid/>
              <w:spacing w:beforeAutospacing="0" w:afterAutospacing="0" w:line="280" w:lineRule="exact"/>
              <w:jc w:val="both"/>
              <w:textAlignment w:val="auto"/>
              <w:rPr>
                <w:rFonts w:hint="default"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国家级、自治区级技能大师工作室</w:t>
            </w:r>
          </w:p>
        </w:tc>
        <w:tc>
          <w:tcPr>
            <w:tcW w:w="930" w:type="dxa"/>
            <w:tcBorders>
              <w:top w:val="single" w:color="auto" w:sz="4" w:space="0"/>
              <w:left w:val="single" w:color="auto" w:sz="4" w:space="0"/>
              <w:bottom w:val="single" w:color="auto" w:sz="4" w:space="0"/>
              <w:right w:val="single" w:color="auto" w:sz="4" w:space="0"/>
            </w:tcBorders>
            <w:shd w:val="clear" w:color="auto" w:fill="auto"/>
            <w:tcMar>
              <w:left w:w="70" w:type="dxa"/>
              <w:right w:w="70" w:type="dxa"/>
            </w:tcMar>
            <w:vAlign w:val="center"/>
          </w:tcPr>
          <w:p>
            <w:pPr>
              <w:pStyle w:val="20"/>
              <w:pageBreakBefore w:val="0"/>
              <w:widowControl/>
              <w:kinsoku/>
              <w:wordWrap/>
              <w:overflowPunct/>
              <w:topLinePunct w:val="0"/>
              <w:autoSpaceDE/>
              <w:bidi w:val="0"/>
              <w:adjustRightInd/>
              <w:spacing w:beforeAutospacing="0" w:afterAutospacing="0" w:line="575" w:lineRule="exact"/>
              <w:jc w:val="center"/>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家</w:t>
            </w:r>
          </w:p>
        </w:tc>
        <w:tc>
          <w:tcPr>
            <w:tcW w:w="1380" w:type="dxa"/>
            <w:tcBorders>
              <w:top w:val="single" w:color="auto" w:sz="4" w:space="0"/>
              <w:left w:val="single" w:color="auto" w:sz="4" w:space="0"/>
              <w:bottom w:val="single" w:color="auto" w:sz="4" w:space="0"/>
              <w:right w:val="single" w:color="auto" w:sz="4" w:space="0"/>
            </w:tcBorders>
            <w:shd w:val="clear" w:color="auto" w:fill="auto"/>
            <w:tcMar>
              <w:left w:w="70" w:type="dxa"/>
              <w:right w:w="70" w:type="dxa"/>
            </w:tcMar>
            <w:vAlign w:val="center"/>
          </w:tcPr>
          <w:p>
            <w:pPr>
              <w:pStyle w:val="20"/>
              <w:pageBreakBefore w:val="0"/>
              <w:widowControl/>
              <w:kinsoku/>
              <w:wordWrap/>
              <w:overflowPunct/>
              <w:topLinePunct w:val="0"/>
              <w:autoSpaceDE/>
              <w:bidi w:val="0"/>
              <w:adjustRightInd/>
              <w:spacing w:beforeAutospacing="0" w:afterAutospacing="0" w:line="575" w:lineRule="exact"/>
              <w:jc w:val="center"/>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7</w:t>
            </w:r>
          </w:p>
        </w:tc>
        <w:tc>
          <w:tcPr>
            <w:tcW w:w="1440" w:type="dxa"/>
            <w:tcBorders>
              <w:top w:val="single" w:color="auto" w:sz="4" w:space="0"/>
              <w:left w:val="single" w:color="auto" w:sz="4" w:space="0"/>
              <w:bottom w:val="single" w:color="auto" w:sz="4" w:space="0"/>
              <w:right w:val="single" w:color="auto" w:sz="4" w:space="0"/>
            </w:tcBorders>
            <w:shd w:val="clear" w:color="auto" w:fill="auto"/>
            <w:tcMar>
              <w:left w:w="70" w:type="dxa"/>
              <w:right w:w="70" w:type="dxa"/>
            </w:tcMar>
            <w:vAlign w:val="center"/>
          </w:tcPr>
          <w:p>
            <w:pPr>
              <w:pStyle w:val="20"/>
              <w:pageBreakBefore w:val="0"/>
              <w:widowControl/>
              <w:kinsoku/>
              <w:wordWrap/>
              <w:overflowPunct/>
              <w:topLinePunct w:val="0"/>
              <w:autoSpaceDE/>
              <w:bidi w:val="0"/>
              <w:adjustRightInd/>
              <w:spacing w:beforeAutospacing="0" w:afterAutospacing="0" w:line="575" w:lineRule="exact"/>
              <w:jc w:val="center"/>
              <w:textAlignment w:val="auto"/>
              <w:rPr>
                <w:rFonts w:hint="default"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12</w:t>
            </w:r>
          </w:p>
        </w:tc>
      </w:tr>
      <w:tr>
        <w:tblPrEx>
          <w:tblCellMar>
            <w:top w:w="0" w:type="dxa"/>
            <w:left w:w="0" w:type="dxa"/>
            <w:bottom w:w="0" w:type="dxa"/>
            <w:right w:w="0" w:type="dxa"/>
          </w:tblCellMar>
        </w:tblPrEx>
        <w:trPr>
          <w:trHeight w:val="624" w:hRule="atLeast"/>
          <w:jc w:val="center"/>
        </w:trPr>
        <w:tc>
          <w:tcPr>
            <w:tcW w:w="1213" w:type="dxa"/>
            <w:vMerge w:val="restart"/>
            <w:tcBorders>
              <w:top w:val="single" w:color="auto" w:sz="4" w:space="0"/>
              <w:left w:val="single" w:color="auto" w:sz="4" w:space="0"/>
              <w:right w:val="single" w:color="auto" w:sz="4" w:space="0"/>
            </w:tcBorders>
            <w:shd w:val="clear" w:color="auto" w:fill="auto"/>
            <w:tcMar>
              <w:left w:w="70" w:type="dxa"/>
              <w:right w:w="70" w:type="dxa"/>
            </w:tcMar>
            <w:vAlign w:val="center"/>
          </w:tcPr>
          <w:p>
            <w:pPr>
              <w:pStyle w:val="20"/>
              <w:pageBreakBefore w:val="0"/>
              <w:widowControl/>
              <w:kinsoku/>
              <w:wordWrap/>
              <w:overflowPunct/>
              <w:topLinePunct w:val="0"/>
              <w:autoSpaceDE/>
              <w:bidi w:val="0"/>
              <w:adjustRightInd/>
              <w:spacing w:beforeAutospacing="0" w:afterAutospacing="0" w:line="575" w:lineRule="exact"/>
              <w:jc w:val="center"/>
              <w:textAlignment w:val="auto"/>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人才结构</w:t>
            </w:r>
          </w:p>
        </w:tc>
        <w:tc>
          <w:tcPr>
            <w:tcW w:w="800" w:type="dxa"/>
            <w:tcBorders>
              <w:top w:val="single" w:color="auto" w:sz="4" w:space="0"/>
              <w:left w:val="single" w:color="auto" w:sz="4" w:space="0"/>
              <w:bottom w:val="single" w:color="auto" w:sz="4" w:space="0"/>
              <w:right w:val="single" w:color="auto" w:sz="4" w:space="0"/>
            </w:tcBorders>
            <w:shd w:val="clear" w:color="auto" w:fill="auto"/>
            <w:tcMar>
              <w:left w:w="70" w:type="dxa"/>
              <w:right w:w="70" w:type="dxa"/>
            </w:tcMar>
            <w:vAlign w:val="center"/>
          </w:tcPr>
          <w:p>
            <w:pPr>
              <w:pStyle w:val="20"/>
              <w:pageBreakBefore w:val="0"/>
              <w:widowControl/>
              <w:kinsoku/>
              <w:wordWrap/>
              <w:overflowPunct/>
              <w:topLinePunct w:val="0"/>
              <w:autoSpaceDE/>
              <w:bidi w:val="0"/>
              <w:adjustRightInd/>
              <w:spacing w:beforeAutospacing="0" w:afterAutospacing="0" w:line="575" w:lineRule="exact"/>
              <w:jc w:val="center"/>
              <w:textAlignment w:val="auto"/>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10</w:t>
            </w:r>
          </w:p>
        </w:tc>
        <w:tc>
          <w:tcPr>
            <w:tcW w:w="3390" w:type="dxa"/>
            <w:tcBorders>
              <w:top w:val="single" w:color="auto" w:sz="4" w:space="0"/>
              <w:left w:val="single" w:color="auto" w:sz="4" w:space="0"/>
              <w:bottom w:val="single" w:color="auto" w:sz="4" w:space="0"/>
              <w:right w:val="single" w:color="auto" w:sz="4" w:space="0"/>
            </w:tcBorders>
            <w:shd w:val="clear" w:color="auto" w:fill="auto"/>
            <w:tcMar>
              <w:left w:w="70" w:type="dxa"/>
              <w:right w:w="70" w:type="dxa"/>
            </w:tcMar>
            <w:vAlign w:val="center"/>
          </w:tcPr>
          <w:p>
            <w:pPr>
              <w:pStyle w:val="20"/>
              <w:pageBreakBefore w:val="0"/>
              <w:widowControl/>
              <w:kinsoku/>
              <w:wordWrap/>
              <w:overflowPunct/>
              <w:topLinePunct w:val="0"/>
              <w:autoSpaceDE/>
              <w:bidi w:val="0"/>
              <w:adjustRightInd/>
              <w:spacing w:beforeAutospacing="0" w:afterAutospacing="0" w:line="575" w:lineRule="exact"/>
              <w:jc w:val="both"/>
              <w:textAlignment w:val="auto"/>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每万就业人员中R&amp;D人员数量</w:t>
            </w:r>
          </w:p>
        </w:tc>
        <w:tc>
          <w:tcPr>
            <w:tcW w:w="930" w:type="dxa"/>
            <w:tcBorders>
              <w:top w:val="single" w:color="auto" w:sz="4" w:space="0"/>
              <w:left w:val="single" w:color="auto" w:sz="4" w:space="0"/>
              <w:bottom w:val="single" w:color="auto" w:sz="4" w:space="0"/>
              <w:right w:val="single" w:color="auto" w:sz="4" w:space="0"/>
            </w:tcBorders>
            <w:shd w:val="clear" w:color="auto" w:fill="auto"/>
            <w:tcMar>
              <w:left w:w="70" w:type="dxa"/>
              <w:right w:w="70" w:type="dxa"/>
            </w:tcMar>
            <w:vAlign w:val="center"/>
          </w:tcPr>
          <w:p>
            <w:pPr>
              <w:pStyle w:val="20"/>
              <w:pageBreakBefore w:val="0"/>
              <w:widowControl/>
              <w:kinsoku/>
              <w:wordWrap/>
              <w:overflowPunct/>
              <w:topLinePunct w:val="0"/>
              <w:autoSpaceDE/>
              <w:bidi w:val="0"/>
              <w:adjustRightInd/>
              <w:spacing w:beforeAutospacing="0" w:afterAutospacing="0" w:line="575" w:lineRule="exact"/>
              <w:jc w:val="center"/>
              <w:textAlignment w:val="auto"/>
              <w:rPr>
                <w:rFonts w:hint="default"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sz w:val="24"/>
                <w:szCs w:val="24"/>
                <w:highlight w:val="none"/>
                <w:lang w:val="en-US" w:eastAsia="zh-CN"/>
              </w:rPr>
              <w:t>人/年</w:t>
            </w:r>
          </w:p>
        </w:tc>
        <w:tc>
          <w:tcPr>
            <w:tcW w:w="1380" w:type="dxa"/>
            <w:tcBorders>
              <w:top w:val="single" w:color="auto" w:sz="4" w:space="0"/>
              <w:left w:val="single" w:color="auto" w:sz="4" w:space="0"/>
              <w:bottom w:val="single" w:color="auto" w:sz="4" w:space="0"/>
              <w:right w:val="single" w:color="auto" w:sz="4" w:space="0"/>
            </w:tcBorders>
            <w:shd w:val="clear" w:color="auto" w:fill="auto"/>
            <w:tcMar>
              <w:left w:w="70" w:type="dxa"/>
              <w:right w:w="70" w:type="dxa"/>
            </w:tcMar>
            <w:vAlign w:val="center"/>
          </w:tcPr>
          <w:p>
            <w:pPr>
              <w:pStyle w:val="20"/>
              <w:pageBreakBefore w:val="0"/>
              <w:widowControl/>
              <w:kinsoku/>
              <w:wordWrap/>
              <w:overflowPunct/>
              <w:topLinePunct w:val="0"/>
              <w:autoSpaceDE/>
              <w:bidi w:val="0"/>
              <w:adjustRightInd/>
              <w:spacing w:beforeAutospacing="0" w:afterAutospacing="0" w:line="575" w:lineRule="exact"/>
              <w:jc w:val="center"/>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55.87</w:t>
            </w:r>
          </w:p>
        </w:tc>
        <w:tc>
          <w:tcPr>
            <w:tcW w:w="1440" w:type="dxa"/>
            <w:tcBorders>
              <w:top w:val="single" w:color="auto" w:sz="4" w:space="0"/>
              <w:left w:val="single" w:color="auto" w:sz="4" w:space="0"/>
              <w:bottom w:val="single" w:color="auto" w:sz="4" w:space="0"/>
              <w:right w:val="single" w:color="auto" w:sz="4" w:space="0"/>
            </w:tcBorders>
            <w:shd w:val="clear" w:color="auto" w:fill="auto"/>
            <w:tcMar>
              <w:left w:w="70" w:type="dxa"/>
              <w:right w:w="70" w:type="dxa"/>
            </w:tcMar>
            <w:vAlign w:val="center"/>
          </w:tcPr>
          <w:p>
            <w:pPr>
              <w:pStyle w:val="20"/>
              <w:pageBreakBefore w:val="0"/>
              <w:widowControl/>
              <w:kinsoku/>
              <w:wordWrap/>
              <w:overflowPunct/>
              <w:topLinePunct w:val="0"/>
              <w:autoSpaceDE/>
              <w:bidi w:val="0"/>
              <w:adjustRightInd/>
              <w:spacing w:beforeAutospacing="0" w:afterAutospacing="0" w:line="575" w:lineRule="exact"/>
              <w:jc w:val="center"/>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61.54</w:t>
            </w:r>
          </w:p>
        </w:tc>
      </w:tr>
      <w:tr>
        <w:tblPrEx>
          <w:tblCellMar>
            <w:top w:w="0" w:type="dxa"/>
            <w:left w:w="0" w:type="dxa"/>
            <w:bottom w:w="0" w:type="dxa"/>
            <w:right w:w="0" w:type="dxa"/>
          </w:tblCellMar>
        </w:tblPrEx>
        <w:trPr>
          <w:trHeight w:val="624" w:hRule="atLeast"/>
          <w:jc w:val="center"/>
        </w:trPr>
        <w:tc>
          <w:tcPr>
            <w:tcW w:w="1213" w:type="dxa"/>
            <w:vMerge w:val="continue"/>
            <w:tcBorders>
              <w:left w:val="single" w:color="auto" w:sz="4" w:space="0"/>
              <w:right w:val="single" w:color="auto" w:sz="4" w:space="0"/>
            </w:tcBorders>
            <w:shd w:val="clear" w:color="auto" w:fill="auto"/>
            <w:tcMar>
              <w:left w:w="70" w:type="dxa"/>
              <w:right w:w="70" w:type="dxa"/>
            </w:tcMar>
            <w:vAlign w:val="center"/>
          </w:tcPr>
          <w:p>
            <w:pPr>
              <w:pStyle w:val="20"/>
              <w:pageBreakBefore w:val="0"/>
              <w:widowControl/>
              <w:kinsoku/>
              <w:wordWrap/>
              <w:overflowPunct/>
              <w:topLinePunct w:val="0"/>
              <w:autoSpaceDE/>
              <w:bidi w:val="0"/>
              <w:adjustRightInd/>
              <w:spacing w:beforeAutospacing="0" w:afterAutospacing="0" w:line="575" w:lineRule="exact"/>
              <w:jc w:val="center"/>
              <w:textAlignment w:val="auto"/>
              <w:rPr>
                <w:rFonts w:hint="eastAsia" w:ascii="仿宋_GB2312" w:hAnsi="仿宋_GB2312" w:eastAsia="仿宋_GB2312" w:cs="仿宋_GB2312"/>
                <w:color w:val="auto"/>
                <w:sz w:val="24"/>
                <w:szCs w:val="24"/>
                <w:highlight w:val="none"/>
                <w:lang w:val="en-US" w:eastAsia="zh-CN"/>
              </w:rPr>
            </w:pPr>
          </w:p>
        </w:tc>
        <w:tc>
          <w:tcPr>
            <w:tcW w:w="800" w:type="dxa"/>
            <w:tcBorders>
              <w:top w:val="single" w:color="auto" w:sz="4" w:space="0"/>
              <w:left w:val="single" w:color="auto" w:sz="4" w:space="0"/>
              <w:bottom w:val="single" w:color="auto" w:sz="4" w:space="0"/>
              <w:right w:val="single" w:color="auto" w:sz="4" w:space="0"/>
            </w:tcBorders>
            <w:shd w:val="clear" w:color="auto" w:fill="auto"/>
            <w:tcMar>
              <w:left w:w="70" w:type="dxa"/>
              <w:right w:w="70" w:type="dxa"/>
            </w:tcMar>
            <w:vAlign w:val="center"/>
          </w:tcPr>
          <w:p>
            <w:pPr>
              <w:pStyle w:val="20"/>
              <w:pageBreakBefore w:val="0"/>
              <w:widowControl/>
              <w:kinsoku/>
              <w:wordWrap/>
              <w:overflowPunct/>
              <w:topLinePunct w:val="0"/>
              <w:autoSpaceDE/>
              <w:bidi w:val="0"/>
              <w:adjustRightInd/>
              <w:spacing w:beforeAutospacing="0" w:afterAutospacing="0" w:line="575" w:lineRule="exact"/>
              <w:jc w:val="center"/>
              <w:textAlignment w:val="auto"/>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11</w:t>
            </w:r>
          </w:p>
        </w:tc>
        <w:tc>
          <w:tcPr>
            <w:tcW w:w="3390" w:type="dxa"/>
            <w:tcBorders>
              <w:top w:val="single" w:color="auto" w:sz="4" w:space="0"/>
              <w:left w:val="single" w:color="auto" w:sz="4" w:space="0"/>
              <w:bottom w:val="single" w:color="auto" w:sz="4" w:space="0"/>
              <w:right w:val="single" w:color="auto" w:sz="4" w:space="0"/>
            </w:tcBorders>
            <w:shd w:val="clear" w:color="auto" w:fill="auto"/>
            <w:tcMar>
              <w:left w:w="70" w:type="dxa"/>
              <w:right w:w="70" w:type="dxa"/>
            </w:tcMar>
            <w:vAlign w:val="center"/>
          </w:tcPr>
          <w:p>
            <w:pPr>
              <w:pStyle w:val="20"/>
              <w:keepNext w:val="0"/>
              <w:keepLines w:val="0"/>
              <w:pageBreakBefore w:val="0"/>
              <w:widowControl/>
              <w:kinsoku/>
              <w:wordWrap/>
              <w:overflowPunct/>
              <w:topLinePunct w:val="0"/>
              <w:autoSpaceDE/>
              <w:autoSpaceDN/>
              <w:bidi w:val="0"/>
              <w:adjustRightInd/>
              <w:snapToGrid/>
              <w:spacing w:beforeAutospacing="0" w:afterAutospacing="0" w:line="280" w:lineRule="exact"/>
              <w:jc w:val="both"/>
              <w:textAlignment w:val="auto"/>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pacing w:val="8"/>
                <w:highlight w:val="none"/>
                <w:shd w:val="clear" w:color="auto" w:fill="FFFFFF"/>
                <w:lang w:val="en-US"/>
              </w:rPr>
              <w:t>高层次人才占人才资源总量</w:t>
            </w:r>
            <w:r>
              <w:rPr>
                <w:rFonts w:hint="eastAsia" w:ascii="仿宋_GB2312" w:hAnsi="仿宋_GB2312" w:eastAsia="仿宋_GB2312" w:cs="仿宋_GB2312"/>
                <w:color w:val="auto"/>
                <w:spacing w:val="8"/>
                <w:highlight w:val="none"/>
                <w:shd w:val="clear" w:color="auto" w:fill="FFFFFF"/>
                <w:lang w:val="en-US" w:eastAsia="zh-CN"/>
              </w:rPr>
              <w:t>比例</w:t>
            </w:r>
          </w:p>
        </w:tc>
        <w:tc>
          <w:tcPr>
            <w:tcW w:w="930" w:type="dxa"/>
            <w:tcBorders>
              <w:top w:val="single" w:color="auto" w:sz="4" w:space="0"/>
              <w:left w:val="single" w:color="auto" w:sz="4" w:space="0"/>
              <w:bottom w:val="single" w:color="auto" w:sz="4" w:space="0"/>
              <w:right w:val="single" w:color="auto" w:sz="4" w:space="0"/>
            </w:tcBorders>
            <w:shd w:val="clear" w:color="auto" w:fill="auto"/>
            <w:tcMar>
              <w:left w:w="70" w:type="dxa"/>
              <w:right w:w="70" w:type="dxa"/>
            </w:tcMar>
            <w:vAlign w:val="center"/>
          </w:tcPr>
          <w:p>
            <w:pPr>
              <w:pStyle w:val="20"/>
              <w:pageBreakBefore w:val="0"/>
              <w:widowControl/>
              <w:kinsoku/>
              <w:wordWrap/>
              <w:overflowPunct/>
              <w:topLinePunct w:val="0"/>
              <w:autoSpaceDE/>
              <w:bidi w:val="0"/>
              <w:adjustRightInd/>
              <w:spacing w:beforeAutospacing="0" w:afterAutospacing="0" w:line="575" w:lineRule="exact"/>
              <w:jc w:val="center"/>
              <w:textAlignment w:val="auto"/>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sz w:val="24"/>
                <w:szCs w:val="24"/>
                <w:highlight w:val="none"/>
                <w:lang w:val="en-US" w:eastAsia="zh-CN"/>
              </w:rPr>
              <w:t>%</w:t>
            </w:r>
          </w:p>
        </w:tc>
        <w:tc>
          <w:tcPr>
            <w:tcW w:w="1380" w:type="dxa"/>
            <w:tcBorders>
              <w:top w:val="single" w:color="auto" w:sz="4" w:space="0"/>
              <w:left w:val="single" w:color="auto" w:sz="4" w:space="0"/>
              <w:bottom w:val="single" w:color="auto" w:sz="4" w:space="0"/>
              <w:right w:val="single" w:color="auto" w:sz="4" w:space="0"/>
            </w:tcBorders>
            <w:shd w:val="clear" w:color="auto" w:fill="auto"/>
            <w:tcMar>
              <w:left w:w="70" w:type="dxa"/>
              <w:right w:w="70" w:type="dxa"/>
            </w:tcMar>
            <w:vAlign w:val="center"/>
          </w:tcPr>
          <w:p>
            <w:pPr>
              <w:pStyle w:val="20"/>
              <w:pageBreakBefore w:val="0"/>
              <w:widowControl/>
              <w:kinsoku/>
              <w:wordWrap/>
              <w:overflowPunct/>
              <w:topLinePunct w:val="0"/>
              <w:autoSpaceDE/>
              <w:bidi w:val="0"/>
              <w:adjustRightInd/>
              <w:spacing w:beforeAutospacing="0" w:afterAutospacing="0" w:line="575" w:lineRule="exact"/>
              <w:jc w:val="center"/>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10.3%</w:t>
            </w:r>
          </w:p>
        </w:tc>
        <w:tc>
          <w:tcPr>
            <w:tcW w:w="1440" w:type="dxa"/>
            <w:tcBorders>
              <w:top w:val="single" w:color="auto" w:sz="4" w:space="0"/>
              <w:left w:val="single" w:color="auto" w:sz="4" w:space="0"/>
              <w:bottom w:val="single" w:color="auto" w:sz="4" w:space="0"/>
              <w:right w:val="single" w:color="auto" w:sz="4" w:space="0"/>
            </w:tcBorders>
            <w:shd w:val="clear" w:color="auto" w:fill="auto"/>
            <w:tcMar>
              <w:left w:w="70" w:type="dxa"/>
              <w:right w:w="70" w:type="dxa"/>
            </w:tcMar>
            <w:vAlign w:val="center"/>
          </w:tcPr>
          <w:p>
            <w:pPr>
              <w:pStyle w:val="20"/>
              <w:pageBreakBefore w:val="0"/>
              <w:widowControl/>
              <w:kinsoku/>
              <w:wordWrap/>
              <w:overflowPunct/>
              <w:topLinePunct w:val="0"/>
              <w:autoSpaceDE/>
              <w:bidi w:val="0"/>
              <w:adjustRightInd/>
              <w:spacing w:beforeAutospacing="0" w:afterAutospacing="0" w:line="575" w:lineRule="exact"/>
              <w:jc w:val="center"/>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11%</w:t>
            </w:r>
          </w:p>
        </w:tc>
      </w:tr>
      <w:tr>
        <w:tblPrEx>
          <w:tblCellMar>
            <w:top w:w="0" w:type="dxa"/>
            <w:left w:w="0" w:type="dxa"/>
            <w:bottom w:w="0" w:type="dxa"/>
            <w:right w:w="0" w:type="dxa"/>
          </w:tblCellMar>
        </w:tblPrEx>
        <w:trPr>
          <w:trHeight w:val="624" w:hRule="atLeast"/>
          <w:jc w:val="center"/>
        </w:trPr>
        <w:tc>
          <w:tcPr>
            <w:tcW w:w="1213" w:type="dxa"/>
            <w:vMerge w:val="continue"/>
            <w:tcBorders>
              <w:left w:val="single" w:color="auto" w:sz="4" w:space="0"/>
              <w:bottom w:val="single" w:color="auto" w:sz="4" w:space="0"/>
              <w:right w:val="single" w:color="auto" w:sz="4" w:space="0"/>
            </w:tcBorders>
            <w:shd w:val="clear" w:color="auto" w:fill="auto"/>
            <w:tcMar>
              <w:left w:w="70" w:type="dxa"/>
              <w:right w:w="70" w:type="dxa"/>
            </w:tcMar>
            <w:vAlign w:val="center"/>
          </w:tcPr>
          <w:p>
            <w:pPr>
              <w:pStyle w:val="20"/>
              <w:pageBreakBefore w:val="0"/>
              <w:widowControl/>
              <w:kinsoku/>
              <w:wordWrap/>
              <w:overflowPunct/>
              <w:topLinePunct w:val="0"/>
              <w:autoSpaceDE/>
              <w:bidi w:val="0"/>
              <w:adjustRightInd/>
              <w:spacing w:beforeAutospacing="0" w:afterAutospacing="0" w:line="575" w:lineRule="exact"/>
              <w:jc w:val="center"/>
              <w:textAlignment w:val="auto"/>
              <w:rPr>
                <w:rFonts w:hint="default" w:ascii="仿宋_GB2312" w:hAnsi="仿宋_GB2312" w:eastAsia="仿宋_GB2312" w:cs="仿宋_GB2312"/>
                <w:color w:val="auto"/>
                <w:sz w:val="24"/>
                <w:szCs w:val="24"/>
                <w:highlight w:val="none"/>
                <w:lang w:val="en-US" w:eastAsia="zh-CN"/>
              </w:rPr>
            </w:pPr>
          </w:p>
        </w:tc>
        <w:tc>
          <w:tcPr>
            <w:tcW w:w="800" w:type="dxa"/>
            <w:tcBorders>
              <w:top w:val="single" w:color="auto" w:sz="4" w:space="0"/>
              <w:left w:val="single" w:color="auto" w:sz="4" w:space="0"/>
              <w:bottom w:val="single" w:color="auto" w:sz="4" w:space="0"/>
              <w:right w:val="single" w:color="auto" w:sz="4" w:space="0"/>
            </w:tcBorders>
            <w:shd w:val="clear" w:color="auto" w:fill="auto"/>
            <w:tcMar>
              <w:left w:w="70" w:type="dxa"/>
              <w:right w:w="70" w:type="dxa"/>
            </w:tcMar>
            <w:vAlign w:val="center"/>
          </w:tcPr>
          <w:p>
            <w:pPr>
              <w:pStyle w:val="20"/>
              <w:pageBreakBefore w:val="0"/>
              <w:widowControl/>
              <w:kinsoku/>
              <w:wordWrap/>
              <w:overflowPunct/>
              <w:topLinePunct w:val="0"/>
              <w:autoSpaceDE/>
              <w:bidi w:val="0"/>
              <w:adjustRightInd/>
              <w:spacing w:beforeAutospacing="0" w:afterAutospacing="0" w:line="575" w:lineRule="exact"/>
              <w:jc w:val="center"/>
              <w:textAlignment w:val="auto"/>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12</w:t>
            </w:r>
          </w:p>
        </w:tc>
        <w:tc>
          <w:tcPr>
            <w:tcW w:w="3390" w:type="dxa"/>
            <w:tcBorders>
              <w:top w:val="single" w:color="auto" w:sz="4" w:space="0"/>
              <w:left w:val="single" w:color="auto" w:sz="4" w:space="0"/>
              <w:bottom w:val="single" w:color="auto" w:sz="4" w:space="0"/>
              <w:right w:val="single" w:color="auto" w:sz="4" w:space="0"/>
            </w:tcBorders>
            <w:shd w:val="clear" w:color="auto" w:fill="auto"/>
            <w:tcMar>
              <w:left w:w="70" w:type="dxa"/>
              <w:right w:w="70" w:type="dxa"/>
            </w:tcMar>
            <w:vAlign w:val="center"/>
          </w:tcPr>
          <w:p>
            <w:pPr>
              <w:pStyle w:val="20"/>
              <w:keepNext w:val="0"/>
              <w:keepLines w:val="0"/>
              <w:pageBreakBefore w:val="0"/>
              <w:widowControl/>
              <w:kinsoku/>
              <w:wordWrap/>
              <w:overflowPunct/>
              <w:topLinePunct w:val="0"/>
              <w:autoSpaceDE/>
              <w:autoSpaceDN/>
              <w:bidi w:val="0"/>
              <w:adjustRightInd/>
              <w:snapToGrid/>
              <w:spacing w:beforeAutospacing="0" w:afterAutospacing="0" w:line="280" w:lineRule="exact"/>
              <w:jc w:val="both"/>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pacing w:val="8"/>
                <w:highlight w:val="none"/>
                <w:shd w:val="clear" w:color="auto" w:fill="FFFFFF"/>
                <w:lang w:val="en-US"/>
              </w:rPr>
              <w:t>高技能人才占技能劳动者比例</w:t>
            </w:r>
          </w:p>
        </w:tc>
        <w:tc>
          <w:tcPr>
            <w:tcW w:w="930" w:type="dxa"/>
            <w:tcBorders>
              <w:top w:val="single" w:color="auto" w:sz="4" w:space="0"/>
              <w:left w:val="single" w:color="auto" w:sz="4" w:space="0"/>
              <w:bottom w:val="single" w:color="auto" w:sz="4" w:space="0"/>
              <w:right w:val="single" w:color="auto" w:sz="4" w:space="0"/>
            </w:tcBorders>
            <w:shd w:val="clear" w:color="auto" w:fill="auto"/>
            <w:tcMar>
              <w:left w:w="70" w:type="dxa"/>
              <w:right w:w="70" w:type="dxa"/>
            </w:tcMar>
            <w:vAlign w:val="center"/>
          </w:tcPr>
          <w:p>
            <w:pPr>
              <w:pStyle w:val="20"/>
              <w:pageBreakBefore w:val="0"/>
              <w:widowControl/>
              <w:kinsoku/>
              <w:wordWrap/>
              <w:overflowPunct/>
              <w:topLinePunct w:val="0"/>
              <w:autoSpaceDE/>
              <w:bidi w:val="0"/>
              <w:adjustRightInd/>
              <w:spacing w:beforeAutospacing="0" w:afterAutospacing="0" w:line="575" w:lineRule="exact"/>
              <w:jc w:val="center"/>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w:t>
            </w:r>
          </w:p>
        </w:tc>
        <w:tc>
          <w:tcPr>
            <w:tcW w:w="1380" w:type="dxa"/>
            <w:tcBorders>
              <w:top w:val="single" w:color="auto" w:sz="4" w:space="0"/>
              <w:left w:val="single" w:color="auto" w:sz="4" w:space="0"/>
              <w:bottom w:val="single" w:color="auto" w:sz="4" w:space="0"/>
              <w:right w:val="single" w:color="auto" w:sz="4" w:space="0"/>
            </w:tcBorders>
            <w:shd w:val="clear" w:color="auto" w:fill="auto"/>
            <w:tcMar>
              <w:left w:w="70" w:type="dxa"/>
              <w:right w:w="70" w:type="dxa"/>
            </w:tcMar>
            <w:vAlign w:val="center"/>
          </w:tcPr>
          <w:p>
            <w:pPr>
              <w:pStyle w:val="20"/>
              <w:pageBreakBefore w:val="0"/>
              <w:widowControl/>
              <w:kinsoku/>
              <w:wordWrap/>
              <w:overflowPunct/>
              <w:topLinePunct w:val="0"/>
              <w:autoSpaceDE/>
              <w:bidi w:val="0"/>
              <w:adjustRightInd/>
              <w:spacing w:beforeAutospacing="0" w:afterAutospacing="0" w:line="575" w:lineRule="exact"/>
              <w:jc w:val="center"/>
              <w:textAlignment w:val="auto"/>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30.66%</w:t>
            </w:r>
          </w:p>
        </w:tc>
        <w:tc>
          <w:tcPr>
            <w:tcW w:w="1440" w:type="dxa"/>
            <w:tcBorders>
              <w:top w:val="single" w:color="auto" w:sz="4" w:space="0"/>
              <w:left w:val="single" w:color="auto" w:sz="4" w:space="0"/>
              <w:bottom w:val="single" w:color="auto" w:sz="4" w:space="0"/>
              <w:right w:val="single" w:color="auto" w:sz="4" w:space="0"/>
            </w:tcBorders>
            <w:shd w:val="clear" w:color="auto" w:fill="auto"/>
            <w:tcMar>
              <w:left w:w="70" w:type="dxa"/>
              <w:right w:w="70" w:type="dxa"/>
            </w:tcMar>
            <w:vAlign w:val="center"/>
          </w:tcPr>
          <w:p>
            <w:pPr>
              <w:pStyle w:val="20"/>
              <w:pageBreakBefore w:val="0"/>
              <w:widowControl/>
              <w:kinsoku/>
              <w:wordWrap/>
              <w:overflowPunct/>
              <w:topLinePunct w:val="0"/>
              <w:autoSpaceDE/>
              <w:bidi w:val="0"/>
              <w:adjustRightInd/>
              <w:spacing w:beforeAutospacing="0" w:afterAutospacing="0" w:line="575" w:lineRule="exact"/>
              <w:jc w:val="center"/>
              <w:textAlignment w:val="auto"/>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pacing w:val="8"/>
                <w:highlight w:val="none"/>
                <w:shd w:val="clear" w:color="auto" w:fill="FFFFFF"/>
                <w:lang w:val="en-US" w:eastAsia="zh-CN"/>
              </w:rPr>
              <w:t>33%</w:t>
            </w:r>
          </w:p>
        </w:tc>
      </w:tr>
      <w:tr>
        <w:tblPrEx>
          <w:tblCellMar>
            <w:top w:w="0" w:type="dxa"/>
            <w:left w:w="0" w:type="dxa"/>
            <w:bottom w:w="0" w:type="dxa"/>
            <w:right w:w="0" w:type="dxa"/>
          </w:tblCellMar>
        </w:tblPrEx>
        <w:trPr>
          <w:trHeight w:val="624" w:hRule="atLeast"/>
          <w:jc w:val="center"/>
        </w:trPr>
        <w:tc>
          <w:tcPr>
            <w:tcW w:w="1213" w:type="dxa"/>
            <w:vMerge w:val="restart"/>
            <w:tcBorders>
              <w:top w:val="single" w:color="auto" w:sz="4" w:space="0"/>
              <w:left w:val="single" w:color="auto" w:sz="4" w:space="0"/>
              <w:bottom w:val="single" w:color="auto" w:sz="4" w:space="0"/>
              <w:right w:val="single" w:color="auto" w:sz="4" w:space="0"/>
            </w:tcBorders>
            <w:shd w:val="clear" w:color="auto" w:fill="auto"/>
            <w:tcMar>
              <w:left w:w="70" w:type="dxa"/>
              <w:right w:w="70" w:type="dxa"/>
            </w:tcMar>
            <w:vAlign w:val="center"/>
          </w:tcPr>
          <w:p>
            <w:pPr>
              <w:pStyle w:val="20"/>
              <w:pageBreakBefore w:val="0"/>
              <w:widowControl/>
              <w:kinsoku/>
              <w:wordWrap/>
              <w:overflowPunct/>
              <w:topLinePunct w:val="0"/>
              <w:autoSpaceDE/>
              <w:bidi w:val="0"/>
              <w:adjustRightInd/>
              <w:spacing w:beforeAutospacing="0" w:afterAutospacing="0" w:line="575" w:lineRule="exact"/>
              <w:jc w:val="center"/>
              <w:textAlignment w:val="auto"/>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人才效能和环境</w:t>
            </w:r>
          </w:p>
        </w:tc>
        <w:tc>
          <w:tcPr>
            <w:tcW w:w="800" w:type="dxa"/>
            <w:tcBorders>
              <w:top w:val="single" w:color="auto" w:sz="4" w:space="0"/>
              <w:left w:val="single" w:color="auto" w:sz="4" w:space="0"/>
              <w:bottom w:val="single" w:color="auto" w:sz="4" w:space="0"/>
              <w:right w:val="single" w:color="auto" w:sz="4" w:space="0"/>
            </w:tcBorders>
            <w:shd w:val="clear" w:color="auto" w:fill="auto"/>
            <w:tcMar>
              <w:left w:w="70" w:type="dxa"/>
              <w:right w:w="70" w:type="dxa"/>
            </w:tcMar>
            <w:vAlign w:val="center"/>
          </w:tcPr>
          <w:p>
            <w:pPr>
              <w:pStyle w:val="20"/>
              <w:pageBreakBefore w:val="0"/>
              <w:widowControl/>
              <w:kinsoku/>
              <w:wordWrap/>
              <w:overflowPunct/>
              <w:topLinePunct w:val="0"/>
              <w:autoSpaceDE/>
              <w:bidi w:val="0"/>
              <w:adjustRightInd/>
              <w:spacing w:beforeAutospacing="0" w:afterAutospacing="0" w:line="575" w:lineRule="exact"/>
              <w:jc w:val="center"/>
              <w:textAlignment w:val="auto"/>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13</w:t>
            </w:r>
          </w:p>
        </w:tc>
        <w:tc>
          <w:tcPr>
            <w:tcW w:w="3390" w:type="dxa"/>
            <w:tcBorders>
              <w:top w:val="single" w:color="auto" w:sz="4" w:space="0"/>
              <w:left w:val="single" w:color="auto" w:sz="4" w:space="0"/>
              <w:bottom w:val="single" w:color="auto" w:sz="4" w:space="0"/>
              <w:right w:val="single" w:color="auto" w:sz="4" w:space="0"/>
            </w:tcBorders>
            <w:shd w:val="clear" w:color="auto" w:fill="auto"/>
            <w:tcMar>
              <w:left w:w="70" w:type="dxa"/>
              <w:right w:w="70" w:type="dxa"/>
            </w:tcMar>
            <w:vAlign w:val="center"/>
          </w:tcPr>
          <w:p>
            <w:pPr>
              <w:pStyle w:val="20"/>
              <w:pageBreakBefore w:val="0"/>
              <w:widowControl/>
              <w:kinsoku/>
              <w:wordWrap/>
              <w:overflowPunct/>
              <w:topLinePunct w:val="0"/>
              <w:autoSpaceDE/>
              <w:bidi w:val="0"/>
              <w:adjustRightInd/>
              <w:spacing w:beforeAutospacing="0" w:afterAutospacing="0" w:line="575" w:lineRule="exact"/>
              <w:jc w:val="both"/>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每万人高价值发明专利拥有量</w:t>
            </w:r>
          </w:p>
        </w:tc>
        <w:tc>
          <w:tcPr>
            <w:tcW w:w="930" w:type="dxa"/>
            <w:tcBorders>
              <w:top w:val="single" w:color="auto" w:sz="4" w:space="0"/>
              <w:left w:val="single" w:color="auto" w:sz="4" w:space="0"/>
              <w:bottom w:val="single" w:color="auto" w:sz="4" w:space="0"/>
              <w:right w:val="single" w:color="auto" w:sz="4" w:space="0"/>
            </w:tcBorders>
            <w:shd w:val="clear" w:color="auto" w:fill="auto"/>
            <w:tcMar>
              <w:left w:w="70" w:type="dxa"/>
              <w:right w:w="70" w:type="dxa"/>
            </w:tcMar>
            <w:vAlign w:val="center"/>
          </w:tcPr>
          <w:p>
            <w:pPr>
              <w:pStyle w:val="20"/>
              <w:pageBreakBefore w:val="0"/>
              <w:widowControl/>
              <w:kinsoku/>
              <w:wordWrap/>
              <w:overflowPunct/>
              <w:topLinePunct w:val="0"/>
              <w:autoSpaceDE/>
              <w:bidi w:val="0"/>
              <w:adjustRightInd/>
              <w:spacing w:beforeAutospacing="0" w:afterAutospacing="0" w:line="575" w:lineRule="exact"/>
              <w:jc w:val="center"/>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项</w:t>
            </w:r>
          </w:p>
        </w:tc>
        <w:tc>
          <w:tcPr>
            <w:tcW w:w="1380" w:type="dxa"/>
            <w:tcBorders>
              <w:top w:val="single" w:color="auto" w:sz="4" w:space="0"/>
              <w:left w:val="single" w:color="auto" w:sz="4" w:space="0"/>
              <w:bottom w:val="single" w:color="auto" w:sz="4" w:space="0"/>
              <w:right w:val="single" w:color="auto" w:sz="4" w:space="0"/>
            </w:tcBorders>
            <w:shd w:val="clear" w:color="auto" w:fill="auto"/>
            <w:tcMar>
              <w:left w:w="70" w:type="dxa"/>
              <w:right w:w="70" w:type="dxa"/>
            </w:tcMar>
            <w:vAlign w:val="center"/>
          </w:tcPr>
          <w:p>
            <w:pPr>
              <w:pStyle w:val="20"/>
              <w:pageBreakBefore w:val="0"/>
              <w:widowControl/>
              <w:kinsoku/>
              <w:wordWrap/>
              <w:overflowPunct/>
              <w:topLinePunct w:val="0"/>
              <w:autoSpaceDE/>
              <w:bidi w:val="0"/>
              <w:adjustRightInd/>
              <w:spacing w:beforeAutospacing="0" w:afterAutospacing="0" w:line="575" w:lineRule="exact"/>
              <w:jc w:val="center"/>
              <w:textAlignment w:val="auto"/>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3</w:t>
            </w:r>
          </w:p>
        </w:tc>
        <w:tc>
          <w:tcPr>
            <w:tcW w:w="1440" w:type="dxa"/>
            <w:tcBorders>
              <w:top w:val="single" w:color="auto" w:sz="4" w:space="0"/>
              <w:left w:val="single" w:color="auto" w:sz="4" w:space="0"/>
              <w:bottom w:val="single" w:color="auto" w:sz="4" w:space="0"/>
              <w:right w:val="single" w:color="auto" w:sz="4" w:space="0"/>
            </w:tcBorders>
            <w:shd w:val="clear" w:color="auto" w:fill="auto"/>
            <w:tcMar>
              <w:left w:w="70" w:type="dxa"/>
              <w:right w:w="70" w:type="dxa"/>
            </w:tcMar>
            <w:vAlign w:val="center"/>
          </w:tcPr>
          <w:p>
            <w:pPr>
              <w:pStyle w:val="20"/>
              <w:pageBreakBefore w:val="0"/>
              <w:widowControl/>
              <w:kinsoku/>
              <w:wordWrap/>
              <w:overflowPunct/>
              <w:topLinePunct w:val="0"/>
              <w:autoSpaceDE/>
              <w:bidi w:val="0"/>
              <w:adjustRightInd/>
              <w:spacing w:beforeAutospacing="0" w:afterAutospacing="0" w:line="575" w:lineRule="exact"/>
              <w:jc w:val="center"/>
              <w:textAlignment w:val="auto"/>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5</w:t>
            </w:r>
          </w:p>
        </w:tc>
      </w:tr>
      <w:tr>
        <w:tblPrEx>
          <w:tblCellMar>
            <w:top w:w="0" w:type="dxa"/>
            <w:left w:w="0" w:type="dxa"/>
            <w:bottom w:w="0" w:type="dxa"/>
            <w:right w:w="0" w:type="dxa"/>
          </w:tblCellMar>
        </w:tblPrEx>
        <w:trPr>
          <w:trHeight w:val="624" w:hRule="atLeast"/>
          <w:jc w:val="center"/>
        </w:trPr>
        <w:tc>
          <w:tcPr>
            <w:tcW w:w="1213" w:type="dxa"/>
            <w:vMerge w:val="continue"/>
            <w:tcBorders>
              <w:top w:val="single" w:color="auto" w:sz="4" w:space="0"/>
              <w:left w:val="single" w:color="auto" w:sz="4" w:space="0"/>
              <w:bottom w:val="single" w:color="auto" w:sz="4" w:space="0"/>
              <w:right w:val="single" w:color="auto" w:sz="4" w:space="0"/>
            </w:tcBorders>
            <w:shd w:val="clear" w:color="auto" w:fill="auto"/>
            <w:tcMar>
              <w:left w:w="70" w:type="dxa"/>
              <w:right w:w="70" w:type="dxa"/>
            </w:tcMar>
            <w:vAlign w:val="center"/>
          </w:tcPr>
          <w:p>
            <w:pPr>
              <w:pStyle w:val="20"/>
              <w:pageBreakBefore w:val="0"/>
              <w:widowControl/>
              <w:kinsoku/>
              <w:wordWrap/>
              <w:overflowPunct/>
              <w:topLinePunct w:val="0"/>
              <w:autoSpaceDE/>
              <w:bidi w:val="0"/>
              <w:adjustRightInd/>
              <w:spacing w:beforeAutospacing="0" w:afterAutospacing="0" w:line="575" w:lineRule="exact"/>
              <w:jc w:val="center"/>
              <w:textAlignment w:val="auto"/>
              <w:rPr>
                <w:rFonts w:hint="eastAsia" w:ascii="仿宋_GB2312" w:hAnsi="仿宋_GB2312" w:eastAsia="仿宋_GB2312" w:cs="仿宋_GB2312"/>
                <w:color w:val="auto"/>
                <w:sz w:val="24"/>
                <w:szCs w:val="24"/>
                <w:highlight w:val="none"/>
                <w:lang w:val="en-US" w:eastAsia="zh-CN"/>
              </w:rPr>
            </w:pPr>
          </w:p>
        </w:tc>
        <w:tc>
          <w:tcPr>
            <w:tcW w:w="800" w:type="dxa"/>
            <w:tcBorders>
              <w:top w:val="single" w:color="auto" w:sz="4" w:space="0"/>
              <w:left w:val="single" w:color="auto" w:sz="4" w:space="0"/>
              <w:bottom w:val="single" w:color="auto" w:sz="4" w:space="0"/>
              <w:right w:val="single" w:color="auto" w:sz="4" w:space="0"/>
            </w:tcBorders>
            <w:shd w:val="clear" w:color="auto" w:fill="auto"/>
            <w:tcMar>
              <w:left w:w="70" w:type="dxa"/>
              <w:right w:w="70" w:type="dxa"/>
            </w:tcMar>
            <w:vAlign w:val="center"/>
          </w:tcPr>
          <w:p>
            <w:pPr>
              <w:pStyle w:val="20"/>
              <w:pageBreakBefore w:val="0"/>
              <w:widowControl/>
              <w:kinsoku/>
              <w:wordWrap/>
              <w:overflowPunct/>
              <w:topLinePunct w:val="0"/>
              <w:autoSpaceDE/>
              <w:bidi w:val="0"/>
              <w:adjustRightInd/>
              <w:spacing w:beforeAutospacing="0" w:afterAutospacing="0" w:line="575" w:lineRule="exact"/>
              <w:jc w:val="center"/>
              <w:textAlignment w:val="auto"/>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14</w:t>
            </w:r>
          </w:p>
        </w:tc>
        <w:tc>
          <w:tcPr>
            <w:tcW w:w="3390" w:type="dxa"/>
            <w:tcBorders>
              <w:top w:val="single" w:color="auto" w:sz="4" w:space="0"/>
              <w:left w:val="single" w:color="auto" w:sz="4" w:space="0"/>
              <w:bottom w:val="single" w:color="auto" w:sz="4" w:space="0"/>
              <w:right w:val="single" w:color="auto" w:sz="4" w:space="0"/>
            </w:tcBorders>
            <w:shd w:val="clear" w:color="auto" w:fill="auto"/>
            <w:tcMar>
              <w:left w:w="70" w:type="dxa"/>
              <w:right w:w="70" w:type="dxa"/>
            </w:tcMar>
            <w:vAlign w:val="center"/>
          </w:tcPr>
          <w:p>
            <w:pPr>
              <w:pStyle w:val="20"/>
              <w:pageBreakBefore w:val="0"/>
              <w:widowControl/>
              <w:kinsoku/>
              <w:wordWrap/>
              <w:overflowPunct/>
              <w:topLinePunct w:val="0"/>
              <w:autoSpaceDE/>
              <w:bidi w:val="0"/>
              <w:adjustRightInd/>
              <w:spacing w:beforeAutospacing="0" w:afterAutospacing="0" w:line="575" w:lineRule="exact"/>
              <w:jc w:val="both"/>
              <w:textAlignment w:val="auto"/>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R&amp;D</w:t>
            </w:r>
            <w:r>
              <w:rPr>
                <w:rFonts w:hint="eastAsia" w:ascii="仿宋_GB2312" w:hAnsi="仿宋_GB2312" w:eastAsia="仿宋_GB2312" w:cs="仿宋_GB2312"/>
                <w:color w:val="auto"/>
                <w:sz w:val="24"/>
                <w:szCs w:val="24"/>
                <w:highlight w:val="none"/>
              </w:rPr>
              <w:t>投资占</w:t>
            </w:r>
            <w:r>
              <w:rPr>
                <w:rFonts w:hint="eastAsia" w:ascii="仿宋_GB2312" w:hAnsi="仿宋_GB2312" w:eastAsia="仿宋_GB2312" w:cs="仿宋_GB2312"/>
                <w:color w:val="auto"/>
                <w:sz w:val="24"/>
                <w:szCs w:val="24"/>
                <w:highlight w:val="none"/>
                <w:lang w:val="en-US" w:eastAsia="zh-CN"/>
              </w:rPr>
              <w:t>GDP比重</w:t>
            </w:r>
          </w:p>
        </w:tc>
        <w:tc>
          <w:tcPr>
            <w:tcW w:w="930" w:type="dxa"/>
            <w:tcBorders>
              <w:top w:val="single" w:color="auto" w:sz="4" w:space="0"/>
              <w:left w:val="single" w:color="auto" w:sz="4" w:space="0"/>
              <w:bottom w:val="single" w:color="auto" w:sz="4" w:space="0"/>
              <w:right w:val="single" w:color="auto" w:sz="4" w:space="0"/>
            </w:tcBorders>
            <w:shd w:val="clear" w:color="auto" w:fill="auto"/>
            <w:tcMar>
              <w:left w:w="70" w:type="dxa"/>
              <w:right w:w="70" w:type="dxa"/>
            </w:tcMar>
            <w:vAlign w:val="center"/>
          </w:tcPr>
          <w:p>
            <w:pPr>
              <w:pStyle w:val="20"/>
              <w:pageBreakBefore w:val="0"/>
              <w:widowControl/>
              <w:kinsoku/>
              <w:wordWrap/>
              <w:overflowPunct/>
              <w:topLinePunct w:val="0"/>
              <w:autoSpaceDE/>
              <w:bidi w:val="0"/>
              <w:adjustRightInd/>
              <w:spacing w:beforeAutospacing="0" w:afterAutospacing="0" w:line="575" w:lineRule="exact"/>
              <w:jc w:val="center"/>
              <w:textAlignment w:val="auto"/>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w:t>
            </w:r>
          </w:p>
        </w:tc>
        <w:tc>
          <w:tcPr>
            <w:tcW w:w="1380" w:type="dxa"/>
            <w:tcBorders>
              <w:top w:val="single" w:color="auto" w:sz="4" w:space="0"/>
              <w:left w:val="single" w:color="auto" w:sz="4" w:space="0"/>
              <w:bottom w:val="single" w:color="auto" w:sz="4" w:space="0"/>
              <w:right w:val="single" w:color="auto" w:sz="4" w:space="0"/>
            </w:tcBorders>
            <w:shd w:val="clear" w:color="auto" w:fill="auto"/>
            <w:tcMar>
              <w:left w:w="70" w:type="dxa"/>
              <w:right w:w="70" w:type="dxa"/>
            </w:tcMar>
            <w:vAlign w:val="center"/>
          </w:tcPr>
          <w:p>
            <w:pPr>
              <w:pStyle w:val="20"/>
              <w:pageBreakBefore w:val="0"/>
              <w:widowControl/>
              <w:kinsoku/>
              <w:wordWrap/>
              <w:overflowPunct/>
              <w:topLinePunct w:val="0"/>
              <w:autoSpaceDE/>
              <w:bidi w:val="0"/>
              <w:adjustRightInd/>
              <w:spacing w:beforeAutospacing="0" w:afterAutospacing="0" w:line="575" w:lineRule="exact"/>
              <w:jc w:val="center"/>
              <w:textAlignment w:val="auto"/>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0.81%</w:t>
            </w:r>
          </w:p>
        </w:tc>
        <w:tc>
          <w:tcPr>
            <w:tcW w:w="1440" w:type="dxa"/>
            <w:tcBorders>
              <w:top w:val="single" w:color="auto" w:sz="4" w:space="0"/>
              <w:left w:val="single" w:color="auto" w:sz="4" w:space="0"/>
              <w:bottom w:val="single" w:color="auto" w:sz="4" w:space="0"/>
              <w:right w:val="single" w:color="auto" w:sz="4" w:space="0"/>
            </w:tcBorders>
            <w:shd w:val="clear" w:color="auto" w:fill="auto"/>
            <w:tcMar>
              <w:left w:w="70" w:type="dxa"/>
              <w:right w:w="70" w:type="dxa"/>
            </w:tcMar>
            <w:vAlign w:val="center"/>
          </w:tcPr>
          <w:p>
            <w:pPr>
              <w:pStyle w:val="20"/>
              <w:pageBreakBefore w:val="0"/>
              <w:widowControl/>
              <w:kinsoku/>
              <w:wordWrap/>
              <w:overflowPunct/>
              <w:topLinePunct w:val="0"/>
              <w:autoSpaceDE/>
              <w:bidi w:val="0"/>
              <w:adjustRightInd/>
              <w:spacing w:beforeAutospacing="0" w:afterAutospacing="0" w:line="575" w:lineRule="exact"/>
              <w:jc w:val="center"/>
              <w:textAlignment w:val="auto"/>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2%</w:t>
            </w:r>
          </w:p>
        </w:tc>
      </w:tr>
    </w:tbl>
    <w:p>
      <w:pPr>
        <w:keepNext/>
        <w:keepLines/>
        <w:pageBreakBefore w:val="0"/>
        <w:numPr>
          <w:ilvl w:val="0"/>
          <w:numId w:val="0"/>
        </w:numPr>
        <w:kinsoku/>
        <w:wordWrap/>
        <w:overflowPunct/>
        <w:topLinePunct w:val="0"/>
        <w:autoSpaceDE/>
        <w:bidi w:val="0"/>
        <w:adjustRightInd/>
        <w:spacing w:line="575" w:lineRule="exact"/>
        <w:ind w:firstLine="640" w:firstLineChars="200"/>
        <w:textAlignment w:val="auto"/>
        <w:outlineLvl w:val="0"/>
        <w:rPr>
          <w:rFonts w:ascii="黑体" w:hAnsi="黑体" w:eastAsia="黑体" w:cs="黑体"/>
          <w:bCs/>
          <w:kern w:val="44"/>
          <w:szCs w:val="32"/>
          <w:highlight w:val="none"/>
        </w:rPr>
      </w:pPr>
      <w:bookmarkStart w:id="16" w:name="_Toc4335"/>
      <w:r>
        <w:rPr>
          <w:rFonts w:hint="eastAsia" w:ascii="黑体" w:hAnsi="黑体" w:eastAsia="黑体" w:cs="黑体"/>
          <w:bCs/>
          <w:kern w:val="44"/>
          <w:szCs w:val="32"/>
          <w:highlight w:val="none"/>
          <w:lang w:val="en-US" w:eastAsia="zh-CN"/>
        </w:rPr>
        <w:t>三、</w:t>
      </w:r>
      <w:r>
        <w:rPr>
          <w:rFonts w:hint="eastAsia" w:ascii="黑体" w:hAnsi="黑体" w:eastAsia="黑体" w:cs="黑体"/>
          <w:bCs/>
          <w:kern w:val="44"/>
          <w:szCs w:val="32"/>
          <w:highlight w:val="none"/>
        </w:rPr>
        <w:t>“十四五”期间人才工作的主要任务</w:t>
      </w:r>
      <w:bookmarkEnd w:id="14"/>
      <w:bookmarkEnd w:id="16"/>
    </w:p>
    <w:p>
      <w:pPr>
        <w:keepNext/>
        <w:keepLines/>
        <w:pageBreakBefore w:val="0"/>
        <w:numPr>
          <w:ilvl w:val="0"/>
          <w:numId w:val="3"/>
        </w:numPr>
        <w:kinsoku/>
        <w:wordWrap/>
        <w:overflowPunct/>
        <w:topLinePunct w:val="0"/>
        <w:autoSpaceDE/>
        <w:bidi w:val="0"/>
        <w:adjustRightInd/>
        <w:spacing w:line="575" w:lineRule="exact"/>
        <w:ind w:firstLine="640" w:firstLineChars="200"/>
        <w:jc w:val="left"/>
        <w:textAlignment w:val="auto"/>
        <w:outlineLvl w:val="1"/>
        <w:rPr>
          <w:rFonts w:ascii="楷体_GB2312" w:hAnsi="楷体_GB2312" w:eastAsia="楷体_GB2312" w:cs="楷体_GB2312"/>
          <w:bCs/>
          <w:szCs w:val="32"/>
          <w:highlight w:val="none"/>
          <w:lang w:val="zh-CN" w:bidi="zh-CN"/>
        </w:rPr>
      </w:pPr>
      <w:bookmarkStart w:id="17" w:name="_Toc91188877"/>
      <w:bookmarkStart w:id="18" w:name="_Toc5132"/>
      <w:r>
        <w:rPr>
          <w:rFonts w:hint="eastAsia" w:ascii="楷体_GB2312" w:hAnsi="楷体_GB2312" w:eastAsia="楷体_GB2312" w:cs="楷体_GB2312"/>
          <w:bCs/>
          <w:szCs w:val="32"/>
          <w:highlight w:val="none"/>
          <w:lang w:val="zh-CN" w:bidi="zh-CN"/>
        </w:rPr>
        <w:t>人才队伍建设</w:t>
      </w:r>
      <w:bookmarkEnd w:id="15"/>
      <w:bookmarkEnd w:id="17"/>
      <w:bookmarkEnd w:id="18"/>
    </w:p>
    <w:p>
      <w:pPr>
        <w:pageBreakBefore w:val="0"/>
        <w:kinsoku/>
        <w:wordWrap/>
        <w:overflowPunct/>
        <w:topLinePunct w:val="0"/>
        <w:autoSpaceDE/>
        <w:bidi w:val="0"/>
        <w:adjustRightInd/>
        <w:spacing w:line="575" w:lineRule="exact"/>
        <w:ind w:firstLine="672" w:firstLineChars="200"/>
        <w:textAlignment w:val="auto"/>
        <w:rPr>
          <w:rFonts w:hint="eastAsia" w:ascii="仿宋_GB2312" w:hAnsi="仿宋_GB2312" w:eastAsia="仿宋_GB2312" w:cs="仿宋_GB2312"/>
          <w:color w:val="000000" w:themeColor="text1"/>
          <w:spacing w:val="8"/>
          <w:highlight w:val="none"/>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pacing w:val="8"/>
          <w:highlight w:val="none"/>
          <w:shd w:val="clear" w:color="auto" w:fill="FFFFFF"/>
          <w:lang w:val="en-US" w:eastAsia="zh-CN"/>
          <w14:textFill>
            <w14:solidFill>
              <w14:schemeClr w14:val="tx1"/>
            </w14:solidFill>
          </w14:textFill>
        </w:rPr>
        <w:t>着眼高质量发展需要，坚持引进人才与培养人才、高端人才与基础人才、创新创业人才与产业发展人才并重，以实施“十百千万”人才计划为引领，打造一支数量充足、素质优良、结构合理、活力迸发的高素质人才队伍。</w:t>
      </w:r>
    </w:p>
    <w:p>
      <w:pPr>
        <w:pStyle w:val="2"/>
        <w:jc w:val="center"/>
        <w:rPr>
          <w:rFonts w:hint="eastAsia" w:ascii="方正小标宋_GBK" w:hAnsi="方正小标宋_GBK" w:eastAsia="方正小标宋_GBK" w:cs="方正小标宋_GBK"/>
          <w:lang w:val="en-US" w:eastAsia="zh-CN"/>
        </w:rPr>
      </w:pPr>
      <w:r>
        <w:rPr>
          <w:rFonts w:hint="eastAsia" w:ascii="方正小标宋_GBK" w:hAnsi="方正小标宋_GBK" w:eastAsia="方正小标宋_GBK" w:cs="方正小标宋_GBK"/>
          <w:sz w:val="28"/>
          <w:szCs w:val="28"/>
          <w:vertAlign w:val="baseline"/>
          <w:lang w:val="en-US" w:eastAsia="zh-CN"/>
        </w:rPr>
        <w:t xml:space="preserve">专栏3   </w:t>
      </w:r>
      <w:r>
        <w:rPr>
          <w:rFonts w:hint="eastAsia" w:ascii="方正小标宋_GBK" w:hAnsi="方正小标宋_GBK" w:eastAsia="方正小标宋_GBK" w:cs="方正小标宋_GBK"/>
          <w:color w:val="auto"/>
          <w:sz w:val="28"/>
          <w:szCs w:val="28"/>
          <w:vertAlign w:val="baseline"/>
          <w:lang w:val="en-US" w:eastAsia="zh-CN"/>
        </w:rPr>
        <w:t>“十百千万”人才计划</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2" w:type="dxa"/>
            <w:vAlign w:val="top"/>
          </w:tcPr>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顶尖人才引领工程：全面突出“高精尖”导向，采取项目合作、兼职兼薪、合作交流等方式，引进10名左右能够整体提升鄂尔多斯引领实力的旗舰型顶尖人才。</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领军人才引育工程：进一步完善项目资助、资金支持、政策配套措施，持续支持本地经济社会领域领军人才，引育100名左右各领域领军人才。</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重点领域海内外高端人才引育工程：建立一批重点领域高端人才支持项目，设立一批技术研发创新支持项目。制定培养基地专项资助政策，聚焦经济社会发展各种需要，引进培养1000名左右硕博研究生及取得副高级及以上职称或技师及以上职业资格的高端人才。</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急需紧缺人才引育工程：围绕实体经济、重点产业、新兴领域、乡村振兴等领域，加快急需紧缺人才培养引进，培养引进10000名左右急需紧缺的专业技术人才、实用型技能人才、乡村振兴人才、创业人才。</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ascii="仿宋_GB2312" w:hAnsi="仿宋_GB2312" w:eastAsia="仿宋_GB2312" w:cs="仿宋_GB2312"/>
                <w:sz w:val="24"/>
                <w:szCs w:val="24"/>
                <w:lang w:val="en-US" w:eastAsia="zh-CN"/>
              </w:rPr>
              <w:t>青年人才引育工程：探索打破行业、专业、行政隶属的制约，加大优秀青年人才选拔，开展青年人才培养。实施“燕归巢”行动，为鄂尔多斯大学生提供实习见习岗位，引导在外优秀学子返乡创业就业，打造青年人才“蓄水池”。常态化开展鄂尔多斯籍在校大学生回乡就业创业、兼职、实践，积极吸引集聚更多高校毕业生，选拔、培育20000名左右青年优秀人才。</w:t>
            </w:r>
          </w:p>
        </w:tc>
      </w:tr>
    </w:tbl>
    <w:p>
      <w:pPr>
        <w:pStyle w:val="6"/>
        <w:pageBreakBefore w:val="0"/>
        <w:kinsoku/>
        <w:wordWrap/>
        <w:overflowPunct/>
        <w:topLinePunct w:val="0"/>
        <w:autoSpaceDE/>
        <w:bidi w:val="0"/>
        <w:adjustRightInd/>
        <w:snapToGrid w:val="0"/>
        <w:spacing w:before="0" w:after="0" w:line="575" w:lineRule="exact"/>
        <w:ind w:firstLine="643" w:firstLineChars="200"/>
        <w:textAlignment w:val="auto"/>
        <w:rPr>
          <w:rFonts w:hint="eastAsia" w:ascii="仿宋_GB2312" w:hAnsi="仿宋_GB2312" w:eastAsia="仿宋_GB2312" w:cs="仿宋_GB2312"/>
          <w:szCs w:val="32"/>
          <w:highlight w:val="none"/>
          <w:lang w:val="en-US" w:eastAsia="zh-CN"/>
        </w:rPr>
      </w:pPr>
      <w:bookmarkStart w:id="19" w:name="_Toc91188878"/>
      <w:bookmarkStart w:id="20" w:name="_Toc88490272"/>
      <w:bookmarkStart w:id="21" w:name="_Toc15450"/>
      <w:r>
        <w:rPr>
          <w:rFonts w:hint="eastAsia" w:ascii="仿宋_GB2312" w:hAnsi="仿宋_GB2312" w:eastAsia="仿宋_GB2312" w:cs="仿宋_GB2312"/>
          <w:szCs w:val="32"/>
          <w:highlight w:val="none"/>
        </w:rPr>
        <w:t>1.党政人才</w:t>
      </w:r>
      <w:bookmarkEnd w:id="19"/>
      <w:bookmarkEnd w:id="20"/>
      <w:r>
        <w:rPr>
          <w:rFonts w:hint="eastAsia" w:ascii="仿宋_GB2312" w:hAnsi="仿宋_GB2312" w:eastAsia="仿宋_GB2312" w:cs="仿宋_GB2312"/>
          <w:szCs w:val="32"/>
          <w:highlight w:val="none"/>
          <w:lang w:val="en-US" w:eastAsia="zh-CN"/>
        </w:rPr>
        <w:t>队伍</w:t>
      </w:r>
      <w:bookmarkEnd w:id="21"/>
    </w:p>
    <w:p>
      <w:pPr>
        <w:pStyle w:val="26"/>
        <w:pageBreakBefore w:val="0"/>
        <w:widowControl w:val="0"/>
        <w:kinsoku/>
        <w:wordWrap/>
        <w:overflowPunct/>
        <w:topLinePunct w:val="0"/>
        <w:autoSpaceDE/>
        <w:autoSpaceDN w:val="0"/>
        <w:bidi w:val="0"/>
        <w:adjustRightInd/>
        <w:spacing w:line="575" w:lineRule="exact"/>
        <w:ind w:firstLine="640" w:firstLineChars="200"/>
        <w:jc w:val="left"/>
        <w:textAlignment w:val="auto"/>
        <w:rPr>
          <w:rFonts w:ascii="仿宋_GB2312" w:hAnsi="仿宋_GB2312" w:eastAsia="仿宋_GB2312" w:cs="仿宋_GB2312"/>
          <w:szCs w:val="32"/>
          <w:highlight w:val="none"/>
        </w:rPr>
      </w:pPr>
      <w:r>
        <w:rPr>
          <w:rFonts w:hint="eastAsia" w:ascii="仿宋_GB2312" w:hAnsi="仿宋_GB2312" w:eastAsia="仿宋_GB2312" w:cs="仿宋_GB2312"/>
          <w:szCs w:val="32"/>
          <w:highlight w:val="none"/>
        </w:rPr>
        <w:t>以各级领导班子为重点，通过思想建设、能力建设、实践</w:t>
      </w:r>
      <w:r>
        <w:rPr>
          <w:rFonts w:hint="eastAsia" w:ascii="仿宋_GB2312" w:hAnsi="仿宋_GB2312" w:eastAsia="仿宋_GB2312" w:cs="仿宋_GB2312"/>
          <w:szCs w:val="32"/>
          <w:highlight w:val="none"/>
          <w:lang w:val="en-US" w:eastAsia="zh-CN"/>
        </w:rPr>
        <w:t>磨炼</w:t>
      </w:r>
      <w:r>
        <w:rPr>
          <w:rFonts w:hint="eastAsia" w:ascii="仿宋_GB2312" w:hAnsi="仿宋_GB2312" w:eastAsia="仿宋_GB2312" w:cs="仿宋_GB2312"/>
          <w:szCs w:val="32"/>
          <w:highlight w:val="none"/>
        </w:rPr>
        <w:t>、严格管理，建设政治坚定、作风优良、纪律严明、勤政为民、恪尽职守、清正廉洁，能够推动跨越式发展和长治久安的高素质专业化党政人才队伍。实施“党政人才能力提升计划”，开展党政领导干部大规模培训，实现五年内轮训一遍。推进党政干部跨地区、跨行业、跨部门交流。采取外出引进聚集、公开招录选拔、日常工作发现、群众举荐储备，探索</w:t>
      </w:r>
      <w:r>
        <w:rPr>
          <w:rFonts w:hint="eastAsia" w:ascii="仿宋_GB2312" w:hAnsi="仿宋_GB2312" w:eastAsia="仿宋_GB2312" w:cs="仿宋_GB2312"/>
          <w:szCs w:val="32"/>
          <w:highlight w:val="none"/>
          <w:lang w:val="en-US" w:eastAsia="zh-CN"/>
        </w:rPr>
        <w:t>从</w:t>
      </w:r>
      <w:r>
        <w:rPr>
          <w:rFonts w:hint="eastAsia" w:ascii="仿宋_GB2312" w:hAnsi="仿宋_GB2312" w:eastAsia="仿宋_GB2312" w:cs="仿宋_GB2312"/>
          <w:szCs w:val="32"/>
          <w:highlight w:val="none"/>
        </w:rPr>
        <w:t>优秀村“两委”干部、优秀大学生村官、社会英才中选拔干部办法，健全选人用人机制。实施“党政人才战略储备计划”，加大优秀年轻干部选拔和党政后备干部队伍建设。加大挂职锻炼力度，选派中青年后备干部到基层一线岗位经受磨练，全力打造年轻干部选育管用全链条工作机制。</w:t>
      </w:r>
    </w:p>
    <w:p>
      <w:pPr>
        <w:pStyle w:val="6"/>
        <w:pageBreakBefore w:val="0"/>
        <w:kinsoku/>
        <w:wordWrap/>
        <w:overflowPunct/>
        <w:topLinePunct w:val="0"/>
        <w:autoSpaceDE/>
        <w:bidi w:val="0"/>
        <w:adjustRightInd/>
        <w:snapToGrid w:val="0"/>
        <w:spacing w:before="0" w:after="0" w:line="575" w:lineRule="exact"/>
        <w:ind w:left="640" w:leftChars="200"/>
        <w:textAlignment w:val="auto"/>
        <w:rPr>
          <w:rFonts w:hint="eastAsia" w:ascii="仿宋_GB2312" w:hAnsi="仿宋_GB2312" w:eastAsia="仿宋_GB2312" w:cs="仿宋_GB2312"/>
          <w:szCs w:val="32"/>
          <w:highlight w:val="none"/>
          <w:lang w:val="en-US" w:eastAsia="zh-CN"/>
        </w:rPr>
      </w:pPr>
      <w:bookmarkStart w:id="22" w:name="_Toc91188879"/>
      <w:bookmarkStart w:id="23" w:name="_Toc88490273"/>
      <w:bookmarkStart w:id="24" w:name="_Toc24749"/>
      <w:r>
        <w:rPr>
          <w:rFonts w:hint="eastAsia" w:ascii="仿宋_GB2312" w:hAnsi="仿宋_GB2312" w:eastAsia="仿宋_GB2312" w:cs="仿宋_GB2312"/>
          <w:szCs w:val="32"/>
          <w:highlight w:val="none"/>
        </w:rPr>
        <w:t>2.企业经营管理人才</w:t>
      </w:r>
      <w:bookmarkEnd w:id="22"/>
      <w:bookmarkEnd w:id="23"/>
      <w:r>
        <w:rPr>
          <w:rFonts w:hint="eastAsia" w:ascii="仿宋_GB2312" w:hAnsi="仿宋_GB2312" w:eastAsia="仿宋_GB2312" w:cs="仿宋_GB2312"/>
          <w:szCs w:val="32"/>
          <w:highlight w:val="none"/>
          <w:lang w:val="en-US" w:eastAsia="zh-CN"/>
        </w:rPr>
        <w:t>队伍</w:t>
      </w:r>
      <w:bookmarkEnd w:id="24"/>
    </w:p>
    <w:p>
      <w:pPr>
        <w:pageBreakBefore w:val="0"/>
        <w:kinsoku/>
        <w:wordWrap/>
        <w:overflowPunct/>
        <w:topLinePunct w:val="0"/>
        <w:autoSpaceDE/>
        <w:bidi w:val="0"/>
        <w:adjustRightInd/>
        <w:spacing w:line="575" w:lineRule="exact"/>
        <w:ind w:firstLine="640" w:firstLineChars="200"/>
        <w:textAlignment w:val="auto"/>
        <w:rPr>
          <w:rFonts w:hint="eastAsia" w:ascii="仿宋_GB2312" w:hAnsi="仿宋_GB2312" w:eastAsia="仿宋_GB2312" w:cs="仿宋_GB2312"/>
          <w:szCs w:val="32"/>
          <w:highlight w:val="none"/>
        </w:rPr>
      </w:pPr>
      <w:r>
        <w:rPr>
          <w:rFonts w:hint="eastAsia" w:ascii="仿宋_GB2312" w:hAnsi="仿宋_GB2312" w:eastAsia="仿宋_GB2312" w:cs="仿宋_GB2312"/>
          <w:szCs w:val="32"/>
          <w:highlight w:val="none"/>
        </w:rPr>
        <w:t>围绕产业结构优化升级和高质量发展，加快具有市场开拓精神、管理创新能力、社会责任感的优秀企业家队伍和高水平的企业经营管理人才队伍建设。积极</w:t>
      </w:r>
      <w:r>
        <w:rPr>
          <w:rFonts w:hint="eastAsia" w:ascii="仿宋_GB2312" w:hAnsi="仿宋_GB2312" w:eastAsia="仿宋_GB2312" w:cs="仿宋_GB2312"/>
          <w:szCs w:val="32"/>
          <w:highlight w:val="none"/>
          <w:lang w:val="en-US" w:eastAsia="zh-CN"/>
        </w:rPr>
        <w:t>实施</w:t>
      </w:r>
      <w:r>
        <w:rPr>
          <w:rFonts w:hint="eastAsia" w:ascii="仿宋_GB2312" w:hAnsi="仿宋_GB2312" w:eastAsia="仿宋_GB2312" w:cs="仿宋_GB2312"/>
          <w:szCs w:val="32"/>
          <w:highlight w:val="none"/>
        </w:rPr>
        <w:t>优秀企业家培育工程，遴选优秀企业家、青年企业家、青年创业人才、国有企业经营管理人才到发达省市、大型企业培训、锻炼。积极引入国内外高水平大学和优秀品牌培训机构，发挥网络学院、智慧教育作用，开展“企业家论坛”“中小企业家大讲堂”“企业家星期日课堂”等系列企业经营管理人才培训组合。建设企业经营管理人才库，逐步健全高层次企业经营管理人才市场体系，完善企业经营管理人才期权、期股激励办法，探索长期保障性激励方式，健全收入分配保护保障体系和监督约束机制。深化国资国企改革，推行职业经理人制度，畅通现有经营管理者与职业经理人身份转换通道。遵循企业家成长规律，塑造企业家精神，强化企业家社会责任。</w:t>
      </w:r>
      <w:bookmarkStart w:id="25" w:name="_Toc91188880"/>
      <w:bookmarkStart w:id="26" w:name="_Toc88490274"/>
    </w:p>
    <w:p>
      <w:pPr>
        <w:pageBreakBefore w:val="0"/>
        <w:kinsoku/>
        <w:wordWrap/>
        <w:overflowPunct/>
        <w:topLinePunct w:val="0"/>
        <w:autoSpaceDE/>
        <w:bidi w:val="0"/>
        <w:adjustRightInd/>
        <w:spacing w:line="575" w:lineRule="exact"/>
        <w:ind w:firstLine="640" w:firstLineChars="200"/>
        <w:textAlignment w:val="auto"/>
        <w:rPr>
          <w:rFonts w:ascii="仿宋_GB2312" w:eastAsia="仿宋_GB2312"/>
          <w:szCs w:val="32"/>
          <w:highlight w:val="none"/>
        </w:rPr>
      </w:pPr>
      <w:r>
        <w:rPr>
          <w:rFonts w:hint="eastAsia" w:ascii="仿宋_GB2312" w:eastAsia="仿宋_GB2312"/>
          <w:szCs w:val="32"/>
          <w:highlight w:val="none"/>
        </w:rPr>
        <w:t>到2025年末，企业经营管理人才总量达到</w:t>
      </w:r>
      <w:r>
        <w:rPr>
          <w:rFonts w:hint="eastAsia" w:ascii="仿宋_GB2312" w:eastAsia="仿宋_GB2312"/>
          <w:szCs w:val="32"/>
          <w:highlight w:val="none"/>
          <w:lang w:val="en-US" w:eastAsia="zh-CN"/>
        </w:rPr>
        <w:t>13.5</w:t>
      </w:r>
      <w:r>
        <w:rPr>
          <w:rFonts w:hint="eastAsia" w:ascii="仿宋_GB2312" w:eastAsia="仿宋_GB2312"/>
          <w:szCs w:val="32"/>
          <w:highlight w:val="none"/>
        </w:rPr>
        <w:t>万人。</w:t>
      </w:r>
    </w:p>
    <w:p>
      <w:pPr>
        <w:pStyle w:val="26"/>
        <w:pageBreakBefore w:val="0"/>
        <w:widowControl w:val="0"/>
        <w:kinsoku/>
        <w:wordWrap/>
        <w:overflowPunct/>
        <w:topLinePunct w:val="0"/>
        <w:autoSpaceDE/>
        <w:autoSpaceDN w:val="0"/>
        <w:bidi w:val="0"/>
        <w:adjustRightInd/>
        <w:spacing w:line="575" w:lineRule="exact"/>
        <w:ind w:firstLine="643" w:firstLineChars="200"/>
        <w:jc w:val="left"/>
        <w:textAlignment w:val="auto"/>
        <w:rPr>
          <w:rFonts w:hint="eastAsia" w:ascii="仿宋_GB2312" w:hAnsi="仿宋_GB2312" w:eastAsia="仿宋_GB2312" w:cs="仿宋_GB2312"/>
          <w:b/>
          <w:bCs/>
          <w:szCs w:val="32"/>
          <w:highlight w:val="none"/>
          <w:lang w:val="en-US" w:eastAsia="zh-CN"/>
        </w:rPr>
      </w:pPr>
      <w:r>
        <w:rPr>
          <w:rFonts w:hint="eastAsia" w:ascii="仿宋_GB2312" w:hAnsi="仿宋_GB2312" w:eastAsia="仿宋_GB2312" w:cs="仿宋_GB2312"/>
          <w:b/>
          <w:bCs/>
          <w:szCs w:val="32"/>
          <w:highlight w:val="none"/>
        </w:rPr>
        <w:t>3.专业技术人才</w:t>
      </w:r>
      <w:bookmarkEnd w:id="25"/>
      <w:bookmarkEnd w:id="26"/>
      <w:r>
        <w:rPr>
          <w:rFonts w:hint="eastAsia" w:ascii="仿宋_GB2312" w:hAnsi="仿宋_GB2312" w:eastAsia="仿宋_GB2312" w:cs="仿宋_GB2312"/>
          <w:b/>
          <w:bCs/>
          <w:szCs w:val="32"/>
          <w:highlight w:val="none"/>
          <w:lang w:val="en-US" w:eastAsia="zh-CN"/>
        </w:rPr>
        <w:t>队伍</w:t>
      </w:r>
    </w:p>
    <w:p>
      <w:pPr>
        <w:pageBreakBefore w:val="0"/>
        <w:kinsoku/>
        <w:wordWrap/>
        <w:overflowPunct/>
        <w:topLinePunct w:val="0"/>
        <w:autoSpaceDE/>
        <w:bidi w:val="0"/>
        <w:adjustRightInd/>
        <w:spacing w:line="575" w:lineRule="exact"/>
        <w:ind w:firstLine="640" w:firstLineChars="200"/>
        <w:textAlignment w:val="auto"/>
        <w:rPr>
          <w:rFonts w:hint="eastAsia" w:ascii="仿宋_GB2312" w:hAnsi="仿宋_GB2312" w:eastAsia="仿宋_GB2312" w:cs="仿宋_GB2312"/>
          <w:color w:val="auto"/>
          <w:szCs w:val="32"/>
          <w:highlight w:val="none"/>
        </w:rPr>
      </w:pPr>
      <w:r>
        <w:rPr>
          <w:rFonts w:hint="eastAsia" w:ascii="仿宋_GB2312" w:hAnsi="仿宋_GB2312" w:eastAsia="仿宋_GB2312" w:cs="仿宋_GB2312"/>
          <w:b w:val="0"/>
          <w:bCs w:val="0"/>
          <w:color w:val="auto"/>
          <w:szCs w:val="32"/>
          <w:highlight w:val="none"/>
          <w:lang w:val="en-US" w:eastAsia="zh-CN"/>
        </w:rPr>
        <w:t>重点产业领域人才队伍建设计划。</w:t>
      </w:r>
      <w:r>
        <w:rPr>
          <w:rFonts w:hint="eastAsia" w:ascii="仿宋_GB2312" w:hAnsi="仿宋_GB2312" w:eastAsia="仿宋_GB2312" w:cs="仿宋_GB2312"/>
          <w:color w:val="auto"/>
          <w:szCs w:val="32"/>
          <w:highlight w:val="none"/>
          <w:lang w:val="en-US" w:eastAsia="zh-CN"/>
        </w:rPr>
        <w:t>加大新能源、新材料等新兴产业领域人才引育力度。围绕</w:t>
      </w:r>
      <w:r>
        <w:rPr>
          <w:rFonts w:hint="eastAsia" w:ascii="仿宋_GB2312" w:hAnsi="仿宋_GB2312" w:eastAsia="仿宋_GB2312" w:cs="仿宋_GB2312"/>
          <w:color w:val="auto"/>
          <w:kern w:val="2"/>
          <w:sz w:val="32"/>
          <w:szCs w:val="32"/>
          <w:highlight w:val="none"/>
          <w:lang w:val="en-US" w:eastAsia="zh-CN" w:bidi="ar-SA"/>
        </w:rPr>
        <w:t>煤化工、新能源、装备制造、新材料领域</w:t>
      </w:r>
      <w:r>
        <w:rPr>
          <w:rFonts w:hint="eastAsia" w:ascii="仿宋_GB2312" w:hAnsi="仿宋_GB2312" w:eastAsia="仿宋_GB2312" w:cs="仿宋_GB2312"/>
          <w:color w:val="auto"/>
          <w:szCs w:val="32"/>
          <w:highlight w:val="none"/>
          <w:lang w:val="en-US" w:eastAsia="zh-CN"/>
        </w:rPr>
        <w:t>产值超千亿产业集群建设目标，以及电力、油气、数字经济、节能环保、羊绒纺织、生物医药等产值超百亿产业集群建设目标，加快集聚一批急需紧缺人才，引领支持重点产业领域发展。开展百名重点产业领军人才培育行动，围绕重点产业领域产业链供应链发展所需，动态发布人才需求目录，吸引全球人才“揭榜挂帅”、协同攻关。加大急需紧缺人才全链条引进培养力度，精准契合重点产业发展需求开发技能人才，构建产教训融合、政企社协同、育选用贯通的高技能人才培育体系。在各项人才评选活动中，提高重点产业高层次人才入选比例。</w:t>
      </w:r>
      <w:r>
        <w:rPr>
          <w:rFonts w:hint="eastAsia" w:ascii="仿宋_GB2312" w:hAnsi="仿宋_GB2312" w:eastAsia="仿宋_GB2312" w:cs="仿宋_GB2312"/>
          <w:color w:val="auto"/>
          <w:szCs w:val="32"/>
          <w:highlight w:val="none"/>
        </w:rPr>
        <w:t>针对重点产业领域，有计划地开展产业人才培育试点示范，发挥高层次产业人才的引领作用，提升技术研究型产业人才的支撑力量，发挥应用型产业人才的基础能力，以多层次产业人才队伍建设支撑推动重点产业领域的高质量发展。</w:t>
      </w:r>
    </w:p>
    <w:p>
      <w:pPr>
        <w:pStyle w:val="2"/>
        <w:jc w:val="center"/>
        <w:rPr>
          <w:rFonts w:hint="eastAsia"/>
        </w:rPr>
      </w:pPr>
      <w:r>
        <w:rPr>
          <w:rFonts w:hint="eastAsia" w:ascii="方正小标宋_GBK" w:hAnsi="方正小标宋_GBK" w:eastAsia="方正小标宋_GBK" w:cs="方正小标宋_GBK"/>
          <w:kern w:val="2"/>
          <w:sz w:val="28"/>
          <w:szCs w:val="28"/>
          <w:vertAlign w:val="baseline"/>
          <w:lang w:val="en-US" w:eastAsia="zh-CN" w:bidi="zh-CN"/>
        </w:rPr>
        <w:t>专栏4  产业人才队伍建设重点任务</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6" w:hRule="atLeast"/>
          <w:jc w:val="center"/>
        </w:trPr>
        <w:tc>
          <w:tcPr>
            <w:tcW w:w="7982" w:type="dxa"/>
            <w:vAlign w:val="top"/>
          </w:tcPr>
          <w:p>
            <w:pPr>
              <w:pStyle w:val="26"/>
              <w:keepNext w:val="0"/>
              <w:keepLines w:val="0"/>
              <w:pageBreakBefore w:val="0"/>
              <w:widowControl w:val="0"/>
              <w:kinsoku/>
              <w:wordWrap/>
              <w:overflowPunct/>
              <w:topLinePunct w:val="0"/>
              <w:autoSpaceDE/>
              <w:autoSpaceDN w:val="0"/>
              <w:bidi w:val="0"/>
              <w:adjustRightInd/>
              <w:snapToGrid/>
              <w:spacing w:line="520" w:lineRule="exact"/>
              <w:ind w:firstLine="560" w:firstLineChars="200"/>
              <w:jc w:val="left"/>
              <w:textAlignment w:val="auto"/>
              <w:rPr>
                <w:rFonts w:hint="default"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高层次顶尖产业人才：围绕煤化工、新能源、新材料等领域产值超千亿产业集群建设目标，在制度创新和环境营造方面加大举措，引进培育一批高层次顶尖产业人才。</w:t>
            </w:r>
          </w:p>
          <w:p>
            <w:pPr>
              <w:pStyle w:val="26"/>
              <w:keepNext w:val="0"/>
              <w:keepLines w:val="0"/>
              <w:pageBreakBefore w:val="0"/>
              <w:widowControl w:val="0"/>
              <w:kinsoku/>
              <w:wordWrap/>
              <w:overflowPunct/>
              <w:topLinePunct w:val="0"/>
              <w:autoSpaceDE/>
              <w:autoSpaceDN w:val="0"/>
              <w:bidi w:val="0"/>
              <w:adjustRightInd/>
              <w:snapToGrid/>
              <w:spacing w:line="520" w:lineRule="exact"/>
              <w:ind w:firstLine="560" w:firstLineChars="200"/>
              <w:jc w:val="left"/>
              <w:textAlignment w:val="auto"/>
              <w:rPr>
                <w:rFonts w:hint="default"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技术研发型产业人才：聚焦产业人才梯队中层力量建设，加大重点领域紧缺人才、战略性新兴产业技术研发型产业人才的培养机制改革和模式创新。依据产业链的精细化分工，提升人才的专业素养和实际能力。</w:t>
            </w:r>
          </w:p>
          <w:p>
            <w:pPr>
              <w:pStyle w:val="26"/>
              <w:keepNext w:val="0"/>
              <w:keepLines w:val="0"/>
              <w:pageBreakBefore w:val="0"/>
              <w:widowControl w:val="0"/>
              <w:kinsoku/>
              <w:wordWrap/>
              <w:overflowPunct/>
              <w:topLinePunct w:val="0"/>
              <w:autoSpaceDE/>
              <w:autoSpaceDN w:val="0"/>
              <w:bidi w:val="0"/>
              <w:adjustRightInd/>
              <w:snapToGrid/>
              <w:spacing w:line="520" w:lineRule="exact"/>
              <w:ind w:firstLine="560" w:firstLineChars="200"/>
              <w:jc w:val="left"/>
              <w:textAlignment w:val="auto"/>
              <w:rPr>
                <w:rFonts w:hint="default"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应用型产业人才：对标先进地区，发挥企业在人才培养中的主体作用，紧密结合教育与培训。鼓励多元化人才培养制度，鼓励创新，建立长期稳定的劳动关系，为企业生产提供人才基础。</w:t>
            </w:r>
          </w:p>
        </w:tc>
      </w:tr>
    </w:tbl>
    <w:p>
      <w:pPr>
        <w:pStyle w:val="26"/>
        <w:pageBreakBefore w:val="0"/>
        <w:widowControl w:val="0"/>
        <w:kinsoku/>
        <w:wordWrap/>
        <w:overflowPunct/>
        <w:topLinePunct w:val="0"/>
        <w:autoSpaceDE/>
        <w:autoSpaceDN w:val="0"/>
        <w:bidi w:val="0"/>
        <w:adjustRightInd/>
        <w:spacing w:line="575" w:lineRule="exact"/>
        <w:jc w:val="left"/>
        <w:textAlignment w:val="auto"/>
        <w:rPr>
          <w:rFonts w:hint="eastAsia" w:ascii="仿宋_GB2312" w:hAnsi="仿宋_GB2312" w:eastAsia="仿宋_GB2312" w:cs="仿宋_GB2312"/>
          <w:b w:val="0"/>
          <w:bCs w:val="0"/>
          <w:szCs w:val="32"/>
          <w:highlight w:val="none"/>
          <w:lang w:val="en-US" w:eastAsia="zh-CN"/>
        </w:rPr>
      </w:pPr>
    </w:p>
    <w:p>
      <w:pPr>
        <w:pStyle w:val="26"/>
        <w:pageBreakBefore w:val="0"/>
        <w:widowControl w:val="0"/>
        <w:kinsoku/>
        <w:wordWrap/>
        <w:overflowPunct/>
        <w:topLinePunct w:val="0"/>
        <w:autoSpaceDE/>
        <w:autoSpaceDN w:val="0"/>
        <w:bidi w:val="0"/>
        <w:adjustRightInd/>
        <w:spacing w:line="575" w:lineRule="exact"/>
        <w:ind w:firstLine="640" w:firstLineChars="200"/>
        <w:jc w:val="left"/>
        <w:textAlignment w:val="auto"/>
        <w:rPr>
          <w:rFonts w:ascii="仿宋_GB2312" w:hAnsi="仿宋_GB2312" w:eastAsia="仿宋_GB2312" w:cs="仿宋_GB2312"/>
          <w:kern w:val="0"/>
          <w:szCs w:val="32"/>
          <w:highlight w:val="none"/>
        </w:rPr>
      </w:pPr>
      <w:r>
        <w:rPr>
          <w:rFonts w:hint="eastAsia" w:ascii="仿宋_GB2312" w:hAnsi="仿宋_GB2312" w:eastAsia="仿宋_GB2312" w:cs="仿宋_GB2312"/>
          <w:b w:val="0"/>
          <w:bCs w:val="0"/>
          <w:szCs w:val="32"/>
          <w:highlight w:val="none"/>
          <w:lang w:val="en-US" w:eastAsia="zh-CN"/>
        </w:rPr>
        <w:t>教育教学人才队伍建设计划。</w:t>
      </w:r>
      <w:r>
        <w:rPr>
          <w:rFonts w:hint="eastAsia" w:ascii="仿宋_GB2312" w:hAnsi="仿宋_GB2312" w:eastAsia="仿宋_GB2312" w:cs="仿宋_GB2312"/>
          <w:szCs w:val="32"/>
          <w:highlight w:val="none"/>
        </w:rPr>
        <w:t>深入推进“三区人才计划”“西部之光”等重大人才项目，集中培养一批学术技术骨干和实用人才，加强本土骨干专业技术人员培养。</w:t>
      </w:r>
      <w:r>
        <w:rPr>
          <w:rFonts w:hint="eastAsia" w:ascii="仿宋_GB2312" w:hAnsi="仿宋_GB2312" w:eastAsia="仿宋_GB2312" w:cs="仿宋_GB2312"/>
          <w:kern w:val="0"/>
          <w:szCs w:val="32"/>
          <w:highlight w:val="none"/>
        </w:rPr>
        <w:t>加强师德师风建设，开展教学（教育）能手、学科带头人、教学名师评选，加大“一项目五段式”的培训力度，推进骨干教师实训和研修基地建设，加大紧缺学科人才培养，加快推进学前教育、义务教育阶段师资结构均衡发展，实施乡村教师培养，加大对</w:t>
      </w:r>
      <w:r>
        <w:rPr>
          <w:rFonts w:hint="eastAsia" w:ascii="仿宋_GB2312" w:hAnsi="仿宋_GB2312" w:eastAsia="仿宋_GB2312" w:cs="仿宋_GB2312"/>
          <w:kern w:val="0"/>
          <w:szCs w:val="32"/>
          <w:highlight w:val="none"/>
          <w:lang w:val="en-US" w:eastAsia="zh-CN"/>
        </w:rPr>
        <w:t>边远</w:t>
      </w:r>
      <w:r>
        <w:rPr>
          <w:rFonts w:hint="eastAsia" w:ascii="仿宋_GB2312" w:hAnsi="仿宋_GB2312" w:eastAsia="仿宋_GB2312" w:cs="仿宋_GB2312"/>
          <w:kern w:val="0"/>
          <w:szCs w:val="32"/>
          <w:highlight w:val="none"/>
        </w:rPr>
        <w:t>薄弱乡村学校师资分配名额倾斜。</w:t>
      </w:r>
    </w:p>
    <w:p>
      <w:pPr>
        <w:pStyle w:val="26"/>
        <w:pageBreakBefore w:val="0"/>
        <w:widowControl w:val="0"/>
        <w:kinsoku/>
        <w:wordWrap/>
        <w:overflowPunct/>
        <w:topLinePunct w:val="0"/>
        <w:autoSpaceDE/>
        <w:autoSpaceDN w:val="0"/>
        <w:bidi w:val="0"/>
        <w:adjustRightInd/>
        <w:spacing w:line="575" w:lineRule="exact"/>
        <w:ind w:firstLine="640" w:firstLineChars="200"/>
        <w:jc w:val="left"/>
        <w:textAlignment w:val="auto"/>
        <w:rPr>
          <w:rFonts w:hint="eastAsia" w:ascii="仿宋_GB2312" w:hAnsi="仿宋_GB2312" w:eastAsia="仿宋_GB2312" w:cs="仿宋_GB2312"/>
          <w:szCs w:val="32"/>
          <w:highlight w:val="none"/>
          <w:lang w:eastAsia="zh-CN"/>
        </w:rPr>
      </w:pPr>
      <w:r>
        <w:rPr>
          <w:rFonts w:hint="eastAsia" w:ascii="仿宋_GB2312" w:hAnsi="仿宋_GB2312" w:eastAsia="仿宋_GB2312" w:cs="仿宋_GB2312"/>
          <w:b w:val="0"/>
          <w:bCs w:val="0"/>
          <w:szCs w:val="32"/>
          <w:highlight w:val="none"/>
          <w:lang w:val="en-US" w:eastAsia="zh-CN"/>
        </w:rPr>
        <w:t>医疗卫生人才队伍建设计划。</w:t>
      </w:r>
      <w:r>
        <w:rPr>
          <w:rFonts w:hint="eastAsia" w:ascii="仿宋_GB2312" w:hAnsi="仿宋_GB2312" w:eastAsia="仿宋_GB2312" w:cs="仿宋_GB2312"/>
          <w:szCs w:val="32"/>
          <w:highlight w:val="none"/>
        </w:rPr>
        <w:t>加大全科、儿科、精神科等医疗卫生急需紧缺专业人才引进和培养，强化住院医师、全科医师规范化培训。依托国家、自治区、市重大合作项目，结合鄂尔多斯</w:t>
      </w:r>
      <w:r>
        <w:rPr>
          <w:rFonts w:hint="eastAsia" w:ascii="仿宋_GB2312" w:hAnsi="仿宋_GB2312" w:eastAsia="仿宋_GB2312" w:cs="仿宋_GB2312"/>
          <w:color w:val="000000" w:themeColor="text1"/>
          <w:szCs w:val="32"/>
          <w:highlight w:val="none"/>
          <w14:textFill>
            <w14:solidFill>
              <w14:schemeClr w14:val="tx1"/>
            </w14:solidFill>
          </w14:textFill>
        </w:rPr>
        <w:t>医学、特色医学</w:t>
      </w:r>
      <w:r>
        <w:rPr>
          <w:rFonts w:hint="eastAsia" w:ascii="仿宋_GB2312" w:hAnsi="仿宋_GB2312" w:eastAsia="仿宋_GB2312" w:cs="仿宋_GB2312"/>
          <w:szCs w:val="32"/>
          <w:highlight w:val="none"/>
        </w:rPr>
        <w:t>优势，共同开展特色临床研究，培育一批优秀医疗卫生人才和创新团队。加大政策支持力度，加强公共卫生和蒙医蒙药人才队伍建设，建立本土医疗卫生人才赴上级医院梯度培训制度，健全定期选拔优秀人才跟岗培训机制。</w:t>
      </w:r>
      <w:r>
        <w:rPr>
          <w:rFonts w:hint="eastAsia" w:ascii="仿宋_GB2312" w:eastAsia="仿宋_GB2312"/>
          <w:szCs w:val="32"/>
          <w:highlight w:val="none"/>
        </w:rPr>
        <w:t>加强卫生健康人才队伍培育，继续实施高端卫生健康人才培养提升工程</w:t>
      </w:r>
      <w:r>
        <w:rPr>
          <w:rFonts w:hint="eastAsia" w:ascii="仿宋_GB2312" w:eastAsia="仿宋_GB2312"/>
          <w:szCs w:val="32"/>
          <w:highlight w:val="none"/>
          <w:lang w:eastAsia="zh-CN"/>
        </w:rPr>
        <w:t>。</w:t>
      </w:r>
      <w:r>
        <w:rPr>
          <w:rFonts w:hint="eastAsia" w:ascii="仿宋_GB2312" w:eastAsia="仿宋_GB2312"/>
          <w:szCs w:val="32"/>
          <w:highlight w:val="none"/>
        </w:rPr>
        <w:t>到2025年，计划培养高端卫生健康人才75人，高端卫生健康后备人才250人，完成各类科研项目50个，培养相关紧缺专业中级专业技术资格人才400余人。</w:t>
      </w:r>
    </w:p>
    <w:p>
      <w:pPr>
        <w:pStyle w:val="26"/>
        <w:pageBreakBefore w:val="0"/>
        <w:widowControl w:val="0"/>
        <w:kinsoku/>
        <w:wordWrap/>
        <w:overflowPunct/>
        <w:topLinePunct w:val="0"/>
        <w:autoSpaceDE/>
        <w:autoSpaceDN w:val="0"/>
        <w:bidi w:val="0"/>
        <w:adjustRightInd/>
        <w:spacing w:line="575" w:lineRule="exact"/>
        <w:ind w:firstLine="640" w:firstLineChars="200"/>
        <w:jc w:val="left"/>
        <w:textAlignment w:val="auto"/>
        <w:rPr>
          <w:rFonts w:hint="eastAsia" w:ascii="仿宋_GB2312" w:hAnsi="仿宋_GB2312" w:eastAsia="仿宋_GB2312" w:cs="仿宋_GB2312"/>
          <w:b/>
          <w:color w:val="auto"/>
          <w:highlight w:val="none"/>
          <w:lang w:val="en-US" w:eastAsia="zh-CN" w:bidi="ar-SA"/>
        </w:rPr>
      </w:pPr>
      <w:r>
        <w:rPr>
          <w:rFonts w:hint="eastAsia" w:ascii="仿宋_GB2312" w:hAnsi="仿宋_GB2312" w:eastAsia="仿宋_GB2312" w:cs="仿宋_GB2312"/>
          <w:b w:val="0"/>
          <w:bCs w:val="0"/>
          <w:szCs w:val="32"/>
          <w:highlight w:val="none"/>
          <w:lang w:val="en-US" w:eastAsia="zh-CN"/>
        </w:rPr>
        <w:t>文化人才队伍建设计划。</w:t>
      </w:r>
      <w:r>
        <w:rPr>
          <w:rFonts w:hint="eastAsia" w:ascii="仿宋_GB2312" w:hAnsi="仿宋_GB2312" w:eastAsia="仿宋_GB2312" w:cs="仿宋_GB2312"/>
          <w:szCs w:val="32"/>
          <w:highlight w:val="none"/>
        </w:rPr>
        <w:t>优化文化人才结构，加强市文化馆、图书馆、博物馆、广播电视台等公共文化服务人才引进和培养工作。完善乡镇文化站、基层业余文艺团队建设，提高基本公共文化服务能力、文化设施运行本领、文化服务数字化水平。建立“民间文化传承工作室”，重点加强对基层大众文化团队、文化领域中“两新”组织带头人、非物质文化遗产传承人和民间文化能人的培育和扶持力度，对草根基层文化团体和文化项目提供经费和活动场所支持。</w:t>
      </w:r>
    </w:p>
    <w:p>
      <w:pPr>
        <w:pStyle w:val="26"/>
        <w:pageBreakBefore w:val="0"/>
        <w:widowControl w:val="0"/>
        <w:kinsoku/>
        <w:wordWrap/>
        <w:overflowPunct/>
        <w:topLinePunct w:val="0"/>
        <w:autoSpaceDE/>
        <w:autoSpaceDN w:val="0"/>
        <w:bidi w:val="0"/>
        <w:adjustRightInd/>
        <w:spacing w:line="575" w:lineRule="exact"/>
        <w:ind w:firstLine="640" w:firstLineChars="200"/>
        <w:jc w:val="left"/>
        <w:textAlignment w:val="auto"/>
        <w:rPr>
          <w:rFonts w:hint="eastAsia" w:ascii="仿宋_GB2312" w:hAnsi="仿宋_GB2312" w:eastAsia="仿宋_GB2312" w:cs="仿宋_GB2312"/>
          <w:szCs w:val="32"/>
          <w:highlight w:val="none"/>
          <w:lang w:val="en-US" w:eastAsia="zh-CN"/>
        </w:rPr>
      </w:pPr>
      <w:r>
        <w:rPr>
          <w:rFonts w:hint="eastAsia" w:ascii="仿宋_GB2312" w:hAnsi="仿宋_GB2312" w:eastAsia="仿宋_GB2312" w:cs="仿宋_GB2312"/>
          <w:b w:val="0"/>
          <w:bCs w:val="0"/>
          <w:szCs w:val="32"/>
          <w:highlight w:val="none"/>
          <w:lang w:val="en-US" w:eastAsia="zh-CN"/>
        </w:rPr>
        <w:t>法治人才队伍建设计划。</w:t>
      </w:r>
      <w:r>
        <w:rPr>
          <w:rFonts w:hint="eastAsia" w:ascii="仿宋_GB2312" w:hAnsi="仿宋_GB2312" w:eastAsia="仿宋_GB2312" w:cs="仿宋_GB2312"/>
          <w:szCs w:val="32"/>
          <w:highlight w:val="none"/>
          <w:lang w:val="en-US" w:eastAsia="zh-CN"/>
        </w:rPr>
        <w:t>建设革命化、正规化、专业化、职业化的法治专门队伍。大力提高法治工作队伍思想政治素质、业务工作能力、职业道德水准，努力建设一支德才兼备的高素质法治工作队伍。加强立法队伍、行政执法队伍、司法队伍等三支法治专门队伍的人才选拔和培养工作，提高职业素养和专业水平。建立健全立法、执法、司法部门干部和人才常态化交流机制，加大法治专门队伍与其它部门具备条件的干部和人才交流力度。</w:t>
      </w:r>
    </w:p>
    <w:p>
      <w:pPr>
        <w:pStyle w:val="26"/>
        <w:pageBreakBefore w:val="0"/>
        <w:widowControl w:val="0"/>
        <w:kinsoku/>
        <w:wordWrap/>
        <w:overflowPunct/>
        <w:topLinePunct w:val="0"/>
        <w:autoSpaceDE/>
        <w:autoSpaceDN w:val="0"/>
        <w:bidi w:val="0"/>
        <w:adjustRightInd/>
        <w:spacing w:line="575" w:lineRule="exact"/>
        <w:ind w:firstLine="640" w:firstLineChars="200"/>
        <w:jc w:val="left"/>
        <w:textAlignment w:val="auto"/>
        <w:rPr>
          <w:rFonts w:hint="eastAsia" w:ascii="仿宋_GB2312" w:hAnsi="仿宋_GB2312" w:eastAsia="仿宋_GB2312" w:cs="仿宋_GB2312"/>
          <w:szCs w:val="32"/>
          <w:highlight w:val="none"/>
          <w:lang w:val="en-US" w:eastAsia="zh-CN"/>
        </w:rPr>
      </w:pPr>
      <w:r>
        <w:rPr>
          <w:rFonts w:hint="eastAsia" w:ascii="仿宋_GB2312" w:hAnsi="仿宋_GB2312" w:eastAsia="仿宋_GB2312" w:cs="仿宋_GB2312"/>
          <w:b w:val="0"/>
          <w:bCs w:val="0"/>
          <w:szCs w:val="32"/>
          <w:highlight w:val="none"/>
          <w:lang w:val="en-US" w:eastAsia="zh-CN"/>
        </w:rPr>
        <w:t>金融人才队伍建设计划。</w:t>
      </w:r>
      <w:r>
        <w:rPr>
          <w:rFonts w:hint="eastAsia" w:ascii="仿宋_GB2312" w:hAnsi="仿宋_GB2312" w:eastAsia="仿宋_GB2312" w:cs="仿宋_GB2312"/>
          <w:szCs w:val="32"/>
          <w:highlight w:val="none"/>
          <w:lang w:val="en-US" w:eastAsia="zh-CN"/>
        </w:rPr>
        <w:t>根据我市实际需求，瞄准知名金融机构、金融组织、国内外一流大学和研究机构，努力引进一批掌握金融产品开发、定价、风险管理等金融核心技术，具备会计、法律、投资和信息技术等知识的复合型、专家型金融人才。完善市场化引才聚才机制，综合运用多种方式，开辟常态化的海内外金融人才引进渠道。通过政策叠加、服务叠加、资源叠加等方式，加大战略与市场研究、科技金融、固定收益、外汇大宗商品投资、保险精算、离岸金融、绿色金融、文化金融、财富管理、金融数据分析、风险控制等紧缺急需金融人才开发力度。畅通政府金融部门与金融行业管理部门、政府部门与金融机构、金融机构之间的人员交流渠道，开展以挂职锻炼、短期工作为主要方式的人才交流活动。</w:t>
      </w:r>
    </w:p>
    <w:p>
      <w:pPr>
        <w:pStyle w:val="26"/>
        <w:pageBreakBefore w:val="0"/>
        <w:widowControl w:val="0"/>
        <w:kinsoku/>
        <w:wordWrap/>
        <w:overflowPunct/>
        <w:topLinePunct w:val="0"/>
        <w:autoSpaceDE/>
        <w:autoSpaceDN w:val="0"/>
        <w:bidi w:val="0"/>
        <w:adjustRightInd/>
        <w:spacing w:line="575" w:lineRule="exact"/>
        <w:ind w:firstLine="640" w:firstLineChars="200"/>
        <w:jc w:val="left"/>
        <w:textAlignment w:val="auto"/>
        <w:rPr>
          <w:rFonts w:hint="eastAsia" w:ascii="仿宋_GB2312" w:hAnsi="仿宋_GB2312" w:eastAsia="仿宋_GB2312" w:cs="仿宋_GB2312"/>
          <w:szCs w:val="32"/>
          <w:highlight w:val="none"/>
        </w:rPr>
      </w:pPr>
      <w:r>
        <w:rPr>
          <w:rFonts w:hint="eastAsia" w:ascii="仿宋_GB2312" w:hAnsi="仿宋_GB2312" w:eastAsia="仿宋_GB2312" w:cs="仿宋_GB2312"/>
          <w:szCs w:val="32"/>
          <w:highlight w:val="none"/>
        </w:rPr>
        <w:t>到2025年末，全市专业技术人才总量达到20.8万人。</w:t>
      </w:r>
    </w:p>
    <w:p>
      <w:pPr>
        <w:pStyle w:val="6"/>
        <w:pageBreakBefore w:val="0"/>
        <w:kinsoku/>
        <w:wordWrap/>
        <w:overflowPunct/>
        <w:topLinePunct w:val="0"/>
        <w:autoSpaceDE/>
        <w:bidi w:val="0"/>
        <w:adjustRightInd/>
        <w:snapToGrid w:val="0"/>
        <w:spacing w:before="0" w:after="0" w:line="575" w:lineRule="exact"/>
        <w:ind w:firstLine="643" w:firstLineChars="200"/>
        <w:textAlignment w:val="auto"/>
        <w:rPr>
          <w:rFonts w:hint="eastAsia" w:ascii="仿宋_GB2312" w:hAnsi="仿宋_GB2312" w:eastAsia="仿宋_GB2312" w:cs="仿宋_GB2312"/>
          <w:szCs w:val="32"/>
          <w:highlight w:val="none"/>
          <w:lang w:val="en-US" w:eastAsia="zh-CN"/>
        </w:rPr>
      </w:pPr>
      <w:bookmarkStart w:id="27" w:name="_Toc91188881"/>
      <w:bookmarkStart w:id="28" w:name="_Toc88490275"/>
      <w:bookmarkStart w:id="29" w:name="_Toc17777"/>
      <w:r>
        <w:rPr>
          <w:rFonts w:hint="eastAsia" w:ascii="仿宋_GB2312" w:hAnsi="仿宋_GB2312" w:eastAsia="仿宋_GB2312" w:cs="仿宋_GB2312"/>
          <w:szCs w:val="32"/>
          <w:highlight w:val="none"/>
        </w:rPr>
        <w:t>4.高技能人才</w:t>
      </w:r>
      <w:bookmarkEnd w:id="27"/>
      <w:bookmarkEnd w:id="28"/>
      <w:r>
        <w:rPr>
          <w:rFonts w:hint="eastAsia" w:ascii="仿宋_GB2312" w:hAnsi="仿宋_GB2312" w:eastAsia="仿宋_GB2312" w:cs="仿宋_GB2312"/>
          <w:szCs w:val="32"/>
          <w:highlight w:val="none"/>
          <w:lang w:val="en-US" w:eastAsia="zh-CN"/>
        </w:rPr>
        <w:t>队伍</w:t>
      </w:r>
      <w:bookmarkEnd w:id="29"/>
    </w:p>
    <w:p>
      <w:pPr>
        <w:pageBreakBefore w:val="0"/>
        <w:kinsoku/>
        <w:wordWrap/>
        <w:overflowPunct/>
        <w:topLinePunct w:val="0"/>
        <w:autoSpaceDE/>
        <w:bidi w:val="0"/>
        <w:adjustRightInd/>
        <w:spacing w:line="575" w:lineRule="exact"/>
        <w:ind w:firstLine="640" w:firstLineChars="200"/>
        <w:textAlignment w:val="auto"/>
        <w:rPr>
          <w:rFonts w:hint="eastAsia" w:ascii="仿宋_GB2312" w:hAnsi="仿宋_GB2312" w:eastAsia="仿宋_GB2312" w:cs="仿宋_GB2312"/>
          <w:szCs w:val="32"/>
          <w:highlight w:val="none"/>
        </w:rPr>
      </w:pPr>
      <w:r>
        <w:rPr>
          <w:rFonts w:hint="eastAsia" w:ascii="仿宋_GB2312" w:hAnsi="仿宋_GB2312" w:eastAsia="仿宋_GB2312" w:cs="仿宋_GB2312"/>
          <w:szCs w:val="32"/>
          <w:highlight w:val="none"/>
        </w:rPr>
        <w:t>弘扬劳模精神、劳动精神和工匠精神，</w:t>
      </w:r>
      <w:r>
        <w:rPr>
          <w:rFonts w:hint="eastAsia" w:ascii="仿宋_GB2312" w:hAnsi="仿宋_GB2312" w:eastAsia="仿宋_GB2312" w:cs="仿宋_GB2312"/>
          <w:szCs w:val="32"/>
          <w:highlight w:val="none"/>
          <w:lang w:val="en-US" w:eastAsia="zh-CN"/>
        </w:rPr>
        <w:t>实施高技能人才振兴计划，</w:t>
      </w:r>
      <w:r>
        <w:rPr>
          <w:rFonts w:hint="eastAsia" w:ascii="仿宋_GB2312" w:hAnsi="仿宋_GB2312" w:eastAsia="仿宋_GB2312" w:cs="仿宋_GB2312"/>
          <w:szCs w:val="32"/>
          <w:highlight w:val="none"/>
        </w:rPr>
        <w:t>努力建设一支与鄂尔多斯产业体系相匹配的知识型、技能型、创新型高技能人才队伍。推动具备条件的行业企业建立首席技师制度，加大技能大师工作室、劳模和职工创新工作室、青创先锋工作室等建设力度，资助和奖励优秀技师获取专利授权、推动成果转移转化。建立职业技能竞赛体系，举办职业技能邀请赛，选送优秀技能人才参加世界技能大赛，对获奖参赛选手及其专家指导组给予奖励。加快构建现代职业教育体系，深化技术技能人才培养改革，建立产教训融合、政企社协同、育选用贯通的高技能人才培育体系。强化劳动密集型产业工人基础技能培训，推动企业职工培训、技能等级认定、新技能培训评价</w:t>
      </w:r>
      <w:r>
        <w:rPr>
          <w:rFonts w:hint="eastAsia" w:ascii="仿宋_GB2312" w:hAnsi="仿宋_GB2312" w:eastAsia="仿宋_GB2312" w:cs="仿宋_GB2312"/>
          <w:szCs w:val="32"/>
          <w:highlight w:val="none"/>
          <w:lang w:val="en-US" w:eastAsia="zh-CN"/>
        </w:rPr>
        <w:t>体系建设</w:t>
      </w:r>
      <w:r>
        <w:rPr>
          <w:rFonts w:hint="eastAsia" w:ascii="仿宋_GB2312" w:hAnsi="仿宋_GB2312" w:eastAsia="仿宋_GB2312" w:cs="仿宋_GB2312"/>
          <w:szCs w:val="32"/>
          <w:highlight w:val="none"/>
        </w:rPr>
        <w:t>，促进劳动者素质的提升与制造技术、生产工艺和流程的现代化保持同步。强化产业工人权益维护和保障，落实企业职业教育经费比例，建立健全劳动关系调解处理机制。继续做好享受国务院特殊津贴的高技能人才、中华技能大奖、全国技术能手评选的推荐和宣传活动，营造劳动光荣、技能宝贵、创造伟大的社会氛围。</w:t>
      </w:r>
    </w:p>
    <w:p>
      <w:pPr>
        <w:pageBreakBefore w:val="0"/>
        <w:kinsoku/>
        <w:wordWrap/>
        <w:overflowPunct/>
        <w:topLinePunct w:val="0"/>
        <w:autoSpaceDE/>
        <w:bidi w:val="0"/>
        <w:adjustRightInd/>
        <w:spacing w:line="575" w:lineRule="exact"/>
        <w:ind w:firstLine="640" w:firstLineChars="200"/>
        <w:textAlignment w:val="auto"/>
        <w:rPr>
          <w:rFonts w:ascii="仿宋_GB2312" w:hAnsi="仿宋_GB2312" w:eastAsia="仿宋_GB2312" w:cs="仿宋_GB2312"/>
          <w:szCs w:val="32"/>
          <w:highlight w:val="none"/>
        </w:rPr>
      </w:pPr>
      <w:r>
        <w:rPr>
          <w:rFonts w:hint="eastAsia" w:ascii="仿宋_GB2312" w:hAnsi="仿宋_GB2312" w:eastAsia="仿宋_GB2312" w:cs="仿宋_GB2312"/>
          <w:szCs w:val="32"/>
          <w:highlight w:val="none"/>
        </w:rPr>
        <w:t>到2025年末，全市高技能人才总量达到</w:t>
      </w:r>
      <w:r>
        <w:rPr>
          <w:rFonts w:hint="eastAsia" w:ascii="仿宋_GB2312" w:hAnsi="仿宋_GB2312" w:eastAsia="仿宋_GB2312" w:cs="仿宋_GB2312"/>
          <w:szCs w:val="32"/>
          <w:highlight w:val="none"/>
          <w:lang w:val="en-US" w:eastAsia="zh-CN"/>
        </w:rPr>
        <w:t>6.95</w:t>
      </w:r>
      <w:r>
        <w:rPr>
          <w:rFonts w:hint="eastAsia" w:ascii="仿宋_GB2312" w:hAnsi="仿宋_GB2312" w:eastAsia="仿宋_GB2312" w:cs="仿宋_GB2312"/>
          <w:szCs w:val="32"/>
          <w:highlight w:val="none"/>
        </w:rPr>
        <w:t>万人。</w:t>
      </w:r>
    </w:p>
    <w:p>
      <w:pPr>
        <w:pStyle w:val="6"/>
        <w:pageBreakBefore w:val="0"/>
        <w:kinsoku/>
        <w:wordWrap/>
        <w:overflowPunct/>
        <w:topLinePunct w:val="0"/>
        <w:autoSpaceDE/>
        <w:bidi w:val="0"/>
        <w:adjustRightInd/>
        <w:snapToGrid w:val="0"/>
        <w:spacing w:before="0" w:after="0" w:line="575" w:lineRule="exact"/>
        <w:ind w:firstLine="643" w:firstLineChars="200"/>
        <w:textAlignment w:val="auto"/>
        <w:rPr>
          <w:rFonts w:hint="eastAsia" w:ascii="仿宋_GB2312" w:hAnsi="仿宋_GB2312" w:eastAsia="仿宋_GB2312" w:cs="仿宋_GB2312"/>
          <w:szCs w:val="32"/>
          <w:highlight w:val="none"/>
          <w:lang w:val="en-US" w:eastAsia="zh-CN"/>
        </w:rPr>
      </w:pPr>
      <w:bookmarkStart w:id="30" w:name="_Toc91188882"/>
      <w:bookmarkStart w:id="31" w:name="_Toc88490276"/>
      <w:bookmarkStart w:id="32" w:name="_Toc26014"/>
      <w:bookmarkStart w:id="33" w:name="_Toc88490277"/>
      <w:bookmarkStart w:id="34" w:name="_Toc91188883"/>
      <w:r>
        <w:rPr>
          <w:rFonts w:hint="eastAsia" w:ascii="仿宋_GB2312" w:hAnsi="仿宋_GB2312" w:eastAsia="仿宋_GB2312" w:cs="仿宋_GB2312"/>
          <w:szCs w:val="32"/>
          <w:highlight w:val="none"/>
        </w:rPr>
        <w:t>5.</w:t>
      </w:r>
      <w:bookmarkEnd w:id="30"/>
      <w:bookmarkEnd w:id="31"/>
      <w:r>
        <w:rPr>
          <w:rFonts w:hint="eastAsia" w:ascii="仿宋_GB2312" w:hAnsi="仿宋_GB2312" w:eastAsia="仿宋_GB2312" w:cs="仿宋_GB2312"/>
          <w:szCs w:val="32"/>
          <w:highlight w:val="none"/>
          <w:lang w:val="en-US" w:eastAsia="zh-CN"/>
        </w:rPr>
        <w:t>乡村振兴人才队伍</w:t>
      </w:r>
      <w:bookmarkEnd w:id="32"/>
    </w:p>
    <w:p>
      <w:pPr>
        <w:pageBreakBefore w:val="0"/>
        <w:kinsoku/>
        <w:wordWrap/>
        <w:overflowPunct/>
        <w:topLinePunct w:val="0"/>
        <w:autoSpaceDE/>
        <w:bidi w:val="0"/>
        <w:adjustRightInd/>
        <w:spacing w:line="575" w:lineRule="exact"/>
        <w:ind w:firstLine="640" w:firstLineChars="200"/>
        <w:textAlignment w:val="auto"/>
        <w:rPr>
          <w:rFonts w:ascii="仿宋_GB2312" w:hAnsi="仿宋_GB2312" w:eastAsia="仿宋_GB2312" w:cs="仿宋_GB2312"/>
          <w:szCs w:val="32"/>
          <w:highlight w:val="none"/>
        </w:rPr>
      </w:pPr>
      <w:r>
        <w:rPr>
          <w:rFonts w:hint="eastAsia" w:ascii="仿宋_GB2312" w:hAnsi="仿宋_GB2312" w:eastAsia="仿宋_GB2312" w:cs="仿宋_GB2312"/>
          <w:szCs w:val="32"/>
          <w:highlight w:val="none"/>
        </w:rPr>
        <w:t>按照乡村振兴要求，进一步充实、培育农牧专业人才，逐步构建科学高效、梯次合理的人才队伍。探索开展新型职业农牧民、乡贤培育工作，加快建立农牧业行政主管部门负责、各类市场主体多方参与、适度竞争的多元化培育机制</w:t>
      </w:r>
      <w:r>
        <w:rPr>
          <w:rFonts w:hint="eastAsia" w:ascii="仿宋_GB2312" w:hAnsi="仿宋_GB2312" w:eastAsia="仿宋_GB2312" w:cs="仿宋_GB2312"/>
          <w:szCs w:val="32"/>
          <w:highlight w:val="none"/>
          <w:lang w:val="en-US" w:eastAsia="zh-CN"/>
        </w:rPr>
        <w:t>，</w:t>
      </w:r>
      <w:r>
        <w:rPr>
          <w:rFonts w:hint="eastAsia" w:ascii="仿宋_GB2312" w:hAnsi="仿宋_GB2312" w:eastAsia="仿宋_GB2312" w:cs="仿宋_GB2312"/>
          <w:szCs w:val="32"/>
          <w:highlight w:val="none"/>
        </w:rPr>
        <w:t>造就一支综合素质高、生产经营能力强、主体作用发挥明显的乡村振兴人才队伍。</w:t>
      </w:r>
    </w:p>
    <w:p>
      <w:pPr>
        <w:pageBreakBefore w:val="0"/>
        <w:kinsoku/>
        <w:wordWrap/>
        <w:overflowPunct/>
        <w:topLinePunct w:val="0"/>
        <w:autoSpaceDE/>
        <w:bidi w:val="0"/>
        <w:adjustRightInd/>
        <w:spacing w:line="575" w:lineRule="exact"/>
        <w:ind w:firstLine="640" w:firstLineChars="200"/>
        <w:textAlignment w:val="auto"/>
        <w:rPr>
          <w:rFonts w:hint="default" w:ascii="仿宋_GB2312" w:hAnsi="仿宋_GB2312" w:eastAsia="仿宋_GB2312" w:cs="仿宋_GB2312"/>
          <w:szCs w:val="32"/>
          <w:highlight w:val="none"/>
          <w:lang w:val="en-US" w:eastAsia="zh-CN"/>
        </w:rPr>
      </w:pPr>
      <w:r>
        <w:rPr>
          <w:rFonts w:hint="eastAsia" w:ascii="仿宋_GB2312" w:hAnsi="仿宋_GB2312" w:eastAsia="仿宋_GB2312" w:cs="仿宋_GB2312"/>
          <w:szCs w:val="32"/>
          <w:highlight w:val="none"/>
        </w:rPr>
        <w:t>建立</w:t>
      </w:r>
      <w:r>
        <w:rPr>
          <w:rFonts w:hint="eastAsia" w:ascii="仿宋_GB2312" w:hAnsi="仿宋_GB2312" w:eastAsia="仿宋_GB2312" w:cs="仿宋_GB2312"/>
          <w:szCs w:val="32"/>
          <w:highlight w:val="none"/>
          <w:lang w:val="en-US" w:eastAsia="zh-CN"/>
        </w:rPr>
        <w:t>农村</w:t>
      </w:r>
      <w:r>
        <w:rPr>
          <w:rFonts w:hint="eastAsia" w:ascii="仿宋_GB2312" w:hAnsi="仿宋_GB2312" w:eastAsia="仿宋_GB2312" w:cs="仿宋_GB2312"/>
          <w:szCs w:val="32"/>
          <w:highlight w:val="none"/>
        </w:rPr>
        <w:t>牧区乡村振兴人才信息管理系统，实施动态管理、开展经常性培训、提供生产经营服务、落实扶持政策。建立教育培训、规范管理、政策扶持“三位一体”和市、旗区、乡村“三级贯通”的新型职业农牧民培育体系，开展以新生代农牧民为培训重点的“春潮行动”</w:t>
      </w:r>
      <w:r>
        <w:rPr>
          <w:rFonts w:hint="eastAsia" w:ascii="仿宋_GB2312" w:hAnsi="仿宋_GB2312" w:eastAsia="仿宋_GB2312" w:cs="仿宋_GB2312"/>
          <w:szCs w:val="32"/>
          <w:highlight w:val="none"/>
          <w:lang w:eastAsia="zh-CN"/>
        </w:rPr>
        <w:t>，</w:t>
      </w:r>
      <w:r>
        <w:rPr>
          <w:rFonts w:hint="eastAsia" w:ascii="仿宋_GB2312" w:eastAsia="仿宋_GB2312"/>
          <w:sz w:val="32"/>
          <w:szCs w:val="32"/>
          <w:highlight w:val="none"/>
        </w:rPr>
        <w:t>实施“农村牧区实用人才培养工程”“高素质农牧民培育工程”“乡土人才培育计划”</w:t>
      </w:r>
      <w:r>
        <w:rPr>
          <w:rFonts w:hint="eastAsia" w:ascii="仿宋_GB2312" w:hAnsi="仿宋_GB2312" w:eastAsia="仿宋_GB2312" w:cs="仿宋_GB2312"/>
          <w:szCs w:val="32"/>
          <w:highlight w:val="none"/>
          <w:lang w:eastAsia="zh-CN"/>
        </w:rPr>
        <w:t>。</w:t>
      </w:r>
      <w:r>
        <w:rPr>
          <w:rFonts w:hint="eastAsia" w:ascii="仿宋_GB2312" w:hAnsi="仿宋_GB2312" w:eastAsia="仿宋_GB2312" w:cs="仿宋_GB2312"/>
          <w:szCs w:val="32"/>
          <w:highlight w:val="none"/>
        </w:rPr>
        <w:t>以农村牧区实用人才带头人、新型农牧业经营主体带头人和涉农涉牧企业技术骨干培训为重点，开展多层次、大规模的新型职业农牧民素质培训，围绕种植业、养殖业、畜牧业、病虫害防治、农畜产品加工等开展实用技术培训，针对乡村特色产业、乡村旅游、基层乌兰牧骑等展开特色培训，着力培育一支数量充足、热爱农牧业、懂技术、善经营的特色农牧业实用人才队伍。</w:t>
      </w:r>
      <w:r>
        <w:rPr>
          <w:rFonts w:hint="eastAsia" w:ascii="仿宋_GB2312" w:hAnsi="仿宋_GB2312" w:eastAsia="仿宋_GB2312" w:cs="仿宋_GB2312"/>
          <w:szCs w:val="32"/>
          <w:highlight w:val="none"/>
          <w:lang w:val="en-US" w:eastAsia="zh-CN"/>
        </w:rPr>
        <w:t>到2025年，全市农村牧区实用人才和高素质农牧民培训达6000人次。</w:t>
      </w:r>
    </w:p>
    <w:p>
      <w:pPr>
        <w:pageBreakBefore w:val="0"/>
        <w:kinsoku/>
        <w:wordWrap/>
        <w:overflowPunct/>
        <w:topLinePunct w:val="0"/>
        <w:autoSpaceDE/>
        <w:bidi w:val="0"/>
        <w:adjustRightInd/>
        <w:spacing w:line="575" w:lineRule="exact"/>
        <w:ind w:firstLine="640" w:firstLineChars="200"/>
        <w:textAlignment w:val="auto"/>
        <w:rPr>
          <w:rFonts w:hint="eastAsia" w:ascii="仿宋_GB2312" w:hAnsi="仿宋_GB2312" w:eastAsia="仿宋_GB2312" w:cs="仿宋_GB2312"/>
          <w:szCs w:val="32"/>
          <w:highlight w:val="none"/>
        </w:rPr>
      </w:pPr>
      <w:r>
        <w:rPr>
          <w:rFonts w:hint="eastAsia" w:ascii="仿宋_GB2312" w:hAnsi="仿宋_GB2312" w:eastAsia="仿宋_GB2312" w:cs="仿宋_GB2312"/>
          <w:szCs w:val="32"/>
          <w:highlight w:val="none"/>
        </w:rPr>
        <w:t>聚焦乡村产业发展、农牧民增收致富、乡村振兴示范嘎查村“五星特培”创建、农牧业先进技术研发推广、文化传承发展等领域，选拔培育一批贡献突出的乡村产业振兴“领头雁”、乡村振兴示范嘎查村“五星特培”创建带头人、乡村技术服务能手、乡村能工巧匠、乡村文化和旅游能人、优秀乡贤，涌现一批能够“领着农牧民干，带着农牧民富”的乡村振兴优秀人才。积极培育农村牧区青年创客、电商带头人、新型职业农牧民、高校毕业生、返乡创业能手等乡村双创型青年人才，发展一批能有效引领乡村产业振兴或推动乡村各项事业发展的优秀人才团队。</w:t>
      </w:r>
    </w:p>
    <w:p>
      <w:pPr>
        <w:pageBreakBefore w:val="0"/>
        <w:kinsoku/>
        <w:wordWrap/>
        <w:overflowPunct/>
        <w:topLinePunct w:val="0"/>
        <w:autoSpaceDE/>
        <w:bidi w:val="0"/>
        <w:adjustRightInd/>
        <w:spacing w:line="575" w:lineRule="exact"/>
        <w:ind w:firstLine="640" w:firstLineChars="200"/>
        <w:textAlignment w:val="auto"/>
        <w:rPr>
          <w:rFonts w:hint="eastAsia" w:ascii="仿宋_GB2312" w:hAnsi="仿宋_GB2312" w:eastAsia="仿宋_GB2312" w:cs="仿宋_GB2312"/>
          <w:szCs w:val="32"/>
          <w:highlight w:val="none"/>
        </w:rPr>
      </w:pPr>
      <w:r>
        <w:rPr>
          <w:rFonts w:hint="eastAsia" w:ascii="仿宋_GB2312" w:hAnsi="仿宋_GB2312" w:eastAsia="仿宋_GB2312" w:cs="仿宋_GB2312"/>
          <w:szCs w:val="32"/>
          <w:highlight w:val="none"/>
        </w:rPr>
        <w:t>注重农村牧区领域党的青年工作骨干培养，通过到期换届、届中调整等方式, 使每个嘎查村班子都有一名35周岁以下优秀青年大学生，实现乡村治理人才有效衔接。常态化开展</w:t>
      </w:r>
      <w:r>
        <w:rPr>
          <w:rFonts w:hint="eastAsia" w:ascii="仿宋_GB2312" w:hAnsi="仿宋_GB2312" w:eastAsia="仿宋_GB2312" w:cs="仿宋_GB2312"/>
          <w:szCs w:val="32"/>
          <w:highlight w:val="none"/>
          <w:lang w:eastAsia="zh-CN"/>
        </w:rPr>
        <w:t>鄂尔多斯籍</w:t>
      </w:r>
      <w:r>
        <w:rPr>
          <w:rFonts w:hint="eastAsia" w:ascii="仿宋_GB2312" w:hAnsi="仿宋_GB2312" w:eastAsia="仿宋_GB2312" w:cs="仿宋_GB2312"/>
          <w:szCs w:val="32"/>
          <w:highlight w:val="none"/>
        </w:rPr>
        <w:t>在校大学生兼职基层团组织副书记、工作助理活动，</w:t>
      </w:r>
      <w:r>
        <w:rPr>
          <w:rFonts w:hint="eastAsia" w:ascii="仿宋_GB2312" w:hAnsi="仿宋_GB2312" w:eastAsia="仿宋_GB2312" w:cs="仿宋_GB2312"/>
          <w:szCs w:val="32"/>
          <w:highlight w:val="none"/>
          <w:lang w:val="en-US" w:eastAsia="zh-CN"/>
        </w:rPr>
        <w:t>推动</w:t>
      </w:r>
      <w:r>
        <w:rPr>
          <w:rFonts w:hint="eastAsia" w:ascii="仿宋_GB2312" w:hAnsi="仿宋_GB2312" w:eastAsia="仿宋_GB2312" w:cs="仿宋_GB2312"/>
          <w:szCs w:val="32"/>
          <w:highlight w:val="none"/>
        </w:rPr>
        <w:t>优秀青年人才参与基层治理和发展。</w:t>
      </w:r>
    </w:p>
    <w:p>
      <w:pPr>
        <w:pageBreakBefore w:val="0"/>
        <w:widowControl w:val="0"/>
        <w:kinsoku/>
        <w:wordWrap/>
        <w:overflowPunct/>
        <w:topLinePunct w:val="0"/>
        <w:autoSpaceDE/>
        <w:autoSpaceDN/>
        <w:bidi w:val="0"/>
        <w:adjustRightInd/>
        <w:spacing w:line="595" w:lineRule="exact"/>
        <w:ind w:firstLine="640" w:firstLineChars="200"/>
        <w:textAlignment w:val="auto"/>
        <w:rPr>
          <w:rFonts w:ascii="仿宋_GB2312" w:hAnsi="仿宋_GB2312" w:eastAsia="仿宋_GB2312" w:cs="仿宋_GB2312"/>
          <w:szCs w:val="32"/>
          <w:highlight w:val="none"/>
        </w:rPr>
      </w:pPr>
      <w:r>
        <w:rPr>
          <w:rFonts w:hint="eastAsia" w:ascii="仿宋_GB2312" w:hAnsi="仿宋_GB2312" w:eastAsia="仿宋_GB2312" w:cs="仿宋_GB2312"/>
          <w:szCs w:val="32"/>
          <w:highlight w:val="none"/>
        </w:rPr>
        <w:t>到2025年末，乡村振兴人才总量达到</w:t>
      </w:r>
      <w:r>
        <w:rPr>
          <w:rFonts w:hint="eastAsia" w:ascii="仿宋_GB2312" w:hAnsi="仿宋_GB2312" w:eastAsia="仿宋_GB2312" w:cs="仿宋_GB2312"/>
          <w:szCs w:val="32"/>
          <w:highlight w:val="none"/>
          <w:lang w:val="en-US" w:eastAsia="zh-CN"/>
        </w:rPr>
        <w:t>9.7</w:t>
      </w:r>
      <w:r>
        <w:rPr>
          <w:rFonts w:hint="eastAsia" w:ascii="仿宋_GB2312" w:hAnsi="仿宋_GB2312" w:eastAsia="仿宋_GB2312" w:cs="仿宋_GB2312"/>
          <w:szCs w:val="32"/>
          <w:highlight w:val="none"/>
        </w:rPr>
        <w:t>万人。</w:t>
      </w:r>
    </w:p>
    <w:p>
      <w:pPr>
        <w:pStyle w:val="6"/>
        <w:pageBreakBefore w:val="0"/>
        <w:widowControl w:val="0"/>
        <w:kinsoku/>
        <w:wordWrap/>
        <w:overflowPunct/>
        <w:topLinePunct w:val="0"/>
        <w:autoSpaceDE/>
        <w:autoSpaceDN/>
        <w:bidi w:val="0"/>
        <w:adjustRightInd/>
        <w:snapToGrid w:val="0"/>
        <w:spacing w:before="0" w:after="0" w:line="595" w:lineRule="exact"/>
        <w:ind w:firstLine="643" w:firstLineChars="200"/>
        <w:textAlignment w:val="auto"/>
        <w:rPr>
          <w:rFonts w:hint="eastAsia" w:ascii="仿宋_GB2312" w:hAnsi="仿宋_GB2312" w:eastAsia="仿宋_GB2312" w:cs="仿宋_GB2312"/>
          <w:szCs w:val="32"/>
          <w:highlight w:val="none"/>
          <w:lang w:val="en-US" w:eastAsia="zh-CN"/>
        </w:rPr>
      </w:pPr>
      <w:bookmarkStart w:id="35" w:name="_Toc3742"/>
      <w:r>
        <w:rPr>
          <w:rFonts w:hint="eastAsia" w:ascii="仿宋_GB2312" w:hAnsi="仿宋_GB2312" w:eastAsia="仿宋_GB2312" w:cs="仿宋_GB2312"/>
          <w:szCs w:val="32"/>
          <w:highlight w:val="none"/>
        </w:rPr>
        <w:t>6.社会</w:t>
      </w:r>
      <w:r>
        <w:rPr>
          <w:rFonts w:hint="eastAsia" w:ascii="仿宋_GB2312" w:hAnsi="仿宋_GB2312" w:eastAsia="仿宋_GB2312" w:cs="仿宋_GB2312"/>
          <w:szCs w:val="32"/>
          <w:highlight w:val="none"/>
          <w:lang w:val="en-US" w:eastAsia="zh-CN"/>
        </w:rPr>
        <w:t>工作专业</w:t>
      </w:r>
      <w:r>
        <w:rPr>
          <w:rFonts w:hint="eastAsia" w:ascii="仿宋_GB2312" w:hAnsi="仿宋_GB2312" w:eastAsia="仿宋_GB2312" w:cs="仿宋_GB2312"/>
          <w:szCs w:val="32"/>
          <w:highlight w:val="none"/>
        </w:rPr>
        <w:t>人才</w:t>
      </w:r>
      <w:bookmarkEnd w:id="33"/>
      <w:bookmarkEnd w:id="34"/>
      <w:r>
        <w:rPr>
          <w:rFonts w:hint="eastAsia" w:ascii="仿宋_GB2312" w:hAnsi="仿宋_GB2312" w:eastAsia="仿宋_GB2312" w:cs="仿宋_GB2312"/>
          <w:szCs w:val="32"/>
          <w:highlight w:val="none"/>
          <w:lang w:val="en-US" w:eastAsia="zh-CN"/>
        </w:rPr>
        <w:t>队伍</w:t>
      </w:r>
      <w:bookmarkEnd w:id="35"/>
    </w:p>
    <w:p>
      <w:pPr>
        <w:pageBreakBefore w:val="0"/>
        <w:widowControl w:val="0"/>
        <w:tabs>
          <w:tab w:val="left" w:pos="312"/>
        </w:tabs>
        <w:kinsoku/>
        <w:wordWrap/>
        <w:overflowPunct/>
        <w:topLinePunct w:val="0"/>
        <w:autoSpaceDE/>
        <w:autoSpaceDN/>
        <w:bidi w:val="0"/>
        <w:adjustRightInd/>
        <w:spacing w:line="595" w:lineRule="exact"/>
        <w:ind w:firstLine="640" w:firstLineChars="200"/>
        <w:textAlignment w:val="auto"/>
        <w:rPr>
          <w:rFonts w:hint="eastAsia" w:ascii="仿宋_GB2312" w:hAnsi="仿宋_GB2312" w:eastAsia="仿宋_GB2312" w:cs="仿宋_GB2312"/>
          <w:szCs w:val="32"/>
          <w:highlight w:val="none"/>
        </w:rPr>
      </w:pPr>
      <w:r>
        <w:rPr>
          <w:rFonts w:hint="eastAsia" w:ascii="仿宋_GB2312" w:hAnsi="仿宋_GB2312" w:eastAsia="仿宋_GB2312" w:cs="仿宋_GB2312"/>
          <w:szCs w:val="32"/>
          <w:highlight w:val="none"/>
        </w:rPr>
        <w:t>推动社会工作从业人员的专业转化，完善社会工作人才继续教育制度，加强社会工作专业培训，鼓励社区工作者、专职党群工作者等基层党群人才学习社会工作专业方法，提高社区工作者中具有专业资质人员比例。加大社会工作人才开发力度，在具有社会服务和社会管理职能的群团组织、事业单位、社区中，设置一批社会工作专业岗位，</w:t>
      </w:r>
      <w:r>
        <w:rPr>
          <w:rFonts w:hint="eastAsia" w:ascii="仿宋_GB2312" w:hAnsi="仿宋_GB2312" w:eastAsia="仿宋_GB2312" w:cs="仿宋_GB2312"/>
          <w:bCs/>
          <w:szCs w:val="32"/>
          <w:highlight w:val="none"/>
        </w:rPr>
        <w:t>选择培养一批高素质的法律援助、治安管理、社会公德等工作方面骨干人才</w:t>
      </w:r>
      <w:r>
        <w:rPr>
          <w:rFonts w:hint="eastAsia" w:ascii="仿宋_GB2312" w:hAnsi="仿宋_GB2312" w:eastAsia="仿宋_GB2312" w:cs="仿宋_GB2312"/>
          <w:bCs/>
          <w:szCs w:val="32"/>
          <w:highlight w:val="none"/>
          <w:lang w:eastAsia="zh-CN"/>
        </w:rPr>
        <w:t>，</w:t>
      </w:r>
      <w:r>
        <w:rPr>
          <w:rFonts w:hint="eastAsia" w:ascii="仿宋_GB2312" w:hAnsi="仿宋_GB2312" w:eastAsia="仿宋_GB2312" w:cs="仿宋_GB2312"/>
          <w:szCs w:val="32"/>
          <w:highlight w:val="none"/>
        </w:rPr>
        <w:t>提高专业化水平和能力。积极培育社会工作专业机构，推动社会工作人才职业发展。组织开展社会工作从业人员的注册登记、统计调查工作，准确了解社会工作人才的基本情况、人才结构等基础数据。建立社会工作人才信息库，推进分级使用。定期向社会发布社会工作人才需求、岗位分布、薪酬待遇、行业发展等信息，促进社会工作人才供需的有效对接。</w:t>
      </w:r>
    </w:p>
    <w:p>
      <w:pPr>
        <w:pageBreakBefore w:val="0"/>
        <w:widowControl w:val="0"/>
        <w:tabs>
          <w:tab w:val="left" w:pos="312"/>
        </w:tabs>
        <w:kinsoku/>
        <w:wordWrap/>
        <w:overflowPunct/>
        <w:topLinePunct w:val="0"/>
        <w:autoSpaceDE/>
        <w:autoSpaceDN/>
        <w:bidi w:val="0"/>
        <w:adjustRightInd/>
        <w:spacing w:line="595" w:lineRule="exact"/>
        <w:ind w:firstLine="640" w:firstLineChars="200"/>
        <w:textAlignment w:val="auto"/>
      </w:pPr>
      <w:r>
        <w:rPr>
          <w:rFonts w:hint="eastAsia" w:ascii="仿宋_GB2312" w:hAnsi="仿宋_GB2312" w:eastAsia="仿宋_GB2312" w:cs="仿宋_GB2312"/>
          <w:color w:val="auto"/>
          <w:szCs w:val="32"/>
          <w:highlight w:val="none"/>
        </w:rPr>
        <w:t>到2025年末，全市社会工作人才总量达到</w:t>
      </w:r>
      <w:r>
        <w:rPr>
          <w:rFonts w:hint="eastAsia" w:ascii="仿宋_GB2312" w:hAnsi="仿宋_GB2312" w:eastAsia="仿宋_GB2312" w:cs="仿宋_GB2312"/>
          <w:color w:val="auto"/>
          <w:szCs w:val="32"/>
          <w:highlight w:val="none"/>
          <w:lang w:val="en-US" w:eastAsia="zh-CN"/>
        </w:rPr>
        <w:t>1.35万人。</w:t>
      </w:r>
    </w:p>
    <w:p>
      <w:pPr>
        <w:keepNext/>
        <w:keepLines/>
        <w:pageBreakBefore w:val="0"/>
        <w:widowControl w:val="0"/>
        <w:numPr>
          <w:ilvl w:val="0"/>
          <w:numId w:val="3"/>
        </w:numPr>
        <w:kinsoku/>
        <w:wordWrap/>
        <w:overflowPunct/>
        <w:topLinePunct w:val="0"/>
        <w:autoSpaceDE/>
        <w:autoSpaceDN/>
        <w:bidi w:val="0"/>
        <w:adjustRightInd/>
        <w:spacing w:line="595" w:lineRule="exact"/>
        <w:ind w:firstLine="640" w:firstLineChars="200"/>
        <w:jc w:val="left"/>
        <w:textAlignment w:val="auto"/>
        <w:outlineLvl w:val="1"/>
        <w:rPr>
          <w:rFonts w:ascii="楷体_GB2312" w:hAnsi="楷体_GB2312" w:eastAsia="楷体_GB2312" w:cs="楷体_GB2312"/>
          <w:bCs/>
          <w:szCs w:val="32"/>
          <w:highlight w:val="none"/>
          <w:lang w:val="zh-CN" w:bidi="zh-CN"/>
        </w:rPr>
      </w:pPr>
      <w:bookmarkStart w:id="36" w:name="_Toc22585"/>
      <w:bookmarkStart w:id="37" w:name="_Toc91188884"/>
      <w:bookmarkStart w:id="38" w:name="_Toc88490278"/>
      <w:r>
        <w:rPr>
          <w:rFonts w:hint="eastAsia" w:ascii="楷体_GB2312" w:hAnsi="楷体_GB2312" w:eastAsia="楷体_GB2312" w:cs="楷体_GB2312"/>
          <w:bCs/>
          <w:szCs w:val="32"/>
          <w:highlight w:val="none"/>
          <w:lang w:val="zh-CN" w:bidi="zh-CN"/>
        </w:rPr>
        <w:t>人才载体</w:t>
      </w:r>
      <w:r>
        <w:rPr>
          <w:rFonts w:hint="eastAsia" w:ascii="楷体_GB2312" w:hAnsi="楷体_GB2312" w:eastAsia="楷体_GB2312" w:cs="楷体_GB2312"/>
          <w:bCs/>
          <w:szCs w:val="32"/>
          <w:highlight w:val="none"/>
          <w:lang w:val="en-US" w:bidi="zh-CN"/>
        </w:rPr>
        <w:t>平台</w:t>
      </w:r>
      <w:r>
        <w:rPr>
          <w:rFonts w:hint="eastAsia" w:ascii="楷体_GB2312" w:hAnsi="楷体_GB2312" w:eastAsia="楷体_GB2312" w:cs="楷体_GB2312"/>
          <w:bCs/>
          <w:szCs w:val="32"/>
          <w:highlight w:val="none"/>
          <w:lang w:val="zh-CN" w:bidi="zh-CN"/>
        </w:rPr>
        <w:t>建设</w:t>
      </w:r>
      <w:bookmarkEnd w:id="36"/>
      <w:bookmarkEnd w:id="37"/>
    </w:p>
    <w:p>
      <w:pPr>
        <w:pStyle w:val="6"/>
        <w:pageBreakBefore w:val="0"/>
        <w:widowControl w:val="0"/>
        <w:kinsoku/>
        <w:wordWrap/>
        <w:overflowPunct/>
        <w:topLinePunct w:val="0"/>
        <w:autoSpaceDE/>
        <w:autoSpaceDN/>
        <w:bidi w:val="0"/>
        <w:adjustRightInd/>
        <w:snapToGrid w:val="0"/>
        <w:spacing w:before="0" w:after="0" w:line="595" w:lineRule="exact"/>
        <w:ind w:left="640"/>
        <w:textAlignment w:val="auto"/>
        <w:rPr>
          <w:rFonts w:ascii="仿宋_GB2312" w:hAnsi="仿宋_GB2312" w:eastAsia="仿宋_GB2312" w:cs="仿宋_GB2312"/>
          <w:szCs w:val="32"/>
          <w:highlight w:val="none"/>
        </w:rPr>
      </w:pPr>
      <w:bookmarkStart w:id="39" w:name="_Toc91188885"/>
      <w:bookmarkStart w:id="40" w:name="_Toc18947"/>
      <w:r>
        <w:rPr>
          <w:rFonts w:hint="eastAsia" w:ascii="仿宋_GB2312" w:hAnsi="仿宋_GB2312" w:eastAsia="仿宋_GB2312" w:cs="仿宋_GB2312"/>
          <w:szCs w:val="32"/>
          <w:highlight w:val="none"/>
        </w:rPr>
        <w:t>1.创新平台</w:t>
      </w:r>
      <w:bookmarkEnd w:id="39"/>
      <w:bookmarkEnd w:id="40"/>
    </w:p>
    <w:p>
      <w:pPr>
        <w:pageBreakBefore w:val="0"/>
        <w:widowControl w:val="0"/>
        <w:kinsoku/>
        <w:wordWrap/>
        <w:overflowPunct/>
        <w:topLinePunct w:val="0"/>
        <w:autoSpaceDE/>
        <w:autoSpaceDN/>
        <w:bidi w:val="0"/>
        <w:adjustRightInd/>
        <w:spacing w:line="595" w:lineRule="exact"/>
        <w:ind w:firstLine="643" w:firstLineChars="200"/>
        <w:textAlignment w:val="auto"/>
        <w:rPr>
          <w:rFonts w:hint="eastAsia" w:ascii="仿宋_GB2312" w:hAnsi="仿宋_GB2312" w:eastAsia="仿宋_GB2312" w:cs="仿宋_GB2312"/>
          <w:color w:val="FF0000"/>
          <w:szCs w:val="32"/>
          <w:highlight w:val="none"/>
          <w:lang w:eastAsia="zh-CN"/>
        </w:rPr>
      </w:pPr>
      <w:r>
        <w:rPr>
          <w:rFonts w:hint="eastAsia" w:ascii="仿宋_GB2312" w:hAnsi="仿宋_GB2312" w:eastAsia="仿宋_GB2312" w:cs="仿宋_GB2312"/>
          <w:b/>
          <w:szCs w:val="32"/>
          <w:highlight w:val="none"/>
        </w:rPr>
        <w:t>着力建设</w:t>
      </w:r>
      <w:r>
        <w:rPr>
          <w:rFonts w:hint="eastAsia" w:ascii="仿宋_GB2312" w:hAnsi="仿宋_GB2312" w:eastAsia="仿宋_GB2312" w:cs="仿宋_GB2312"/>
          <w:b/>
          <w:szCs w:val="32"/>
          <w:highlight w:val="none"/>
          <w:lang w:val="en-US" w:eastAsia="zh-CN"/>
        </w:rPr>
        <w:t>重大创新平台</w:t>
      </w:r>
      <w:r>
        <w:rPr>
          <w:rFonts w:hint="eastAsia" w:ascii="仿宋_GB2312" w:hAnsi="仿宋_GB2312" w:eastAsia="仿宋_GB2312" w:cs="仿宋_GB2312"/>
          <w:b/>
          <w:szCs w:val="32"/>
          <w:highlight w:val="none"/>
        </w:rPr>
        <w:t>。</w:t>
      </w:r>
      <w:r>
        <w:rPr>
          <w:rFonts w:hint="eastAsia" w:ascii="仿宋_GB2312" w:hAnsi="仿宋_GB2312" w:eastAsia="仿宋_GB2312" w:cs="仿宋_GB2312"/>
          <w:szCs w:val="32"/>
          <w:highlight w:val="none"/>
          <w:u w:val="none"/>
        </w:rPr>
        <w:t>聚焦黄河流域鄂尔多斯生态保护与高质量发展示范区</w:t>
      </w:r>
      <w:r>
        <w:rPr>
          <w:rFonts w:hint="eastAsia" w:ascii="仿宋_GB2312" w:hAnsi="仿宋_GB2312" w:eastAsia="仿宋_GB2312" w:cs="仿宋_GB2312"/>
          <w:szCs w:val="32"/>
          <w:highlight w:val="none"/>
          <w:u w:val="none"/>
          <w:lang w:eastAsia="zh-CN"/>
        </w:rPr>
        <w:t>、</w:t>
      </w:r>
      <w:r>
        <w:rPr>
          <w:rFonts w:hint="eastAsia" w:ascii="仿宋_GB2312" w:hAnsi="仿宋_GB2312" w:eastAsia="仿宋_GB2312" w:cs="仿宋_GB2312"/>
          <w:szCs w:val="32"/>
          <w:highlight w:val="none"/>
          <w:u w:val="none"/>
        </w:rPr>
        <w:t>呼包鄂国家自主创新示范区</w:t>
      </w:r>
      <w:r>
        <w:rPr>
          <w:rFonts w:hint="eastAsia" w:ascii="仿宋_GB2312" w:hAnsi="仿宋_GB2312" w:eastAsia="仿宋_GB2312" w:cs="仿宋_GB2312"/>
          <w:szCs w:val="32"/>
          <w:highlight w:val="none"/>
          <w:u w:val="none"/>
          <w:lang w:eastAsia="zh-CN"/>
        </w:rPr>
        <w:t>、</w:t>
      </w:r>
      <w:r>
        <w:rPr>
          <w:rFonts w:hint="eastAsia" w:ascii="仿宋_GB2312" w:hAnsi="仿宋_GB2312" w:eastAsia="仿宋_GB2312" w:cs="仿宋_GB2312"/>
          <w:szCs w:val="32"/>
          <w:highlight w:val="none"/>
          <w:u w:val="none"/>
        </w:rPr>
        <w:t>鄂尔多斯国家级高新区</w:t>
      </w:r>
      <w:r>
        <w:rPr>
          <w:rFonts w:hint="eastAsia" w:ascii="仿宋_GB2312" w:hAnsi="仿宋_GB2312" w:eastAsia="仿宋_GB2312" w:cs="仿宋_GB2312"/>
          <w:szCs w:val="32"/>
          <w:highlight w:val="none"/>
          <w:u w:val="none"/>
          <w:lang w:eastAsia="zh-CN"/>
        </w:rPr>
        <w:t>、</w:t>
      </w:r>
      <w:r>
        <w:rPr>
          <w:rFonts w:hint="eastAsia" w:ascii="仿宋_GB2312" w:hAnsi="仿宋_GB2312" w:eastAsia="仿宋_GB2312" w:cs="仿宋_GB2312"/>
          <w:szCs w:val="32"/>
          <w:highlight w:val="none"/>
          <w:u w:val="none"/>
        </w:rPr>
        <w:t>国家可持续发展议程创新示范区</w:t>
      </w:r>
      <w:r>
        <w:rPr>
          <w:rFonts w:hint="eastAsia" w:ascii="仿宋_GB2312" w:hAnsi="仿宋_GB2312" w:eastAsia="仿宋_GB2312" w:cs="仿宋_GB2312"/>
          <w:szCs w:val="32"/>
          <w:highlight w:val="none"/>
          <w:u w:val="none"/>
          <w:lang w:eastAsia="zh-CN"/>
        </w:rPr>
        <w:t>、“</w:t>
      </w:r>
      <w:r>
        <w:rPr>
          <w:rFonts w:hint="eastAsia" w:ascii="仿宋_GB2312" w:hAnsi="仿宋_GB2312" w:eastAsia="仿宋_GB2312" w:cs="仿宋_GB2312"/>
          <w:szCs w:val="32"/>
          <w:highlight w:val="none"/>
          <w:u w:val="none"/>
          <w:lang w:val="en-US" w:eastAsia="zh-CN"/>
        </w:rPr>
        <w:t>双碳</w:t>
      </w:r>
      <w:r>
        <w:rPr>
          <w:rFonts w:hint="eastAsia" w:ascii="仿宋_GB2312" w:hAnsi="仿宋_GB2312" w:eastAsia="仿宋_GB2312" w:cs="仿宋_GB2312"/>
          <w:szCs w:val="32"/>
          <w:highlight w:val="none"/>
          <w:u w:val="none"/>
          <w:lang w:eastAsia="zh-CN"/>
        </w:rPr>
        <w:t>”</w:t>
      </w:r>
      <w:r>
        <w:rPr>
          <w:rFonts w:hint="eastAsia" w:ascii="仿宋_GB2312" w:hAnsi="仿宋_GB2312" w:eastAsia="仿宋_GB2312" w:cs="仿宋_GB2312"/>
          <w:szCs w:val="32"/>
          <w:highlight w:val="none"/>
          <w:u w:val="none"/>
        </w:rPr>
        <w:t>科技创新综合示范区</w:t>
      </w:r>
      <w:r>
        <w:rPr>
          <w:rFonts w:hint="eastAsia" w:ascii="仿宋_GB2312" w:hAnsi="仿宋_GB2312" w:eastAsia="仿宋_GB2312" w:cs="仿宋_GB2312"/>
          <w:szCs w:val="32"/>
          <w:highlight w:val="none"/>
          <w:u w:val="none"/>
          <w:lang w:eastAsia="zh-CN"/>
        </w:rPr>
        <w:t>、</w:t>
      </w:r>
      <w:r>
        <w:rPr>
          <w:rFonts w:hint="eastAsia" w:ascii="仿宋_GB2312" w:hAnsi="仿宋_GB2312" w:eastAsia="仿宋_GB2312" w:cs="仿宋_GB2312"/>
          <w:szCs w:val="32"/>
          <w:highlight w:val="none"/>
          <w:u w:val="none"/>
        </w:rPr>
        <w:t>科技成果转移转化示范区等创新载体建设</w:t>
      </w:r>
      <w:r>
        <w:rPr>
          <w:rFonts w:hint="eastAsia" w:ascii="仿宋_GB2312" w:hAnsi="仿宋_GB2312" w:eastAsia="仿宋_GB2312" w:cs="仿宋_GB2312"/>
          <w:szCs w:val="32"/>
          <w:highlight w:val="none"/>
          <w:u w:val="none"/>
          <w:lang w:eastAsia="zh-CN"/>
        </w:rPr>
        <w:t>，</w:t>
      </w:r>
      <w:r>
        <w:rPr>
          <w:rFonts w:hint="eastAsia" w:ascii="仿宋_GB2312" w:hAnsi="仿宋_GB2312" w:eastAsia="仿宋_GB2312" w:cs="仿宋_GB2312"/>
          <w:szCs w:val="32"/>
          <w:highlight w:val="none"/>
          <w:u w:val="none"/>
        </w:rPr>
        <w:t>依托</w:t>
      </w:r>
      <w:r>
        <w:rPr>
          <w:rFonts w:hint="eastAsia" w:ascii="仿宋_GB2312" w:hAnsi="仿宋_GB2312" w:eastAsia="仿宋_GB2312" w:cs="仿宋_GB2312"/>
          <w:szCs w:val="32"/>
          <w:highlight w:val="none"/>
        </w:rPr>
        <w:t>鄂尔多斯独特优势，围绕“双碳”前沿领域、战略方向，创建、引进一批国家级创新平台、重大科技基础设施、高水平研发机构</w:t>
      </w:r>
      <w:r>
        <w:rPr>
          <w:rFonts w:hint="eastAsia" w:ascii="仿宋_GB2312" w:hAnsi="仿宋_GB2312" w:eastAsia="仿宋_GB2312" w:cs="仿宋_GB2312"/>
          <w:szCs w:val="32"/>
          <w:highlight w:val="none"/>
          <w:lang w:eastAsia="zh-CN"/>
        </w:rPr>
        <w:t>。加快建设中科鄂尔多斯先进技术研究院和鄂尔多斯碳中和研究院，</w:t>
      </w:r>
      <w:r>
        <w:rPr>
          <w:rFonts w:hint="eastAsia" w:ascii="仿宋_GB2312" w:hAnsi="仿宋_GB2312" w:eastAsia="仿宋_GB2312" w:cs="仿宋_GB2312"/>
          <w:szCs w:val="32"/>
          <w:highlight w:val="none"/>
          <w:lang w:val="en-US" w:eastAsia="zh-CN"/>
        </w:rPr>
        <w:t>加快建设北京大学鄂尔多斯碳中和联合实验室、清华大学鄂尔多斯“双碳”创新基地。</w:t>
      </w:r>
      <w:r>
        <w:rPr>
          <w:rFonts w:hint="eastAsia" w:ascii="仿宋_GB2312" w:hAnsi="仿宋_GB2312" w:eastAsia="仿宋_GB2312" w:cs="仿宋_GB2312"/>
          <w:szCs w:val="32"/>
          <w:highlight w:val="none"/>
          <w:lang w:eastAsia="zh-CN"/>
        </w:rPr>
        <w:t>推动成立煤基新材料国家重点实验室、</w:t>
      </w:r>
      <w:r>
        <w:rPr>
          <w:rFonts w:hint="eastAsia" w:ascii="仿宋_GB2312" w:hAnsi="仿宋_GB2312" w:eastAsia="仿宋_GB2312" w:cs="仿宋_GB2312"/>
          <w:szCs w:val="32"/>
          <w:highlight w:val="none"/>
          <w:lang w:val="en-US" w:eastAsia="zh-CN"/>
        </w:rPr>
        <w:t>新型电力系统重点实验室，</w:t>
      </w:r>
      <w:r>
        <w:rPr>
          <w:rFonts w:hint="eastAsia" w:ascii="仿宋_GB2312" w:hAnsi="仿宋_GB2312" w:eastAsia="仿宋_GB2312" w:cs="仿宋_GB2312"/>
          <w:szCs w:val="32"/>
          <w:highlight w:val="none"/>
          <w:lang w:eastAsia="zh-CN"/>
        </w:rPr>
        <w:t>全方位推动与清华大学、北京大学和中国矿业大学（北京）等双一流大学的合作。</w:t>
      </w:r>
    </w:p>
    <w:p>
      <w:pPr>
        <w:pageBreakBefore w:val="0"/>
        <w:widowControl w:val="0"/>
        <w:kinsoku/>
        <w:wordWrap/>
        <w:overflowPunct/>
        <w:topLinePunct w:val="0"/>
        <w:autoSpaceDE/>
        <w:autoSpaceDN/>
        <w:bidi w:val="0"/>
        <w:adjustRightInd/>
        <w:spacing w:line="595" w:lineRule="exact"/>
        <w:ind w:firstLine="640" w:firstLineChars="200"/>
        <w:textAlignment w:val="auto"/>
        <w:rPr>
          <w:rFonts w:hint="eastAsia" w:ascii="仿宋_GB2312" w:hAnsi="仿宋_GB2312" w:eastAsia="仿宋_GB2312" w:cs="仿宋_GB2312"/>
          <w:szCs w:val="32"/>
          <w:highlight w:val="none"/>
        </w:rPr>
      </w:pPr>
      <w:r>
        <w:rPr>
          <w:rFonts w:hint="eastAsia" w:ascii="仿宋_GB2312" w:hAnsi="仿宋_GB2312" w:eastAsia="仿宋_GB2312" w:cs="仿宋_GB2312"/>
          <w:szCs w:val="32"/>
          <w:highlight w:val="none"/>
          <w:lang w:val="en-US" w:eastAsia="zh-CN"/>
        </w:rPr>
        <w:t>建设国际</w:t>
      </w:r>
      <w:r>
        <w:rPr>
          <w:rFonts w:hint="eastAsia" w:ascii="仿宋_GB2312" w:hAnsi="仿宋_GB2312" w:eastAsia="仿宋_GB2312" w:cs="仿宋_GB2312"/>
          <w:szCs w:val="32"/>
          <w:highlight w:val="none"/>
        </w:rPr>
        <w:t>荒漠化治理技术创新中心</w:t>
      </w:r>
      <w:r>
        <w:rPr>
          <w:rFonts w:hint="eastAsia" w:ascii="仿宋_GB2312" w:hAnsi="仿宋_GB2312" w:eastAsia="仿宋_GB2312" w:cs="仿宋_GB2312"/>
          <w:szCs w:val="32"/>
          <w:highlight w:val="none"/>
          <w:lang w:eastAsia="zh-CN"/>
        </w:rPr>
        <w:t>、</w:t>
      </w:r>
      <w:r>
        <w:rPr>
          <w:rFonts w:hint="eastAsia" w:ascii="仿宋_GB2312" w:hAnsi="仿宋_GB2312" w:eastAsia="仿宋_GB2312" w:cs="仿宋_GB2312"/>
          <w:szCs w:val="32"/>
          <w:highlight w:val="none"/>
        </w:rPr>
        <w:t>现代能源经济技术创新中心，引导现有科技研发平台升级建设国家、自治区级技术创新中心、工程（技术）研究中心、重点实验室等科技创新平台，支撑战略科技人才、科技领军人才、创新团队、创新创业人才引进，突破关键技术应用。到2025年，国家、自治区级科技创新平台达到200家。鼓励支持新型研发机构建设，强化政府投资、企业化运作的发展模式，围绕低碳技术与清洁能源、现代煤化工、多晶硅材料、光电科技和高分子材料等领域，建设集技术研发、项目中试、成果转化、孵化投资、创业服务、人才培养等功能于一体，独立核算、自主经营、独立法人的新型研发机构。积极争取内地“双一流”高校和科研院所在鄂尔多斯设立分校、建立研究院、实验室、孵化器，建设集技术研发、成果转化、人才集聚于一体的新型研发基地。</w:t>
      </w:r>
    </w:p>
    <w:p>
      <w:pPr>
        <w:pStyle w:val="2"/>
        <w:pageBreakBefore w:val="0"/>
        <w:kinsoku/>
        <w:wordWrap/>
        <w:overflowPunct/>
        <w:topLinePunct w:val="0"/>
        <w:autoSpaceDE/>
        <w:bidi w:val="0"/>
        <w:adjustRightInd/>
        <w:spacing w:before="0" w:line="575" w:lineRule="exact"/>
        <w:jc w:val="center"/>
        <w:textAlignment w:val="auto"/>
        <w:rPr>
          <w:rFonts w:hint="eastAsia"/>
        </w:rPr>
      </w:pPr>
      <w:r>
        <w:rPr>
          <w:rFonts w:hint="eastAsia" w:ascii="方正小标宋_GBK" w:hAnsi="方正小标宋_GBK" w:eastAsia="方正小标宋_GBK" w:cs="方正小标宋_GBK"/>
          <w:sz w:val="28"/>
          <w:szCs w:val="28"/>
          <w:vertAlign w:val="baseline"/>
          <w:lang w:val="en-US" w:eastAsia="zh-CN"/>
        </w:rPr>
        <w:t>专栏5   新型实验室建设重点任务</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2" w:type="dxa"/>
            <w:vAlign w:val="top"/>
          </w:tcPr>
          <w:p>
            <w:pPr>
              <w:keepNext w:val="0"/>
              <w:keepLines w:val="0"/>
              <w:pageBreakBefore w:val="0"/>
              <w:widowControl w:val="0"/>
              <w:kinsoku/>
              <w:wordWrap/>
              <w:overflowPunct/>
              <w:topLinePunct w:val="0"/>
              <w:autoSpaceDE/>
              <w:autoSpaceDN/>
              <w:bidi w:val="0"/>
              <w:adjustRightInd/>
              <w:snapToGrid/>
              <w:spacing w:line="575" w:lineRule="exact"/>
              <w:ind w:firstLine="48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4"/>
                <w:szCs w:val="24"/>
                <w:lang w:val="en-US" w:eastAsia="zh-CN"/>
              </w:rPr>
              <w:t>参照国家实验室模式，建设新型重点实验室，开展符合国际惯例、现代治理要求、鄂尔多斯特色的新型科研管理制度，推行首席科学家负责制，落实人财物支配权和技术路线决策权、内部机构设置权和人才举荐权，探索建立以创新价值、能力、贡献为导向的人才评价机制，加快开展科研经费包干制改革试点，形成机制活、活力足、成果多、特色强、影响力大的实验室。</w:t>
            </w:r>
          </w:p>
        </w:tc>
      </w:tr>
    </w:tbl>
    <w:p>
      <w:pPr>
        <w:pStyle w:val="2"/>
        <w:pageBreakBefore w:val="0"/>
        <w:kinsoku/>
        <w:wordWrap/>
        <w:overflowPunct/>
        <w:topLinePunct w:val="0"/>
        <w:autoSpaceDE/>
        <w:bidi w:val="0"/>
        <w:adjustRightInd/>
        <w:spacing w:before="0" w:line="575" w:lineRule="exact"/>
        <w:ind w:left="0" w:leftChars="0" w:firstLine="0" w:firstLineChars="0"/>
        <w:textAlignment w:val="auto"/>
      </w:pPr>
    </w:p>
    <w:p>
      <w:pPr>
        <w:pageBreakBefore w:val="0"/>
        <w:widowControl w:val="0"/>
        <w:kinsoku/>
        <w:wordWrap/>
        <w:overflowPunct/>
        <w:topLinePunct w:val="0"/>
        <w:autoSpaceDE/>
        <w:bidi w:val="0"/>
        <w:adjustRightInd/>
        <w:spacing w:line="575" w:lineRule="exact"/>
        <w:ind w:firstLine="643" w:firstLineChars="200"/>
        <w:textAlignment w:val="auto"/>
        <w:rPr>
          <w:rFonts w:ascii="仿宋_GB2312" w:hAnsi="仿宋_GB2312" w:eastAsia="仿宋_GB2312" w:cs="仿宋_GB2312"/>
          <w:szCs w:val="32"/>
          <w:highlight w:val="none"/>
        </w:rPr>
      </w:pPr>
      <w:r>
        <w:rPr>
          <w:rFonts w:hint="eastAsia" w:ascii="仿宋_GB2312" w:hAnsi="仿宋_GB2312" w:eastAsia="仿宋_GB2312" w:cs="仿宋_GB2312"/>
          <w:b/>
          <w:szCs w:val="32"/>
          <w:highlight w:val="none"/>
        </w:rPr>
        <w:t>着力建设协同创新平台。</w:t>
      </w:r>
      <w:r>
        <w:rPr>
          <w:rFonts w:hint="eastAsia" w:ascii="仿宋_GB2312" w:hAnsi="仿宋_GB2312" w:eastAsia="仿宋_GB2312" w:cs="仿宋_GB2312"/>
          <w:szCs w:val="32"/>
          <w:highlight w:val="none"/>
        </w:rPr>
        <w:t>聚焦新能源等重点领域，共建一批创新联合体和工程师协同创新中心。加强与国家、省部级重点实验室、研究院、工程中心、科技园区和行业龙头企业、上市企业合作，共同</w:t>
      </w:r>
      <w:r>
        <w:rPr>
          <w:rFonts w:hint="eastAsia" w:ascii="仿宋_GB2312" w:hAnsi="仿宋_GB2312" w:eastAsia="仿宋_GB2312" w:cs="仿宋_GB2312"/>
          <w:szCs w:val="32"/>
          <w:highlight w:val="none"/>
          <w:lang w:val="en-US" w:eastAsia="zh-CN"/>
        </w:rPr>
        <w:t>推动</w:t>
      </w:r>
      <w:r>
        <w:rPr>
          <w:rFonts w:hint="eastAsia" w:ascii="仿宋_GB2312" w:hAnsi="仿宋_GB2312" w:eastAsia="仿宋_GB2312" w:cs="仿宋_GB2312"/>
          <w:szCs w:val="32"/>
          <w:highlight w:val="none"/>
        </w:rPr>
        <w:t>高层次人才产学研协同平台和产业技术创新联盟建设。开展鄂尔多斯特色优势产业工程师协同创新中心试点建设，以“成熟型技术应用与推广服务”为主攻方向，共享技术、成果、人才等资源要素，集聚海内外科研院所、高校、企业等相关领域的工程师智力成果。加大共性技术服务平台建设力度，引导重点企业开放实验室，提供一流的共性技术、工具软件、分析测试仪器设备、科技情报等资源共享服务。</w:t>
      </w:r>
    </w:p>
    <w:p>
      <w:pPr>
        <w:pStyle w:val="2"/>
        <w:pageBreakBefore w:val="0"/>
        <w:widowControl w:val="0"/>
        <w:kinsoku/>
        <w:wordWrap/>
        <w:overflowPunct/>
        <w:topLinePunct w:val="0"/>
        <w:autoSpaceDE/>
        <w:bidi w:val="0"/>
        <w:adjustRightInd/>
        <w:spacing w:before="0" w:line="575" w:lineRule="exact"/>
        <w:ind w:left="0" w:firstLine="643" w:firstLineChars="200"/>
        <w:textAlignment w:val="auto"/>
        <w:rPr>
          <w:rFonts w:ascii="仿宋_GB2312" w:hAnsi="仿宋_GB2312" w:eastAsia="仿宋_GB2312" w:cs="仿宋_GB2312"/>
          <w:highlight w:val="none"/>
          <w:lang w:val="en-US"/>
        </w:rPr>
      </w:pPr>
      <w:r>
        <w:rPr>
          <w:rFonts w:hint="eastAsia" w:ascii="仿宋_GB2312" w:hAnsi="仿宋_GB2312" w:eastAsia="仿宋_GB2312" w:cs="仿宋_GB2312"/>
          <w:b/>
          <w:highlight w:val="none"/>
          <w:lang w:val="en-US"/>
        </w:rPr>
        <w:t>着力建设成果转化平台</w:t>
      </w:r>
      <w:r>
        <w:rPr>
          <w:rFonts w:hint="eastAsia" w:ascii="仿宋_GB2312" w:hAnsi="仿宋_GB2312" w:eastAsia="仿宋_GB2312" w:cs="仿宋_GB2312"/>
          <w:highlight w:val="none"/>
          <w:lang w:val="en-US"/>
        </w:rPr>
        <w:t>。创建高标准的内蒙古科学技术研究院鄂尔多斯产业技术分院，</w:t>
      </w:r>
      <w:r>
        <w:rPr>
          <w:rFonts w:hint="eastAsia" w:ascii="仿宋_GB2312" w:hAnsi="仿宋_GB2312" w:eastAsia="仿宋_GB2312" w:cs="仿宋_GB2312"/>
          <w:highlight w:val="none"/>
        </w:rPr>
        <w:t>加快高技术服务基地建设，</w:t>
      </w:r>
      <w:r>
        <w:rPr>
          <w:rFonts w:hint="eastAsia" w:ascii="仿宋_GB2312" w:hAnsi="仿宋_GB2312" w:eastAsia="仿宋_GB2312" w:cs="仿宋_GB2312"/>
          <w:highlight w:val="none"/>
          <w:lang w:val="en-US"/>
        </w:rPr>
        <w:t>汇聚高校、科研院所、企业、政府的资源，投资并促进尖端制造技术的发展，加强政产学等相关主体合作，为新技术、新发明、新工艺和人才教育培训提供基础。</w:t>
      </w:r>
      <w:r>
        <w:rPr>
          <w:rFonts w:hint="eastAsia" w:ascii="仿宋_GB2312" w:hAnsi="仿宋_GB2312" w:eastAsia="仿宋_GB2312" w:cs="仿宋_GB2312"/>
          <w:color w:val="000000" w:themeColor="text1"/>
          <w:highlight w:val="none"/>
          <w:lang w:val="en-US"/>
          <w14:textFill>
            <w14:solidFill>
              <w14:schemeClr w14:val="tx1"/>
            </w14:solidFill>
          </w14:textFill>
        </w:rPr>
        <w:t>加快推进技术转移和科技成果转化平台</w:t>
      </w:r>
      <w:r>
        <w:rPr>
          <w:rFonts w:hint="eastAsia" w:ascii="仿宋_GB2312" w:hAnsi="仿宋_GB2312" w:eastAsia="仿宋_GB2312" w:cs="仿宋_GB2312"/>
          <w:highlight w:val="none"/>
          <w:lang w:val="en-US"/>
        </w:rPr>
        <w:t>，鼓励重点科研院所、高校、企业在鄂尔多斯联合共建技术转移和科技成果转化机构，培养专业化人才队伍。引导社会力量加大技术转移和科技成果转化投入，形成以市场为导向的投融资新模式。</w:t>
      </w:r>
      <w:r>
        <w:rPr>
          <w:rFonts w:hint="eastAsia" w:ascii="仿宋_GB2312" w:hAnsi="仿宋_GB2312" w:eastAsia="仿宋_GB2312" w:cs="仿宋_GB2312"/>
          <w:color w:val="000000" w:themeColor="text1"/>
          <w:highlight w:val="none"/>
          <w:lang w:val="en-US"/>
          <w14:textFill>
            <w14:solidFill>
              <w14:schemeClr w14:val="tx1"/>
            </w14:solidFill>
          </w14:textFill>
        </w:rPr>
        <w:t>积极探索科技成果信息平台</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与</w:t>
      </w:r>
      <w:r>
        <w:rPr>
          <w:rFonts w:hint="eastAsia" w:ascii="仿宋_GB2312" w:hAnsi="仿宋_GB2312" w:eastAsia="仿宋_GB2312" w:cs="仿宋_GB2312"/>
          <w:color w:val="000000" w:themeColor="text1"/>
          <w:highlight w:val="none"/>
          <w:lang w:val="en-US"/>
          <w14:textFill>
            <w14:solidFill>
              <w14:schemeClr w14:val="tx1"/>
            </w14:solidFill>
          </w14:textFill>
        </w:rPr>
        <w:t>成果转化</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w:t>
      </w:r>
      <w:r>
        <w:rPr>
          <w:rFonts w:hint="eastAsia" w:ascii="仿宋_GB2312" w:hAnsi="仿宋_GB2312" w:eastAsia="仿宋_GB2312" w:cs="仿宋_GB2312"/>
          <w:color w:val="000000" w:themeColor="text1"/>
          <w:highlight w:val="none"/>
          <w:lang w:val="en-US"/>
          <w14:textFill>
            <w14:solidFill>
              <w14:schemeClr w14:val="tx1"/>
            </w14:solidFill>
          </w14:textFill>
        </w:rPr>
        <w:t>技术转让</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对接</w:t>
      </w:r>
      <w:r>
        <w:rPr>
          <w:rFonts w:hint="eastAsia" w:ascii="仿宋_GB2312" w:hAnsi="仿宋_GB2312" w:eastAsia="仿宋_GB2312" w:cs="仿宋_GB2312"/>
          <w:color w:val="000000" w:themeColor="text1"/>
          <w:highlight w:val="none"/>
          <w:lang w:val="en-US"/>
          <w14:textFill>
            <w14:solidFill>
              <w14:schemeClr w14:val="tx1"/>
            </w14:solidFill>
          </w14:textFill>
        </w:rPr>
        <w:t>的绿色通道。推动现代产业科技创新、技术支撑、成果转化“三位一体”的科技创新体系</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建设</w:t>
      </w:r>
      <w:r>
        <w:rPr>
          <w:rFonts w:hint="eastAsia" w:ascii="仿宋_GB2312" w:hAnsi="仿宋_GB2312" w:eastAsia="仿宋_GB2312" w:cs="仿宋_GB2312"/>
          <w:color w:val="000000" w:themeColor="text1"/>
          <w:highlight w:val="none"/>
          <w:lang w:val="en-US"/>
          <w14:textFill>
            <w14:solidFill>
              <w14:schemeClr w14:val="tx1"/>
            </w14:solidFill>
          </w14:textFill>
        </w:rPr>
        <w:t>，</w:t>
      </w:r>
      <w:r>
        <w:rPr>
          <w:rFonts w:hint="eastAsia" w:ascii="仿宋_GB2312" w:hAnsi="仿宋_GB2312" w:eastAsia="仿宋_GB2312" w:cs="仿宋_GB2312"/>
          <w:highlight w:val="none"/>
        </w:rPr>
        <w:t>支持企业与国内外重点高等</w:t>
      </w:r>
      <w:r>
        <w:rPr>
          <w:rFonts w:hint="eastAsia" w:ascii="仿宋_GB2312" w:hAnsi="仿宋_GB2312" w:eastAsia="仿宋_GB2312" w:cs="仿宋_GB2312"/>
          <w:highlight w:val="none"/>
          <w:lang w:val="en-US"/>
        </w:rPr>
        <w:t>院校、科研院所等，通过开放实验室、共性技术平台、产业技术创新联盟等多种途径共建研发机构。</w:t>
      </w:r>
    </w:p>
    <w:p>
      <w:pPr>
        <w:pStyle w:val="6"/>
        <w:pageBreakBefore w:val="0"/>
        <w:widowControl w:val="0"/>
        <w:kinsoku/>
        <w:wordWrap/>
        <w:overflowPunct/>
        <w:topLinePunct w:val="0"/>
        <w:autoSpaceDE/>
        <w:bidi w:val="0"/>
        <w:adjustRightInd/>
        <w:snapToGrid w:val="0"/>
        <w:spacing w:before="0" w:after="0" w:line="575" w:lineRule="exact"/>
        <w:ind w:left="640"/>
        <w:textAlignment w:val="auto"/>
        <w:rPr>
          <w:rFonts w:ascii="仿宋_GB2312" w:hAnsi="仿宋_GB2312" w:eastAsia="仿宋_GB2312" w:cs="仿宋_GB2312"/>
          <w:szCs w:val="32"/>
          <w:highlight w:val="none"/>
        </w:rPr>
      </w:pPr>
      <w:bookmarkStart w:id="41" w:name="_Toc29574"/>
      <w:bookmarkStart w:id="42" w:name="_Toc91188886"/>
      <w:r>
        <w:rPr>
          <w:rFonts w:hint="eastAsia" w:ascii="仿宋_GB2312" w:hAnsi="仿宋_GB2312" w:eastAsia="仿宋_GB2312" w:cs="仿宋_GB2312"/>
          <w:szCs w:val="32"/>
          <w:highlight w:val="none"/>
        </w:rPr>
        <w:t>2.创业平台</w:t>
      </w:r>
      <w:bookmarkEnd w:id="41"/>
      <w:bookmarkEnd w:id="42"/>
    </w:p>
    <w:p>
      <w:pPr>
        <w:pageBreakBefore w:val="0"/>
        <w:widowControl w:val="0"/>
        <w:kinsoku/>
        <w:wordWrap/>
        <w:overflowPunct/>
        <w:topLinePunct w:val="0"/>
        <w:autoSpaceDE/>
        <w:bidi w:val="0"/>
        <w:adjustRightInd/>
        <w:spacing w:line="575" w:lineRule="exact"/>
        <w:ind w:firstLine="640" w:firstLineChars="200"/>
        <w:textAlignment w:val="auto"/>
        <w:rPr>
          <w:rFonts w:ascii="仿宋_GB2312" w:hAnsi="仿宋_GB2312" w:eastAsia="仿宋_GB2312" w:cs="仿宋_GB2312"/>
          <w:szCs w:val="32"/>
          <w:highlight w:val="none"/>
        </w:rPr>
      </w:pPr>
      <w:r>
        <w:rPr>
          <w:rFonts w:hint="eastAsia" w:ascii="仿宋_GB2312" w:hAnsi="仿宋_GB2312" w:eastAsia="仿宋_GB2312" w:cs="仿宋_GB2312"/>
          <w:szCs w:val="32"/>
          <w:highlight w:val="none"/>
        </w:rPr>
        <w:t>建立联动协调、优势互补、利益分享等工作机制，推进鄂尔多斯和东部省市合作共建园区，促进区域协作、资源整合、集群发展、人才集聚。加大政策扶持力度，引入行业领军企业、创业投资机构、社会组织等社会力量</w:t>
      </w:r>
      <w:r>
        <w:rPr>
          <w:rFonts w:hint="eastAsia" w:ascii="仿宋_GB2312" w:hAnsi="仿宋_GB2312" w:eastAsia="仿宋_GB2312" w:cs="仿宋_GB2312"/>
          <w:szCs w:val="32"/>
          <w:highlight w:val="none"/>
          <w:lang w:eastAsia="zh-CN"/>
        </w:rPr>
        <w:t>，</w:t>
      </w:r>
      <w:r>
        <w:rPr>
          <w:rFonts w:hint="eastAsia" w:ascii="仿宋_GB2312" w:hAnsi="仿宋_GB2312" w:eastAsia="仿宋_GB2312" w:cs="仿宋_GB2312"/>
          <w:szCs w:val="32"/>
          <w:highlight w:val="none"/>
        </w:rPr>
        <w:t>推动众创服务平台建设</w:t>
      </w:r>
      <w:r>
        <w:rPr>
          <w:rFonts w:hint="eastAsia" w:ascii="仿宋_GB2312" w:hAnsi="仿宋_GB2312" w:eastAsia="仿宋_GB2312" w:cs="仿宋_GB2312"/>
          <w:szCs w:val="32"/>
          <w:highlight w:val="none"/>
          <w:lang w:eastAsia="zh-CN"/>
        </w:rPr>
        <w:t>。</w:t>
      </w:r>
      <w:r>
        <w:rPr>
          <w:rFonts w:hint="eastAsia" w:ascii="仿宋_GB2312" w:hAnsi="仿宋_GB2312" w:eastAsia="仿宋_GB2312" w:cs="仿宋_GB2312"/>
          <w:szCs w:val="32"/>
          <w:highlight w:val="none"/>
        </w:rPr>
        <w:t>积极探索新型孵化模式，推进“苗圃</w:t>
      </w:r>
      <w:r>
        <w:rPr>
          <w:rFonts w:hint="eastAsia" w:ascii="仿宋_GB2312" w:hAnsi="仿宋_GB2312" w:eastAsia="仿宋_GB2312" w:cs="仿宋_GB2312"/>
          <w:szCs w:val="32"/>
          <w:highlight w:val="none"/>
          <w:lang w:eastAsia="zh-CN"/>
        </w:rPr>
        <w:t>－</w:t>
      </w:r>
      <w:r>
        <w:rPr>
          <w:rFonts w:hint="eastAsia" w:ascii="仿宋_GB2312" w:hAnsi="仿宋_GB2312" w:eastAsia="仿宋_GB2312" w:cs="仿宋_GB2312"/>
          <w:szCs w:val="32"/>
          <w:highlight w:val="none"/>
        </w:rPr>
        <w:t>孵化器</w:t>
      </w:r>
      <w:r>
        <w:rPr>
          <w:rFonts w:hint="eastAsia" w:ascii="仿宋_GB2312" w:hAnsi="仿宋_GB2312" w:eastAsia="仿宋_GB2312" w:cs="仿宋_GB2312"/>
          <w:szCs w:val="32"/>
          <w:highlight w:val="none"/>
          <w:lang w:eastAsia="zh-CN"/>
        </w:rPr>
        <w:t>－</w:t>
      </w:r>
      <w:r>
        <w:rPr>
          <w:rFonts w:hint="eastAsia" w:ascii="仿宋_GB2312" w:hAnsi="仿宋_GB2312" w:eastAsia="仿宋_GB2312" w:cs="仿宋_GB2312"/>
          <w:szCs w:val="32"/>
          <w:highlight w:val="none"/>
        </w:rPr>
        <w:t>加速器”科技创业孵化链条建设，构建一批低成本、便利化、全要素、开放式、专业特色明显、孵化服务力强的众创空间。支持旗区、高等院校、企事业单位利用存量土地和房产新建扩建孵化器。</w:t>
      </w:r>
    </w:p>
    <w:p>
      <w:pPr>
        <w:pStyle w:val="6"/>
        <w:pageBreakBefore w:val="0"/>
        <w:widowControl w:val="0"/>
        <w:kinsoku/>
        <w:wordWrap/>
        <w:overflowPunct/>
        <w:topLinePunct w:val="0"/>
        <w:autoSpaceDE/>
        <w:bidi w:val="0"/>
        <w:adjustRightInd/>
        <w:snapToGrid w:val="0"/>
        <w:spacing w:before="0" w:after="0" w:line="575" w:lineRule="exact"/>
        <w:ind w:left="640"/>
        <w:textAlignment w:val="auto"/>
        <w:rPr>
          <w:rFonts w:ascii="仿宋_GB2312" w:hAnsi="仿宋_GB2312" w:eastAsia="仿宋_GB2312" w:cs="仿宋_GB2312"/>
          <w:szCs w:val="32"/>
          <w:highlight w:val="none"/>
        </w:rPr>
      </w:pPr>
      <w:bookmarkStart w:id="43" w:name="_Toc91188887"/>
      <w:bookmarkStart w:id="44" w:name="_Toc31310"/>
      <w:r>
        <w:rPr>
          <w:rFonts w:hint="eastAsia" w:ascii="仿宋_GB2312" w:hAnsi="仿宋_GB2312" w:eastAsia="仿宋_GB2312" w:cs="仿宋_GB2312"/>
          <w:szCs w:val="32"/>
          <w:highlight w:val="none"/>
        </w:rPr>
        <w:t>3.活动平台</w:t>
      </w:r>
      <w:bookmarkEnd w:id="43"/>
      <w:bookmarkEnd w:id="44"/>
    </w:p>
    <w:p>
      <w:pPr>
        <w:pStyle w:val="2"/>
        <w:pageBreakBefore w:val="0"/>
        <w:widowControl w:val="0"/>
        <w:kinsoku/>
        <w:wordWrap/>
        <w:overflowPunct/>
        <w:topLinePunct w:val="0"/>
        <w:autoSpaceDE/>
        <w:bidi w:val="0"/>
        <w:adjustRightInd/>
        <w:spacing w:before="0" w:line="575" w:lineRule="exact"/>
        <w:ind w:left="0" w:firstLine="640" w:firstLineChars="200"/>
        <w:textAlignment w:val="auto"/>
        <w:rPr>
          <w:rFonts w:ascii="仿宋_GB2312" w:hAnsi="仿宋_GB2312" w:eastAsia="仿宋_GB2312" w:cs="仿宋_GB2312"/>
          <w:highlight w:val="none"/>
          <w:lang w:val="en-US"/>
        </w:rPr>
      </w:pPr>
      <w:r>
        <w:rPr>
          <w:rFonts w:hint="eastAsia" w:ascii="仿宋_GB2312" w:hAnsi="仿宋_GB2312" w:eastAsia="仿宋_GB2312" w:cs="仿宋_GB2312"/>
          <w:highlight w:val="none"/>
          <w:lang w:val="en-US"/>
        </w:rPr>
        <w:t>高水平办好国际国内展会，建立引导学术机构、社会力量、行业协会、龙头企业在鄂尔多斯发起举办具有影响力的学术论坛、产业论坛，吸引海内外科学家、产业界、投资界人士参与，吸纳整合更多高端资源。积极筹办“双碳”人才高峰论坛，开展“双碳”主题创客论坛、创业沙龙、项目路演、政银企对接、产学研对接等系列活动，面向全球征集创新思想和项目，举办创新创业大赛、原创思想大赛、解决方案竞赛，不断提升以会引才、以才引才能级。加快区域人才资源开发一体化进程，营造鼓励创新、支持创业的社会氛围，继续举办好呼包鄂乌人才创新创业周主题活动，为各类人才和机构来</w:t>
      </w:r>
      <w:r>
        <w:rPr>
          <w:rFonts w:hint="eastAsia" w:ascii="仿宋_GB2312" w:hAnsi="仿宋_GB2312" w:eastAsia="仿宋_GB2312" w:cs="仿宋_GB2312"/>
          <w:highlight w:val="none"/>
          <w:lang w:val="en-US" w:eastAsia="zh-CN"/>
        </w:rPr>
        <w:t>鄂尔多斯</w:t>
      </w:r>
      <w:r>
        <w:rPr>
          <w:rFonts w:hint="eastAsia" w:ascii="仿宋_GB2312" w:hAnsi="仿宋_GB2312" w:eastAsia="仿宋_GB2312" w:cs="仿宋_GB2312"/>
          <w:highlight w:val="none"/>
          <w:lang w:val="en-US"/>
        </w:rPr>
        <w:t>发展搭建交流对接平台。</w:t>
      </w:r>
    </w:p>
    <w:p>
      <w:pPr>
        <w:pStyle w:val="6"/>
        <w:pageBreakBefore w:val="0"/>
        <w:widowControl w:val="0"/>
        <w:kinsoku/>
        <w:wordWrap/>
        <w:overflowPunct/>
        <w:topLinePunct w:val="0"/>
        <w:autoSpaceDE/>
        <w:bidi w:val="0"/>
        <w:adjustRightInd/>
        <w:snapToGrid w:val="0"/>
        <w:spacing w:before="0" w:after="0" w:line="575" w:lineRule="exact"/>
        <w:ind w:left="640"/>
        <w:textAlignment w:val="auto"/>
        <w:rPr>
          <w:rFonts w:ascii="仿宋_GB2312" w:hAnsi="仿宋_GB2312" w:eastAsia="仿宋_GB2312" w:cs="仿宋_GB2312"/>
          <w:szCs w:val="32"/>
          <w:highlight w:val="none"/>
        </w:rPr>
      </w:pPr>
      <w:bookmarkStart w:id="45" w:name="_Toc7214"/>
      <w:bookmarkStart w:id="46" w:name="_Toc91188888"/>
      <w:r>
        <w:rPr>
          <w:rFonts w:hint="eastAsia" w:ascii="仿宋_GB2312" w:hAnsi="仿宋_GB2312" w:eastAsia="仿宋_GB2312" w:cs="仿宋_GB2312"/>
          <w:szCs w:val="32"/>
          <w:highlight w:val="none"/>
        </w:rPr>
        <w:t>4.数字平台</w:t>
      </w:r>
      <w:bookmarkEnd w:id="45"/>
      <w:bookmarkEnd w:id="46"/>
    </w:p>
    <w:p>
      <w:pPr>
        <w:pStyle w:val="2"/>
        <w:pageBreakBefore w:val="0"/>
        <w:widowControl w:val="0"/>
        <w:kinsoku/>
        <w:wordWrap/>
        <w:overflowPunct/>
        <w:topLinePunct w:val="0"/>
        <w:autoSpaceDE/>
        <w:bidi w:val="0"/>
        <w:adjustRightInd/>
        <w:spacing w:before="0" w:line="575" w:lineRule="exact"/>
        <w:ind w:left="0" w:firstLine="640" w:firstLineChars="200"/>
        <w:textAlignment w:val="auto"/>
        <w:rPr>
          <w:rFonts w:hint="eastAsia" w:ascii="仿宋_GB2312" w:hAnsi="仿宋_GB2312" w:eastAsia="仿宋_GB2312" w:cs="仿宋_GB2312"/>
          <w:highlight w:val="none"/>
          <w:lang w:val="en-US"/>
        </w:rPr>
      </w:pPr>
      <w:r>
        <w:rPr>
          <w:rFonts w:hint="eastAsia" w:ascii="仿宋_GB2312" w:hAnsi="仿宋_GB2312" w:eastAsia="仿宋_GB2312" w:cs="仿宋_GB2312"/>
          <w:bCs/>
          <w:highlight w:val="none"/>
          <w:lang w:val="en-US" w:bidi="ar-SA"/>
        </w:rPr>
        <w:t>进一步加大</w:t>
      </w:r>
      <w:r>
        <w:rPr>
          <w:rFonts w:hint="eastAsia" w:ascii="仿宋_GB2312" w:hAnsi="仿宋_GB2312" w:eastAsia="仿宋_GB2312" w:cs="仿宋_GB2312"/>
          <w:bCs/>
          <w:color w:val="000000" w:themeColor="text1"/>
          <w:highlight w:val="none"/>
          <w:lang w:val="en-US" w:bidi="ar-SA"/>
          <w14:textFill>
            <w14:solidFill>
              <w14:schemeClr w14:val="tx1"/>
            </w14:solidFill>
          </w14:textFill>
        </w:rPr>
        <w:t>科技赋能人才工作水平</w:t>
      </w:r>
      <w:r>
        <w:rPr>
          <w:rFonts w:hint="eastAsia" w:ascii="仿宋_GB2312" w:hAnsi="仿宋_GB2312" w:eastAsia="仿宋_GB2312" w:cs="仿宋_GB2312"/>
          <w:bCs/>
          <w:highlight w:val="none"/>
          <w:lang w:val="en-US" w:bidi="ar-SA"/>
        </w:rPr>
        <w:t>，深化运用大数据、云计算、物联网、区块链、人工智能等数字技术，着力推进人才工作数字化转型。</w:t>
      </w:r>
      <w:r>
        <w:rPr>
          <w:rFonts w:hint="eastAsia" w:ascii="仿宋_GB2312" w:hAnsi="仿宋_GB2312" w:eastAsia="仿宋_GB2312" w:cs="仿宋_GB2312"/>
          <w:highlight w:val="none"/>
          <w:lang w:val="en-US"/>
        </w:rPr>
        <w:t>围绕人才发展“一件事”，搭建统一的数字人才综合服务平台，拓展“人才服务卡”功能，实现人才计划申报、住房安居、子女入学等服务“一码通行”。做强人才数据库，绘制人才分布地图，组织编制人才需求目录、供给清单、政策清单，完成鄂尔多斯人才需求与全国、自治区人才资源库的无缝对接，实现面向全国就业信息的精准匹配和精准投放。</w:t>
      </w:r>
      <w:bookmarkEnd w:id="38"/>
      <w:bookmarkStart w:id="47" w:name="_Toc91188895"/>
      <w:bookmarkStart w:id="48" w:name="_Toc88490284"/>
    </w:p>
    <w:p>
      <w:pPr>
        <w:pStyle w:val="2"/>
        <w:pageBreakBefore w:val="0"/>
        <w:widowControl w:val="0"/>
        <w:kinsoku/>
        <w:wordWrap/>
        <w:overflowPunct/>
        <w:topLinePunct w:val="0"/>
        <w:autoSpaceDE/>
        <w:bidi w:val="0"/>
        <w:adjustRightInd/>
        <w:spacing w:before="0" w:line="575" w:lineRule="exact"/>
        <w:ind w:left="0" w:firstLine="640" w:firstLineChars="200"/>
        <w:textAlignment w:val="auto"/>
        <w:outlineLvl w:val="0"/>
        <w:rPr>
          <w:rFonts w:ascii="黑体" w:hAnsi="黑体" w:eastAsia="黑体" w:cs="黑体"/>
          <w:bCs/>
          <w:kern w:val="44"/>
          <w:szCs w:val="32"/>
          <w:highlight w:val="none"/>
        </w:rPr>
      </w:pPr>
      <w:bookmarkStart w:id="49" w:name="_Toc4949"/>
      <w:r>
        <w:rPr>
          <w:rFonts w:hint="eastAsia" w:ascii="黑体" w:hAnsi="黑体" w:eastAsia="黑体" w:cs="黑体"/>
          <w:bCs/>
          <w:kern w:val="44"/>
          <w:szCs w:val="32"/>
          <w:highlight w:val="none"/>
          <w:lang w:val="en-US" w:eastAsia="zh-CN"/>
        </w:rPr>
        <w:t>四、</w:t>
      </w:r>
      <w:r>
        <w:rPr>
          <w:rFonts w:hint="eastAsia" w:ascii="黑体" w:hAnsi="黑体" w:eastAsia="黑体" w:cs="黑体"/>
          <w:bCs/>
          <w:kern w:val="44"/>
          <w:szCs w:val="32"/>
          <w:highlight w:val="none"/>
        </w:rPr>
        <w:t>人才体制机制创新</w:t>
      </w:r>
      <w:bookmarkEnd w:id="47"/>
      <w:bookmarkEnd w:id="48"/>
      <w:bookmarkEnd w:id="49"/>
    </w:p>
    <w:p>
      <w:pPr>
        <w:pStyle w:val="2"/>
        <w:pageBreakBefore w:val="0"/>
        <w:kinsoku/>
        <w:wordWrap/>
        <w:overflowPunct/>
        <w:topLinePunct w:val="0"/>
        <w:autoSpaceDE/>
        <w:bidi w:val="0"/>
        <w:adjustRightInd/>
        <w:spacing w:before="0" w:line="575" w:lineRule="exact"/>
        <w:ind w:left="0" w:leftChars="0" w:firstLine="640" w:firstLineChars="200"/>
        <w:textAlignment w:val="auto"/>
        <w:rPr>
          <w:rFonts w:hint="eastAsia" w:ascii="仿宋_GB2312" w:hAnsi="仿宋_GB2312" w:eastAsia="仿宋_GB2312" w:cs="仿宋_GB2312"/>
          <w:bCs/>
          <w:kern w:val="44"/>
          <w:szCs w:val="32"/>
          <w:highlight w:val="none"/>
          <w:lang w:val="en-US" w:eastAsia="zh-CN"/>
        </w:rPr>
      </w:pPr>
      <w:r>
        <w:rPr>
          <w:rFonts w:hint="eastAsia" w:ascii="仿宋_GB2312" w:hAnsi="仿宋_GB2312" w:eastAsia="仿宋_GB2312" w:cs="仿宋_GB2312"/>
          <w:bCs/>
          <w:kern w:val="44"/>
          <w:szCs w:val="32"/>
          <w:highlight w:val="none"/>
          <w:lang w:val="en-US" w:eastAsia="zh-CN"/>
        </w:rPr>
        <w:t>进一步深化人才发展体制机制改革，充分激发各类人才创新创业的主动性和积极性，按照“小切口、大纵深、强引领”的思路，聚焦难点堵点和瓶颈制约精准开展“六项创新行动”，大力破除体制机制方面的约束和桎梏，为人才充分发挥作用营造良好的政策环境。</w:t>
      </w:r>
    </w:p>
    <w:p>
      <w:pPr>
        <w:pStyle w:val="3"/>
        <w:pageBreakBefore w:val="0"/>
        <w:kinsoku/>
        <w:wordWrap/>
        <w:overflowPunct/>
        <w:topLinePunct w:val="0"/>
        <w:autoSpaceDE/>
        <w:bidi w:val="0"/>
        <w:adjustRightInd/>
        <w:spacing w:before="0" w:line="575" w:lineRule="exact"/>
        <w:jc w:val="center"/>
        <w:textAlignment w:val="auto"/>
        <w:rPr>
          <w:rFonts w:hint="eastAsia"/>
          <w:lang w:val="en-US" w:eastAsia="zh-CN"/>
        </w:rPr>
      </w:pPr>
      <w:r>
        <w:rPr>
          <w:rFonts w:hint="eastAsia" w:ascii="方正小标宋_GBK" w:hAnsi="方正小标宋_GBK" w:eastAsia="方正小标宋_GBK" w:cs="方正小标宋_GBK"/>
          <w:sz w:val="28"/>
          <w:szCs w:val="28"/>
          <w:vertAlign w:val="baseline"/>
          <w:lang w:val="en-US" w:eastAsia="zh-CN"/>
        </w:rPr>
        <w:t>专栏6   “六项创新行动”重点任务</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2" w:type="dxa"/>
            <w:vAlign w:val="top"/>
          </w:tcPr>
          <w:p>
            <w:pPr>
              <w:pStyle w:val="3"/>
              <w:keepNext w:val="0"/>
              <w:keepLines w:val="0"/>
              <w:pageBreakBefore w:val="0"/>
              <w:widowControl w:val="0"/>
              <w:kinsoku/>
              <w:wordWrap/>
              <w:overflowPunct/>
              <w:topLinePunct w:val="0"/>
              <w:autoSpaceDE/>
              <w:autoSpaceDN/>
              <w:bidi w:val="0"/>
              <w:adjustRightInd/>
              <w:snapToGrid/>
              <w:spacing w:before="0" w:line="575" w:lineRule="exact"/>
              <w:ind w:left="0" w:leftChars="0"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人才培养机制创新。聚焦产业发展“硬支撑”，紧扣产业链部署人才链，加快在新能源、新材料、装备制造、数字经济等产业领域培育一批专业型、实用型人才，形成以产聚才、以才促产的新格局。</w:t>
            </w:r>
          </w:p>
          <w:p>
            <w:pPr>
              <w:keepNext w:val="0"/>
              <w:keepLines w:val="0"/>
              <w:pageBreakBefore w:val="0"/>
              <w:widowControl w:val="0"/>
              <w:kinsoku/>
              <w:wordWrap/>
              <w:overflowPunct/>
              <w:topLinePunct w:val="0"/>
              <w:autoSpaceDE/>
              <w:autoSpaceDN/>
              <w:bidi w:val="0"/>
              <w:adjustRightInd/>
              <w:snapToGrid/>
              <w:spacing w:line="575" w:lineRule="exact"/>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人才扶持机制创新。坚持人才需求和扶持机制同频共振，强化企业创新主体地位，进一步加大政策、资金、金融、服务等方面的配套扶持，着力消除人才充分发挥作用和潜能的制约因素。</w:t>
            </w:r>
          </w:p>
          <w:p>
            <w:pPr>
              <w:pStyle w:val="2"/>
              <w:keepNext w:val="0"/>
              <w:keepLines w:val="0"/>
              <w:pageBreakBefore w:val="0"/>
              <w:widowControl w:val="0"/>
              <w:kinsoku/>
              <w:wordWrap/>
              <w:overflowPunct/>
              <w:topLinePunct w:val="0"/>
              <w:autoSpaceDE/>
              <w:autoSpaceDN/>
              <w:bidi w:val="0"/>
              <w:adjustRightInd/>
              <w:snapToGrid/>
              <w:spacing w:before="0" w:line="575" w:lineRule="exact"/>
              <w:ind w:left="0" w:leftChars="0"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人才评价机制创新。进一步向用人主体放权、为人才松绑，突出人才分类特征，完善人才分层评价体系，建立导向明确、精准科学、规范有序、竞争择优的人才分层分类评价体系。</w:t>
            </w:r>
          </w:p>
          <w:p>
            <w:pPr>
              <w:pStyle w:val="3"/>
              <w:keepNext w:val="0"/>
              <w:keepLines w:val="0"/>
              <w:pageBreakBefore w:val="0"/>
              <w:widowControl w:val="0"/>
              <w:kinsoku/>
              <w:wordWrap/>
              <w:overflowPunct/>
              <w:topLinePunct w:val="0"/>
              <w:autoSpaceDE/>
              <w:autoSpaceDN/>
              <w:bidi w:val="0"/>
              <w:adjustRightInd/>
              <w:snapToGrid/>
              <w:spacing w:before="0" w:line="575" w:lineRule="exact"/>
              <w:ind w:left="0" w:leftChars="0" w:firstLine="480" w:firstLineChars="200"/>
              <w:textAlignment w:val="auto"/>
              <w:rPr>
                <w:rFonts w:hint="eastAsia" w:ascii="仿宋_GB2312" w:hAnsi="仿宋_GB2312" w:eastAsia="仿宋_GB2312" w:cs="仿宋_GB2312"/>
                <w:kern w:val="2"/>
                <w:sz w:val="24"/>
                <w:szCs w:val="24"/>
                <w:lang w:val="en-US" w:eastAsia="zh-CN" w:bidi="zh-CN"/>
              </w:rPr>
            </w:pPr>
            <w:r>
              <w:rPr>
                <w:rFonts w:hint="eastAsia" w:ascii="仿宋_GB2312" w:hAnsi="仿宋_GB2312" w:eastAsia="仿宋_GB2312" w:cs="仿宋_GB2312"/>
                <w:kern w:val="2"/>
                <w:sz w:val="24"/>
                <w:szCs w:val="24"/>
                <w:lang w:val="en-US" w:eastAsia="zh-CN" w:bidi="zh-CN"/>
              </w:rPr>
              <w:t>人才引进机制创新。深入实施“十百千万”人才计划，立足产业转型升级，坚持需求导向，搭建引才平台，探索更加完善的柔性引才政策，吸引更多人才为我所用。</w:t>
            </w:r>
          </w:p>
          <w:p>
            <w:pPr>
              <w:keepNext w:val="0"/>
              <w:keepLines w:val="0"/>
              <w:pageBreakBefore w:val="0"/>
              <w:widowControl w:val="0"/>
              <w:kinsoku/>
              <w:wordWrap/>
              <w:overflowPunct/>
              <w:topLinePunct w:val="0"/>
              <w:autoSpaceDE/>
              <w:autoSpaceDN/>
              <w:bidi w:val="0"/>
              <w:adjustRightInd/>
              <w:snapToGrid/>
              <w:spacing w:line="575" w:lineRule="exact"/>
              <w:ind w:firstLine="480" w:firstLineChars="200"/>
              <w:textAlignment w:val="auto"/>
              <w:rPr>
                <w:rFonts w:hint="eastAsia" w:ascii="仿宋_GB2312" w:hAnsi="仿宋_GB2312" w:eastAsia="仿宋_GB2312" w:cs="仿宋_GB2312"/>
                <w:kern w:val="2"/>
                <w:sz w:val="24"/>
                <w:szCs w:val="24"/>
                <w:lang w:val="en-US" w:eastAsia="zh-CN" w:bidi="zh-CN"/>
              </w:rPr>
            </w:pPr>
            <w:r>
              <w:rPr>
                <w:rFonts w:hint="eastAsia" w:ascii="仿宋_GB2312" w:hAnsi="仿宋_GB2312" w:eastAsia="仿宋_GB2312" w:cs="仿宋_GB2312"/>
                <w:kern w:val="2"/>
                <w:sz w:val="24"/>
                <w:szCs w:val="24"/>
                <w:lang w:val="en-US" w:eastAsia="zh-CN" w:bidi="zh-CN"/>
              </w:rPr>
              <w:t>人才使用机制创新。坚持以用为本，尊重人才发展个体差异，建立以信任为基础的人才使用环境，完善和落实科研任务“揭榜挂帅”“赛马”“军令状”制度，鼓励科技领军人才挂帅出征，确保人尽其才、才尽其用、用有所成。</w:t>
            </w:r>
          </w:p>
          <w:p>
            <w:pPr>
              <w:keepNext w:val="0"/>
              <w:keepLines w:val="0"/>
              <w:pageBreakBefore w:val="0"/>
              <w:widowControl w:val="0"/>
              <w:kinsoku/>
              <w:wordWrap/>
              <w:overflowPunct/>
              <w:topLinePunct w:val="0"/>
              <w:autoSpaceDE/>
              <w:autoSpaceDN/>
              <w:bidi w:val="0"/>
              <w:adjustRightInd/>
              <w:snapToGrid/>
              <w:spacing w:line="575" w:lineRule="exact"/>
              <w:ind w:firstLine="48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2"/>
                <w:sz w:val="24"/>
                <w:szCs w:val="24"/>
                <w:lang w:val="en-US" w:eastAsia="zh-CN" w:bidi="zh-CN"/>
              </w:rPr>
              <w:t>人才合作机制创新。加强国内重点区域人才合作，继续深化与清华、北大、中科院等知名高校和科研院所的战略合作，加快引进和培育产业发展急需的各类技能型人才，推进高水平科研机构和一流创新成果转化体系建设。</w:t>
            </w:r>
          </w:p>
        </w:tc>
      </w:tr>
    </w:tbl>
    <w:p>
      <w:pPr>
        <w:pStyle w:val="2"/>
        <w:pageBreakBefore w:val="0"/>
        <w:kinsoku/>
        <w:wordWrap/>
        <w:overflowPunct/>
        <w:topLinePunct w:val="0"/>
        <w:autoSpaceDE/>
        <w:bidi w:val="0"/>
        <w:adjustRightInd/>
        <w:spacing w:before="0" w:line="575" w:lineRule="exact"/>
        <w:ind w:left="0" w:leftChars="0" w:firstLine="0" w:firstLineChars="0"/>
        <w:textAlignment w:val="auto"/>
      </w:pPr>
    </w:p>
    <w:p>
      <w:pPr>
        <w:keepNext/>
        <w:keepLines/>
        <w:pageBreakBefore w:val="0"/>
        <w:widowControl w:val="0"/>
        <w:numPr>
          <w:ilvl w:val="0"/>
          <w:numId w:val="4"/>
        </w:numPr>
        <w:kinsoku/>
        <w:wordWrap/>
        <w:overflowPunct/>
        <w:topLinePunct w:val="0"/>
        <w:autoSpaceDE/>
        <w:bidi w:val="0"/>
        <w:adjustRightInd/>
        <w:spacing w:line="575" w:lineRule="exact"/>
        <w:ind w:firstLine="640" w:firstLineChars="200"/>
        <w:jc w:val="left"/>
        <w:textAlignment w:val="auto"/>
        <w:outlineLvl w:val="1"/>
        <w:rPr>
          <w:rFonts w:ascii="楷体_GB2312" w:hAnsi="楷体_GB2312" w:eastAsia="楷体_GB2312" w:cs="楷体_GB2312"/>
          <w:bCs/>
          <w:szCs w:val="32"/>
          <w:highlight w:val="none"/>
          <w:lang w:val="zh-CN" w:bidi="zh-CN"/>
        </w:rPr>
      </w:pPr>
      <w:bookmarkStart w:id="50" w:name="_Toc91188896"/>
      <w:bookmarkStart w:id="51" w:name="_Toc22849"/>
      <w:bookmarkStart w:id="52" w:name="_Toc88490286"/>
      <w:r>
        <w:rPr>
          <w:rFonts w:hint="eastAsia" w:ascii="楷体_GB2312" w:hAnsi="楷体_GB2312" w:eastAsia="楷体_GB2312" w:cs="楷体_GB2312"/>
          <w:bCs/>
          <w:szCs w:val="32"/>
          <w:highlight w:val="none"/>
          <w:lang w:val="zh-CN" w:bidi="zh-CN"/>
        </w:rPr>
        <w:t>人才培养机制创新</w:t>
      </w:r>
      <w:bookmarkEnd w:id="50"/>
      <w:bookmarkEnd w:id="51"/>
      <w:bookmarkEnd w:id="52"/>
    </w:p>
    <w:p>
      <w:pPr>
        <w:pageBreakBefore w:val="0"/>
        <w:widowControl w:val="0"/>
        <w:kinsoku/>
        <w:wordWrap/>
        <w:overflowPunct/>
        <w:topLinePunct w:val="0"/>
        <w:autoSpaceDE/>
        <w:bidi w:val="0"/>
        <w:adjustRightInd/>
        <w:spacing w:line="575" w:lineRule="exact"/>
        <w:ind w:firstLine="643" w:firstLineChars="200"/>
        <w:textAlignment w:val="auto"/>
        <w:rPr>
          <w:rFonts w:hint="eastAsia" w:ascii="仿宋_GB2312" w:hAnsi="仿宋_GB2312" w:eastAsia="仿宋_GB2312" w:cs="仿宋_GB2312"/>
          <w:kern w:val="0"/>
          <w:szCs w:val="32"/>
          <w:highlight w:val="none"/>
          <w:lang w:eastAsia="zh-CN"/>
        </w:rPr>
      </w:pPr>
      <w:r>
        <w:rPr>
          <w:rFonts w:hint="eastAsia" w:ascii="仿宋_GB2312" w:hAnsi="仿宋_GB2312" w:eastAsia="仿宋_GB2312" w:cs="仿宋_GB2312"/>
          <w:b/>
          <w:szCs w:val="32"/>
          <w:highlight w:val="none"/>
        </w:rPr>
        <w:t>加大</w:t>
      </w:r>
      <w:r>
        <w:rPr>
          <w:rFonts w:hint="eastAsia" w:ascii="仿宋_GB2312" w:hAnsi="仿宋_GB2312" w:eastAsia="仿宋_GB2312" w:cs="仿宋_GB2312"/>
          <w:b/>
          <w:szCs w:val="32"/>
          <w:highlight w:val="none"/>
          <w:lang w:val="en-US" w:eastAsia="zh-CN"/>
        </w:rPr>
        <w:t>职</w:t>
      </w:r>
      <w:r>
        <w:rPr>
          <w:rFonts w:hint="eastAsia" w:ascii="仿宋_GB2312" w:hAnsi="仿宋_GB2312" w:eastAsia="仿宋_GB2312" w:cs="仿宋_GB2312"/>
          <w:b/>
          <w:szCs w:val="32"/>
          <w:highlight w:val="none"/>
        </w:rPr>
        <w:t>业教育。</w:t>
      </w:r>
      <w:r>
        <w:rPr>
          <w:rFonts w:hint="eastAsia" w:ascii="仿宋_GB2312" w:hAnsi="仿宋_GB2312" w:eastAsia="仿宋_GB2312" w:cs="仿宋_GB2312"/>
          <w:color w:val="auto"/>
          <w:kern w:val="0"/>
          <w:szCs w:val="32"/>
          <w:highlight w:val="none"/>
          <w:lang w:val="en-US" w:eastAsia="zh-CN"/>
        </w:rPr>
        <w:t>加强鄂尔多斯市应用型高校建设力度，推进一本三专建设，积极支持鄂尔多斯应用技术学院提升办学质量，推动内蒙古民族幼儿师范高等专科学校建设职业本科。</w:t>
      </w:r>
      <w:r>
        <w:rPr>
          <w:rFonts w:hint="eastAsia" w:ascii="仿宋_GB2312" w:hAnsi="仿宋_GB2312" w:eastAsia="仿宋_GB2312" w:cs="仿宋_GB2312"/>
          <w:color w:val="auto"/>
          <w:kern w:val="0"/>
          <w:szCs w:val="32"/>
          <w:highlight w:val="none"/>
        </w:rPr>
        <w:t>引导高校聚焦我市重点发展的新产业新业态和社会事业发展需求，加快建立与我市经济社会发展相适应的现代职业教育体系</w:t>
      </w:r>
      <w:r>
        <w:rPr>
          <w:rFonts w:hint="eastAsia" w:ascii="仿宋_GB2312" w:hAnsi="仿宋_GB2312" w:eastAsia="仿宋_GB2312" w:cs="仿宋_GB2312"/>
          <w:color w:val="auto"/>
          <w:kern w:val="0"/>
          <w:szCs w:val="32"/>
          <w:highlight w:val="none"/>
          <w:lang w:eastAsia="zh-CN"/>
        </w:rPr>
        <w:t>。</w:t>
      </w:r>
      <w:r>
        <w:rPr>
          <w:rFonts w:hint="eastAsia" w:ascii="仿宋_GB2312" w:hAnsi="仿宋_GB2312" w:eastAsia="仿宋_GB2312" w:cs="仿宋_GB2312"/>
          <w:color w:val="auto"/>
          <w:kern w:val="0"/>
          <w:szCs w:val="32"/>
          <w:highlight w:val="none"/>
          <w:lang w:val="en-US" w:eastAsia="zh-CN"/>
        </w:rPr>
        <w:t>全面推进产教融合试点建设，加强厅地、校地、校际合作，优化专业设置，扩大招生规模，打造职业教育强市。</w:t>
      </w:r>
      <w:r>
        <w:rPr>
          <w:rFonts w:hint="eastAsia" w:ascii="仿宋_GB2312" w:hAnsi="仿宋_GB2312" w:eastAsia="仿宋_GB2312" w:cs="仿宋_GB2312"/>
          <w:color w:val="auto"/>
          <w:kern w:val="0"/>
          <w:szCs w:val="32"/>
          <w:highlight w:val="none"/>
        </w:rPr>
        <w:t>深化教育教学改革，完善人才培养体系，推进新工科、新文科、新医</w:t>
      </w:r>
      <w:r>
        <w:rPr>
          <w:rFonts w:hint="eastAsia" w:ascii="仿宋_GB2312" w:hAnsi="仿宋_GB2312" w:eastAsia="仿宋_GB2312" w:cs="仿宋_GB2312"/>
          <w:kern w:val="0"/>
          <w:szCs w:val="32"/>
          <w:highlight w:val="none"/>
        </w:rPr>
        <w:t>疗、新农科教育，形成紧密对接区域产业链、创新链的特色学科专业</w:t>
      </w:r>
      <w:r>
        <w:rPr>
          <w:rFonts w:hint="eastAsia" w:ascii="仿宋_GB2312" w:hAnsi="仿宋_GB2312" w:eastAsia="仿宋_GB2312" w:cs="仿宋_GB2312"/>
          <w:kern w:val="0"/>
          <w:szCs w:val="32"/>
          <w:highlight w:val="none"/>
          <w:lang w:eastAsia="zh-CN"/>
        </w:rPr>
        <w:t>。</w:t>
      </w:r>
      <w:r>
        <w:rPr>
          <w:rFonts w:hint="eastAsia" w:ascii="仿宋_GB2312" w:hAnsi="仿宋_GB2312" w:eastAsia="仿宋_GB2312" w:cs="仿宋_GB2312"/>
          <w:kern w:val="0"/>
          <w:szCs w:val="32"/>
          <w:highlight w:val="none"/>
          <w:lang w:val="en-US" w:eastAsia="zh-CN"/>
        </w:rPr>
        <w:t>大力推进企业新型学徒制，加强行业、企业与学校的深度合作，开展订单培养、委托培养，</w:t>
      </w:r>
      <w:r>
        <w:rPr>
          <w:rFonts w:hint="eastAsia" w:ascii="仿宋_GB2312" w:hAnsi="仿宋_GB2312" w:eastAsia="仿宋_GB2312" w:cs="仿宋_GB2312"/>
          <w:kern w:val="0"/>
          <w:szCs w:val="32"/>
          <w:highlight w:val="none"/>
        </w:rPr>
        <w:t>为建设现代化鄂尔多斯提供有力人才和技能支撑。支持高校新增硕士学位授权点，培养生产服务一线紧缺的高素质应用技术人才。</w:t>
      </w:r>
      <w:r>
        <w:rPr>
          <w:rFonts w:hint="eastAsia" w:ascii="仿宋_GB2312" w:hAnsi="仿宋_GB2312" w:eastAsia="仿宋_GB2312" w:cs="仿宋_GB2312"/>
          <w:kern w:val="0"/>
          <w:szCs w:val="32"/>
          <w:highlight w:val="none"/>
          <w:lang w:val="en-US" w:eastAsia="zh-CN"/>
        </w:rPr>
        <w:t>鼓励</w:t>
      </w:r>
      <w:r>
        <w:rPr>
          <w:rFonts w:hint="eastAsia" w:ascii="仿宋_GB2312" w:hAnsi="仿宋_GB2312" w:eastAsia="仿宋_GB2312" w:cs="仿宋_GB2312"/>
          <w:kern w:val="0"/>
          <w:szCs w:val="32"/>
          <w:highlight w:val="none"/>
        </w:rPr>
        <w:t>企</w:t>
      </w:r>
      <w:r>
        <w:rPr>
          <w:rFonts w:hint="eastAsia" w:ascii="仿宋_GB2312" w:hAnsi="仿宋_GB2312" w:eastAsia="仿宋_GB2312" w:cs="仿宋_GB2312"/>
          <w:kern w:val="0"/>
          <w:szCs w:val="32"/>
          <w:highlight w:val="none"/>
          <w:lang w:val="en-US" w:eastAsia="zh-CN"/>
        </w:rPr>
        <w:t>事</w:t>
      </w:r>
      <w:r>
        <w:rPr>
          <w:rFonts w:hint="eastAsia" w:ascii="仿宋_GB2312" w:hAnsi="仿宋_GB2312" w:eastAsia="仿宋_GB2312" w:cs="仿宋_GB2312"/>
          <w:kern w:val="0"/>
          <w:szCs w:val="32"/>
          <w:highlight w:val="none"/>
        </w:rPr>
        <w:t>业单位设立研究生联合培养基地、博士后科研工作站及创新实践基地，建立企业大学、创新学院、重点产业人才实践实训基地。</w:t>
      </w:r>
      <w:r>
        <w:rPr>
          <w:rFonts w:hint="eastAsia" w:ascii="仿宋_GB2312" w:hAnsi="仿宋_GB2312" w:eastAsia="仿宋_GB2312" w:cs="仿宋_GB2312"/>
          <w:kern w:val="0"/>
          <w:szCs w:val="32"/>
          <w:highlight w:val="none"/>
          <w:lang w:val="en-US" w:eastAsia="zh-CN"/>
        </w:rPr>
        <w:t>创建</w:t>
      </w:r>
      <w:r>
        <w:rPr>
          <w:rFonts w:hint="eastAsia" w:ascii="仿宋_GB2312" w:hAnsi="仿宋_GB2312" w:eastAsia="仿宋_GB2312" w:cs="仿宋_GB2312"/>
          <w:kern w:val="0"/>
          <w:szCs w:val="32"/>
          <w:highlight w:val="none"/>
        </w:rPr>
        <w:t>具有鄂尔多斯特色的职业教育和培训体系，推进产教深度融合，</w:t>
      </w:r>
      <w:r>
        <w:rPr>
          <w:rFonts w:hint="eastAsia" w:ascii="仿宋_GB2312" w:hAnsi="仿宋_GB2312" w:eastAsia="仿宋_GB2312" w:cs="仿宋_GB2312"/>
          <w:kern w:val="0"/>
          <w:szCs w:val="32"/>
          <w:highlight w:val="none"/>
          <w:lang w:val="en-US" w:eastAsia="zh-CN"/>
        </w:rPr>
        <w:t>优化技工院校专业设置和布局，重点打造与产业转型升级、未来产业发展相适应的学科。</w:t>
      </w:r>
    </w:p>
    <w:p>
      <w:pPr>
        <w:pageBreakBefore w:val="0"/>
        <w:widowControl w:val="0"/>
        <w:kinsoku/>
        <w:wordWrap/>
        <w:overflowPunct/>
        <w:topLinePunct w:val="0"/>
        <w:autoSpaceDE/>
        <w:bidi w:val="0"/>
        <w:adjustRightInd/>
        <w:spacing w:line="575" w:lineRule="exact"/>
        <w:ind w:firstLine="643" w:firstLineChars="200"/>
        <w:textAlignment w:val="auto"/>
        <w:rPr>
          <w:rFonts w:hint="eastAsia" w:ascii="仿宋_GB2312" w:hAnsi="仿宋_GB2312" w:eastAsia="仿宋_GB2312" w:cs="仿宋_GB2312"/>
          <w:szCs w:val="32"/>
          <w:highlight w:val="none"/>
        </w:rPr>
      </w:pPr>
      <w:r>
        <w:rPr>
          <w:rFonts w:hint="eastAsia" w:ascii="仿宋_GB2312" w:hAnsi="仿宋_GB2312" w:eastAsia="仿宋_GB2312" w:cs="仿宋_GB2312"/>
          <w:b/>
          <w:szCs w:val="32"/>
          <w:highlight w:val="none"/>
        </w:rPr>
        <w:t>强化产业人才培养。</w:t>
      </w:r>
      <w:r>
        <w:rPr>
          <w:rFonts w:hint="eastAsia" w:ascii="仿宋_GB2312" w:hAnsi="仿宋_GB2312" w:eastAsia="仿宋_GB2312" w:cs="仿宋_GB2312"/>
          <w:szCs w:val="32"/>
          <w:highlight w:val="none"/>
          <w:lang w:val="en-US" w:eastAsia="zh-CN"/>
        </w:rPr>
        <w:t>统筹产业发展和人才培养开发规划，</w:t>
      </w:r>
      <w:r>
        <w:rPr>
          <w:rFonts w:hint="eastAsia" w:ascii="仿宋_GB2312" w:hAnsi="仿宋_GB2312" w:eastAsia="仿宋_GB2312" w:cs="仿宋_GB2312"/>
          <w:szCs w:val="32"/>
          <w:highlight w:val="none"/>
        </w:rPr>
        <w:t>加强鄂尔多斯产业人才需求预测，制定人才能力标准框架，</w:t>
      </w:r>
      <w:r>
        <w:rPr>
          <w:rFonts w:hint="eastAsia" w:ascii="仿宋_GB2312" w:hAnsi="仿宋_GB2312" w:eastAsia="仿宋_GB2312" w:cs="仿宋_GB2312"/>
          <w:szCs w:val="32"/>
          <w:highlight w:val="none"/>
          <w:lang w:val="en-US" w:eastAsia="zh-CN"/>
        </w:rPr>
        <w:t>精准培育重点行业、重要领域、战略性新兴产业人才。</w:t>
      </w:r>
      <w:r>
        <w:rPr>
          <w:rFonts w:hint="eastAsia" w:ascii="仿宋_GB2312" w:hAnsi="仿宋_GB2312" w:eastAsia="仿宋_GB2312" w:cs="仿宋_GB2312"/>
          <w:szCs w:val="32"/>
          <w:highlight w:val="none"/>
        </w:rPr>
        <w:t>建立以创新创业为导向，注重产学研用协同，突出“全球视野、卓越本领、创造活力、实践能力”的育人模式。加大鄂尔多斯技师学院和鄂尔多斯工业技师学院建设力度</w:t>
      </w:r>
      <w:r>
        <w:rPr>
          <w:rFonts w:hint="eastAsia" w:ascii="仿宋_GB2312" w:hAnsi="仿宋_GB2312" w:eastAsia="仿宋_GB2312" w:cs="仿宋_GB2312"/>
          <w:szCs w:val="32"/>
          <w:highlight w:val="none"/>
          <w:lang w:eastAsia="zh-CN"/>
        </w:rPr>
        <w:t>，</w:t>
      </w:r>
      <w:r>
        <w:rPr>
          <w:rFonts w:hint="eastAsia" w:ascii="仿宋_GB2312" w:hAnsi="仿宋_GB2312" w:eastAsia="仿宋_GB2312" w:cs="仿宋_GB2312"/>
          <w:szCs w:val="32"/>
          <w:highlight w:val="none"/>
          <w:lang w:val="en-US" w:eastAsia="zh-CN"/>
        </w:rPr>
        <w:t>经费投入、教师职称评审、岗位设置结构比例等比照市内职业高校水平执行，为进一步扩大校企合作、校校合作、开展跨地区和国际交流合作创造条件。</w:t>
      </w:r>
      <w:r>
        <w:rPr>
          <w:rFonts w:hint="eastAsia" w:ascii="仿宋_GB2312" w:hAnsi="仿宋_GB2312" w:eastAsia="仿宋_GB2312" w:cs="仿宋_GB2312"/>
          <w:szCs w:val="32"/>
          <w:highlight w:val="none"/>
        </w:rPr>
        <w:t>按照中国特色学徒制要求，推广“双元制”职业教育模式，强化应用导向、技术技能训练、职业素质养成的学科设置、专业建设，鼓励龙头企业、园区、载体共建共管现代产业学院、技师学院、高技能人才培养基地。鼓励科技型中小企业与高等院校、特色职业院校建立定向、订单式人才培养机制。</w:t>
      </w:r>
      <w:r>
        <w:rPr>
          <w:rFonts w:hint="eastAsia" w:ascii="仿宋_GB2312" w:hAnsi="仿宋_GB2312" w:eastAsia="仿宋_GB2312" w:cs="仿宋_GB2312"/>
          <w:szCs w:val="32"/>
          <w:highlight w:val="none"/>
          <w:lang w:val="en-US" w:eastAsia="zh-CN"/>
        </w:rPr>
        <w:t>深化产教融合试点，探索“技术高管”“产业教授”制度，联合培养复合型产业人才。</w:t>
      </w:r>
      <w:r>
        <w:rPr>
          <w:rFonts w:hint="eastAsia" w:ascii="仿宋_GB2312" w:hAnsi="仿宋_GB2312" w:eastAsia="仿宋_GB2312" w:cs="仿宋_GB2312"/>
          <w:szCs w:val="32"/>
          <w:highlight w:val="none"/>
        </w:rPr>
        <w:t>支持产业链龙头企业组建新型创新联合体，鼓励产业链“链主”企业整合高端人才资源实施技术</w:t>
      </w:r>
      <w:r>
        <w:rPr>
          <w:rFonts w:hint="eastAsia" w:ascii="仿宋_GB2312" w:hAnsi="仿宋_GB2312" w:eastAsia="仿宋_GB2312" w:cs="仿宋_GB2312"/>
          <w:szCs w:val="32"/>
          <w:highlight w:val="none"/>
          <w:lang w:eastAsia="zh-CN"/>
        </w:rPr>
        <w:t>攻关</w:t>
      </w:r>
      <w:r>
        <w:rPr>
          <w:rFonts w:hint="eastAsia" w:ascii="仿宋_GB2312" w:hAnsi="仿宋_GB2312" w:eastAsia="仿宋_GB2312" w:cs="仿宋_GB2312"/>
          <w:szCs w:val="32"/>
          <w:highlight w:val="none"/>
        </w:rPr>
        <w:t>，引导激励企业加大人才培养投入，开展重点领域卓越工程师培育。</w:t>
      </w:r>
    </w:p>
    <w:p>
      <w:pPr>
        <w:pageBreakBefore w:val="0"/>
        <w:widowControl w:val="0"/>
        <w:kinsoku/>
        <w:wordWrap/>
        <w:overflowPunct/>
        <w:topLinePunct w:val="0"/>
        <w:autoSpaceDE/>
        <w:bidi w:val="0"/>
        <w:adjustRightInd/>
        <w:spacing w:line="575" w:lineRule="exact"/>
        <w:ind w:firstLine="643" w:firstLineChars="200"/>
        <w:textAlignment w:val="auto"/>
        <w:rPr>
          <w:rFonts w:ascii="仿宋_GB2312" w:hAnsi="仿宋_GB2312" w:eastAsia="仿宋_GB2312" w:cs="仿宋_GB2312"/>
          <w:szCs w:val="32"/>
          <w:highlight w:val="none"/>
        </w:rPr>
      </w:pPr>
      <w:r>
        <w:rPr>
          <w:rFonts w:hint="eastAsia" w:ascii="仿宋_GB2312" w:hAnsi="仿宋_GB2312" w:eastAsia="仿宋_GB2312" w:cs="仿宋_GB2312"/>
          <w:b/>
          <w:szCs w:val="32"/>
          <w:highlight w:val="none"/>
        </w:rPr>
        <w:t>加大交流培养</w:t>
      </w:r>
      <w:r>
        <w:rPr>
          <w:rFonts w:hint="eastAsia" w:ascii="仿宋_GB2312" w:hAnsi="仿宋_GB2312" w:eastAsia="仿宋_GB2312" w:cs="仿宋_GB2312"/>
          <w:szCs w:val="32"/>
          <w:highlight w:val="none"/>
        </w:rPr>
        <w:t>。加强与清华大学、北京大学、中国科学院、中国工程院等高等院校和科研院所的战略合作，充分发挥各自优势，在科学研究、成果转化、产业创新、平台建设、人才引育、战略咨询、联合攻关、合作申报课题等领域开展深层次、全方位、多领域长效合作，积极探索产学研用结合与科技成果转化新模式。大力支持引进和培育职业院校人才，通过加强和全国一流院校，自治区、呼包鄂及晋陕蒙宁等周边地区各高校合作交流，提升办学水平，推动形成紧扣产业、凸显特色、差异化发展的人才培育体系。支持企业创新创业人才到高等院校、科研院所兼职教学和科学研究，支持科技企业聘请高校院所教师、科研人员担任科技顾问。鼓励高等院校、科研院所聘任企业、行业高层次人才担任兼职导师或指导教师。推动创新载体以合作研究、开放课题、学术交流、委托试验、人才培训等多种形式开展良性互动，加大面向社会的开放力度，实现资源共享。积极引入优质教育培训资源，定期举办人才专题高级研修班，着力培养高水平人才。</w:t>
      </w:r>
    </w:p>
    <w:p>
      <w:pPr>
        <w:keepNext/>
        <w:keepLines/>
        <w:pageBreakBefore w:val="0"/>
        <w:widowControl w:val="0"/>
        <w:numPr>
          <w:ilvl w:val="0"/>
          <w:numId w:val="4"/>
        </w:numPr>
        <w:kinsoku/>
        <w:wordWrap/>
        <w:overflowPunct/>
        <w:topLinePunct w:val="0"/>
        <w:autoSpaceDE/>
        <w:bidi w:val="0"/>
        <w:adjustRightInd/>
        <w:spacing w:line="575" w:lineRule="exact"/>
        <w:ind w:firstLine="640" w:firstLineChars="200"/>
        <w:jc w:val="left"/>
        <w:textAlignment w:val="auto"/>
        <w:outlineLvl w:val="1"/>
        <w:rPr>
          <w:rFonts w:ascii="楷体_GB2312" w:hAnsi="楷体_GB2312" w:eastAsia="楷体_GB2312" w:cs="楷体_GB2312"/>
          <w:bCs/>
          <w:szCs w:val="32"/>
          <w:highlight w:val="none"/>
          <w:lang w:val="zh-CN" w:bidi="zh-CN"/>
        </w:rPr>
      </w:pPr>
      <w:bookmarkStart w:id="53" w:name="_Toc69"/>
      <w:r>
        <w:rPr>
          <w:rFonts w:hint="eastAsia" w:ascii="楷体_GB2312" w:hAnsi="楷体_GB2312" w:eastAsia="楷体_GB2312" w:cs="楷体_GB2312"/>
          <w:bCs/>
          <w:szCs w:val="32"/>
          <w:highlight w:val="none"/>
          <w:lang w:bidi="zh-CN"/>
        </w:rPr>
        <w:t>人才扶持机制创新</w:t>
      </w:r>
      <w:bookmarkEnd w:id="53"/>
    </w:p>
    <w:p>
      <w:pPr>
        <w:pageBreakBefore w:val="0"/>
        <w:widowControl w:val="0"/>
        <w:kinsoku/>
        <w:wordWrap/>
        <w:overflowPunct/>
        <w:topLinePunct w:val="0"/>
        <w:autoSpaceDE/>
        <w:bidi w:val="0"/>
        <w:adjustRightInd/>
        <w:spacing w:line="575" w:lineRule="exact"/>
        <w:ind w:firstLine="643" w:firstLineChars="200"/>
        <w:textAlignment w:val="auto"/>
        <w:rPr>
          <w:rFonts w:hint="eastAsia"/>
          <w:highlight w:val="none"/>
          <w:lang w:val="en-US" w:eastAsia="zh-CN"/>
        </w:rPr>
      </w:pPr>
      <w:r>
        <w:rPr>
          <w:rFonts w:hint="eastAsia" w:ascii="仿宋_GB2312" w:hAnsi="仿宋_GB2312" w:eastAsia="仿宋_GB2312" w:cs="仿宋_GB2312"/>
          <w:b/>
          <w:szCs w:val="32"/>
          <w:highlight w:val="none"/>
        </w:rPr>
        <w:t>项目支持。</w:t>
      </w:r>
      <w:r>
        <w:rPr>
          <w:rFonts w:hint="eastAsia" w:ascii="仿宋_GB2312" w:hAnsi="仿宋_GB2312" w:eastAsia="仿宋_GB2312" w:cs="仿宋_GB2312"/>
          <w:kern w:val="2"/>
          <w:sz w:val="32"/>
          <w:szCs w:val="32"/>
          <w:highlight w:val="none"/>
          <w:lang w:val="en-US" w:eastAsia="zh-CN" w:bidi="ar-SA"/>
        </w:rPr>
        <w:t>进一步强化企业的创新主体地位，完善配套项目资助机制，多措并举，提高企业自主创新能力，为构建新发展格局奠定坚实基础。最大限度激发人才创新创业活力，建立健全创新创业人才项目支持机制，围绕重点领域、重点产业、重点行业发展需求，引进和扶持一批双创人才团队和项目。对高成长潜力“独角兽”“隐形冠军”企业和项目，依法依规优先提供办公场所优惠、用地支持，加大对成长型企业的品牌展示、自主创新产品首台/套应用支持力度。</w:t>
      </w:r>
    </w:p>
    <w:p>
      <w:pPr>
        <w:pageBreakBefore w:val="0"/>
        <w:widowControl w:val="0"/>
        <w:kinsoku/>
        <w:wordWrap/>
        <w:overflowPunct/>
        <w:topLinePunct w:val="0"/>
        <w:autoSpaceDE/>
        <w:bidi w:val="0"/>
        <w:adjustRightInd/>
        <w:spacing w:line="575" w:lineRule="exact"/>
        <w:ind w:firstLine="643" w:firstLineChars="200"/>
        <w:textAlignment w:val="auto"/>
        <w:rPr>
          <w:rFonts w:hint="eastAsia" w:ascii="仿宋_GB2312" w:hAnsi="仿宋_GB2312" w:eastAsia="仿宋_GB2312" w:cs="仿宋_GB2312"/>
          <w:szCs w:val="32"/>
          <w:highlight w:val="none"/>
        </w:rPr>
      </w:pPr>
      <w:r>
        <w:rPr>
          <w:rFonts w:hint="eastAsia" w:ascii="仿宋_GB2312" w:hAnsi="仿宋_GB2312" w:eastAsia="仿宋_GB2312" w:cs="仿宋_GB2312"/>
          <w:b/>
          <w:szCs w:val="32"/>
          <w:highlight w:val="none"/>
        </w:rPr>
        <w:t>资金支持。</w:t>
      </w:r>
      <w:r>
        <w:rPr>
          <w:rFonts w:hint="eastAsia" w:ascii="仿宋_GB2312" w:hAnsi="仿宋_GB2312" w:eastAsia="仿宋_GB2312" w:cs="仿宋_GB2312"/>
          <w:szCs w:val="32"/>
          <w:highlight w:val="none"/>
        </w:rPr>
        <w:t>在市级人才资金中，设立鄂尔多斯人才创新创业人才团队支持专项，对经遴选的创新创业项目和人才团队给予一次性开办费补贴、初创期房租补贴、社会保险费补贴等一系列扶持政策。资助鄂尔多斯创新创业人才团队围绕重点领域、产业与国内外知名企业、高校、研究机构开展实质性合作，联合进行新技术、新产品研发、转化、技术引进创新。支持人才申报国家、自治区、市级创新项目，按所申报项目给予配套经费支持。开发“创新创业券”，引导鄂尔多斯各类创新平台、创新资源支持人才凭券购买服务、利用研发设施、开展研发活动和科技创新。支持社会领域创业，有计划安排政府购买社会事业类服务项目。</w:t>
      </w:r>
    </w:p>
    <w:p>
      <w:pPr>
        <w:pageBreakBefore w:val="0"/>
        <w:widowControl w:val="0"/>
        <w:kinsoku/>
        <w:wordWrap/>
        <w:overflowPunct/>
        <w:topLinePunct w:val="0"/>
        <w:autoSpaceDE/>
        <w:bidi w:val="0"/>
        <w:adjustRightInd/>
        <w:spacing w:line="575" w:lineRule="exact"/>
        <w:ind w:firstLine="643" w:firstLineChars="200"/>
        <w:textAlignment w:val="auto"/>
        <w:rPr>
          <w:rFonts w:ascii="仿宋_GB2312" w:hAnsi="仿宋_GB2312" w:eastAsia="仿宋_GB2312" w:cs="仿宋_GB2312"/>
          <w:szCs w:val="32"/>
          <w:highlight w:val="none"/>
        </w:rPr>
      </w:pPr>
      <w:r>
        <w:rPr>
          <w:rFonts w:hint="eastAsia" w:ascii="仿宋_GB2312" w:hAnsi="仿宋_GB2312" w:eastAsia="仿宋_GB2312" w:cs="仿宋_GB2312"/>
          <w:b/>
          <w:szCs w:val="32"/>
          <w:highlight w:val="none"/>
        </w:rPr>
        <w:t>金融支持</w:t>
      </w:r>
      <w:r>
        <w:rPr>
          <w:rFonts w:hint="eastAsia" w:ascii="仿宋_GB2312" w:hAnsi="仿宋_GB2312" w:eastAsia="仿宋_GB2312" w:cs="仿宋_GB2312"/>
          <w:szCs w:val="32"/>
          <w:highlight w:val="none"/>
        </w:rPr>
        <w:t>。建立人才创业项目和金融资本对接机制，设立人才创新成果投资目录，支持和引导鄂尔多斯金融机构加大金融服务创新力度，实施“人才投”“人才贷”“人才保”“人才险”项目。发挥国有投资公司主体作用，引导天使投资向鄂尔多斯集聚，鼓励民间资本、海外资本在鄂尔多斯组建法人金融机构，支持科技银行、科技投资银行、银行全资股权投资企业、区域小微证券公司等落户。</w:t>
      </w:r>
    </w:p>
    <w:p>
      <w:pPr>
        <w:pStyle w:val="2"/>
        <w:pageBreakBefore w:val="0"/>
        <w:widowControl w:val="0"/>
        <w:kinsoku/>
        <w:wordWrap/>
        <w:overflowPunct/>
        <w:topLinePunct w:val="0"/>
        <w:autoSpaceDE/>
        <w:bidi w:val="0"/>
        <w:adjustRightInd/>
        <w:spacing w:before="0" w:line="575" w:lineRule="exact"/>
        <w:ind w:left="0" w:firstLine="643" w:firstLineChars="200"/>
        <w:textAlignment w:val="auto"/>
        <w:rPr>
          <w:rFonts w:ascii="仿宋_GB2312" w:hAnsi="仿宋_GB2312" w:eastAsia="仿宋_GB2312" w:cs="仿宋_GB2312"/>
          <w:highlight w:val="none"/>
        </w:rPr>
      </w:pPr>
      <w:r>
        <w:rPr>
          <w:rFonts w:hint="eastAsia" w:ascii="仿宋_GB2312" w:hAnsi="仿宋_GB2312" w:eastAsia="仿宋_GB2312" w:cs="仿宋_GB2312"/>
          <w:b/>
          <w:highlight w:val="none"/>
          <w:lang w:val="en-US"/>
        </w:rPr>
        <w:t>政策支持</w:t>
      </w:r>
      <w:r>
        <w:rPr>
          <w:rFonts w:hint="eastAsia" w:ascii="仿宋_GB2312" w:hAnsi="仿宋_GB2312" w:eastAsia="仿宋_GB2312" w:cs="仿宋_GB2312"/>
          <w:highlight w:val="none"/>
          <w:lang w:val="en-US"/>
        </w:rPr>
        <w:t>。积极落实研发费用加计扣除、高新技术企业所得税优惠、固定资产加速折旧、股权激励和分红、技术服务和转让税收优惠等激励政策</w:t>
      </w:r>
      <w:r>
        <w:rPr>
          <w:rFonts w:hint="eastAsia" w:ascii="仿宋_GB2312" w:hAnsi="仿宋_GB2312" w:eastAsia="仿宋_GB2312" w:cs="仿宋_GB2312"/>
          <w:highlight w:val="none"/>
          <w:lang w:val="en-US" w:eastAsia="zh-CN"/>
        </w:rPr>
        <w:t>。</w:t>
      </w:r>
      <w:r>
        <w:rPr>
          <w:rFonts w:hint="eastAsia" w:ascii="仿宋_GB2312" w:hAnsi="仿宋_GB2312" w:eastAsia="仿宋_GB2312" w:cs="仿宋_GB2312"/>
          <w:highlight w:val="none"/>
          <w:lang w:val="en-US"/>
        </w:rPr>
        <w:t>进一步建立健全以政府奖励为导向、用人单位和社会力量奖励为主体的人才奖励体系，加大对作出突出贡献领军人才、高层次人才、紧缺急需人才实施政府财税奖励。建立健全瞪羚企业培育库，实施新兴领域高成长性企业人才助跑方案，加大高新技术企业、高企入库培育企业、独角兽和瞪羚企业培育。</w:t>
      </w:r>
    </w:p>
    <w:p>
      <w:pPr>
        <w:pageBreakBefore w:val="0"/>
        <w:widowControl w:val="0"/>
        <w:kinsoku/>
        <w:wordWrap/>
        <w:overflowPunct/>
        <w:topLinePunct w:val="0"/>
        <w:autoSpaceDE/>
        <w:bidi w:val="0"/>
        <w:adjustRightInd/>
        <w:spacing w:line="575" w:lineRule="exact"/>
        <w:ind w:firstLine="643" w:firstLineChars="200"/>
        <w:textAlignment w:val="auto"/>
        <w:rPr>
          <w:rFonts w:ascii="仿宋_GB2312" w:hAnsi="仿宋_GB2312" w:eastAsia="仿宋_GB2312" w:cs="仿宋_GB2312"/>
          <w:szCs w:val="32"/>
          <w:highlight w:val="none"/>
        </w:rPr>
      </w:pPr>
      <w:r>
        <w:rPr>
          <w:rFonts w:hint="eastAsia" w:ascii="仿宋_GB2312" w:hAnsi="仿宋_GB2312" w:eastAsia="仿宋_GB2312" w:cs="仿宋_GB2312"/>
          <w:b/>
          <w:szCs w:val="32"/>
          <w:highlight w:val="none"/>
        </w:rPr>
        <w:t>服务支持</w:t>
      </w:r>
      <w:r>
        <w:rPr>
          <w:rFonts w:hint="eastAsia" w:ascii="仿宋_GB2312" w:hAnsi="仿宋_GB2312" w:eastAsia="仿宋_GB2312" w:cs="仿宋_GB2312"/>
          <w:szCs w:val="32"/>
          <w:highlight w:val="none"/>
        </w:rPr>
        <w:t>。健全创投机构与人才创新项目对接机制，</w:t>
      </w:r>
      <w:r>
        <w:rPr>
          <w:rFonts w:hint="eastAsia" w:ascii="仿宋_GB2312" w:hAnsi="仿宋_GB2312" w:eastAsia="仿宋_GB2312" w:cs="仿宋_GB2312"/>
          <w:kern w:val="0"/>
          <w:szCs w:val="32"/>
          <w:highlight w:val="none"/>
        </w:rPr>
        <w:t>推进</w:t>
      </w:r>
      <w:r>
        <w:rPr>
          <w:rFonts w:hint="eastAsia" w:ascii="仿宋_GB2312" w:hAnsi="仿宋_GB2312" w:eastAsia="仿宋_GB2312" w:cs="仿宋_GB2312"/>
          <w:szCs w:val="32"/>
          <w:highlight w:val="none"/>
        </w:rPr>
        <w:t>合伙人计划，通过链接优质资源、畅通对接渠道、优化服务供给，组织、引导和吸纳国内外优秀头部服务机构来鄂尔多斯，为人才提供全生命周期、全业务链条的服务。成立创业者联盟，推动创业者分享经验、技术、资源和资金，帮助创业者健康发展。大力发展企业管理、财务咨询、市场营销、法律顾问、现代物流等第三方专业化服务，不断丰富和完善创业服务体系。</w:t>
      </w:r>
    </w:p>
    <w:p>
      <w:pPr>
        <w:keepNext/>
        <w:keepLines/>
        <w:pageBreakBefore w:val="0"/>
        <w:widowControl w:val="0"/>
        <w:numPr>
          <w:ilvl w:val="0"/>
          <w:numId w:val="4"/>
        </w:numPr>
        <w:kinsoku/>
        <w:wordWrap/>
        <w:overflowPunct/>
        <w:topLinePunct w:val="0"/>
        <w:autoSpaceDE/>
        <w:bidi w:val="0"/>
        <w:adjustRightInd/>
        <w:spacing w:line="575" w:lineRule="exact"/>
        <w:ind w:firstLine="640" w:firstLineChars="200"/>
        <w:jc w:val="left"/>
        <w:textAlignment w:val="auto"/>
        <w:outlineLvl w:val="1"/>
        <w:rPr>
          <w:rFonts w:ascii="楷体_GB2312" w:hAnsi="楷体_GB2312" w:eastAsia="楷体_GB2312" w:cs="楷体_GB2312"/>
          <w:bCs/>
          <w:szCs w:val="32"/>
          <w:highlight w:val="none"/>
          <w:lang w:val="zh-CN" w:bidi="zh-CN"/>
        </w:rPr>
      </w:pPr>
      <w:bookmarkStart w:id="54" w:name="_Toc91188898"/>
      <w:bookmarkStart w:id="55" w:name="_Toc88490288"/>
      <w:bookmarkStart w:id="56" w:name="_Toc28683"/>
      <w:r>
        <w:rPr>
          <w:rFonts w:hint="eastAsia" w:ascii="楷体_GB2312" w:hAnsi="楷体_GB2312" w:eastAsia="楷体_GB2312" w:cs="楷体_GB2312"/>
          <w:bCs/>
          <w:szCs w:val="32"/>
          <w:highlight w:val="none"/>
          <w:lang w:val="zh-CN" w:bidi="zh-CN"/>
        </w:rPr>
        <w:t>人才评价机制创新</w:t>
      </w:r>
      <w:bookmarkEnd w:id="54"/>
      <w:bookmarkEnd w:id="55"/>
      <w:bookmarkEnd w:id="56"/>
    </w:p>
    <w:p>
      <w:pPr>
        <w:pStyle w:val="26"/>
        <w:pageBreakBefore w:val="0"/>
        <w:widowControl w:val="0"/>
        <w:kinsoku/>
        <w:wordWrap/>
        <w:overflowPunct/>
        <w:topLinePunct w:val="0"/>
        <w:autoSpaceDE/>
        <w:autoSpaceDN w:val="0"/>
        <w:bidi w:val="0"/>
        <w:adjustRightInd/>
        <w:spacing w:line="575" w:lineRule="exact"/>
        <w:ind w:firstLine="640" w:firstLineChars="200"/>
        <w:jc w:val="left"/>
        <w:textAlignment w:val="auto"/>
        <w:rPr>
          <w:rFonts w:hint="eastAsia" w:ascii="仿宋_GB2312" w:hAnsi="仿宋_GB2312" w:eastAsia="仿宋_GB2312" w:cs="仿宋_GB2312"/>
          <w:szCs w:val="32"/>
          <w:highlight w:val="none"/>
          <w:lang w:eastAsia="zh-CN"/>
        </w:rPr>
      </w:pPr>
      <w:r>
        <w:rPr>
          <w:rFonts w:hint="eastAsia" w:ascii="仿宋_GB2312" w:hAnsi="仿宋_GB2312" w:eastAsia="仿宋_GB2312" w:cs="仿宋_GB2312"/>
          <w:szCs w:val="32"/>
          <w:highlight w:val="none"/>
        </w:rPr>
        <w:t>坚持市场化、科学化、社会化、国际化方向，突出人才分类特征，完善人才分层评价体系，建立导向明确、精准科学、规范有序、竞争择优的人才分层分类评价体系。全面接轨国际人才标准，探索市场化评价人才“举荐制”，</w:t>
      </w:r>
      <w:r>
        <w:rPr>
          <w:rFonts w:hint="eastAsia" w:ascii="仿宋_GB2312" w:hAnsi="仿宋_GB2312" w:eastAsia="仿宋_GB2312" w:cs="仿宋_GB2312"/>
          <w:szCs w:val="32"/>
          <w:highlight w:val="none"/>
          <w:lang w:val="en-US" w:eastAsia="zh-CN"/>
        </w:rPr>
        <w:t>把工资履历、薪酬待遇、获得投资额度等作为人才认定评价的重要标准，</w:t>
      </w:r>
      <w:r>
        <w:rPr>
          <w:rFonts w:hint="eastAsia" w:ascii="仿宋_GB2312" w:hAnsi="仿宋_GB2312" w:eastAsia="仿宋_GB2312" w:cs="仿宋_GB2312"/>
          <w:szCs w:val="32"/>
          <w:highlight w:val="none"/>
        </w:rPr>
        <w:t>落实创新主体对创新人才的最终评价权</w:t>
      </w:r>
      <w:r>
        <w:rPr>
          <w:rFonts w:hint="eastAsia" w:ascii="仿宋_GB2312" w:hAnsi="仿宋_GB2312" w:eastAsia="仿宋_GB2312" w:cs="仿宋_GB2312"/>
          <w:szCs w:val="32"/>
          <w:highlight w:val="none"/>
          <w:lang w:eastAsia="zh-CN"/>
        </w:rPr>
        <w:t>。</w:t>
      </w:r>
    </w:p>
    <w:p>
      <w:pPr>
        <w:pStyle w:val="26"/>
        <w:pageBreakBefore w:val="0"/>
        <w:widowControl w:val="0"/>
        <w:kinsoku/>
        <w:wordWrap/>
        <w:overflowPunct/>
        <w:topLinePunct w:val="0"/>
        <w:autoSpaceDE/>
        <w:autoSpaceDN w:val="0"/>
        <w:bidi w:val="0"/>
        <w:adjustRightInd/>
        <w:spacing w:line="575" w:lineRule="exact"/>
        <w:ind w:firstLine="640" w:firstLineChars="200"/>
        <w:jc w:val="left"/>
        <w:textAlignment w:val="auto"/>
        <w:rPr>
          <w:rFonts w:ascii="仿宋_GB2312" w:hAnsi="仿宋_GB2312" w:eastAsia="仿宋_GB2312" w:cs="仿宋_GB2312"/>
          <w:szCs w:val="32"/>
          <w:highlight w:val="none"/>
        </w:rPr>
      </w:pPr>
      <w:r>
        <w:rPr>
          <w:rFonts w:hint="eastAsia" w:ascii="仿宋_GB2312" w:hAnsi="仿宋_GB2312" w:eastAsia="仿宋_GB2312" w:cs="仿宋_GB2312"/>
          <w:szCs w:val="32"/>
          <w:highlight w:val="none"/>
        </w:rPr>
        <w:t>深化职称制度改革，创新专业技术人员评价机制，建立以业绩和能力为导向的专业技术人才评价体系。开通人才职称评审直通车，引进的高层次人才和重点行业、重点领域急需紧缺人才，可放宽资历、年限等条件限制，采取网上申报、网上评审、一事一议、一人一策的方式。</w:t>
      </w:r>
      <w:r>
        <w:rPr>
          <w:rFonts w:hint="eastAsia" w:ascii="仿宋_GB2312" w:hAnsi="仿宋_GB2312" w:eastAsia="仿宋_GB2312" w:cs="仿宋_GB2312"/>
          <w:szCs w:val="32"/>
          <w:highlight w:val="none"/>
          <w:lang w:val="en-US" w:eastAsia="zh-CN"/>
        </w:rPr>
        <w:t>全面落实“三评”改革，完善重大项目、人才和机构等第三方评估机制，健全以创新能力、质量、实效、贡献为导向的科技人才评价体系。</w:t>
      </w:r>
      <w:r>
        <w:rPr>
          <w:rFonts w:hint="eastAsia" w:ascii="仿宋_GB2312" w:hAnsi="仿宋_GB2312" w:eastAsia="仿宋_GB2312" w:cs="仿宋_GB2312"/>
          <w:szCs w:val="32"/>
          <w:highlight w:val="none"/>
        </w:rPr>
        <w:t>完善职业技能等级认定政策，引导和支持企业自主开展技能评价并落实待遇，</w:t>
      </w:r>
      <w:r>
        <w:rPr>
          <w:rFonts w:hint="eastAsia" w:ascii="仿宋_GB2312" w:hAnsi="仿宋_GB2312" w:eastAsia="仿宋_GB2312" w:cs="仿宋_GB2312"/>
          <w:color w:val="000000" w:themeColor="text1"/>
          <w:szCs w:val="32"/>
          <w:highlight w:val="none"/>
          <w14:textFill>
            <w14:solidFill>
              <w14:schemeClr w14:val="tx1"/>
            </w14:solidFill>
          </w14:textFill>
        </w:rPr>
        <w:t>鼓励企业增加技术工人的技能等级层次</w:t>
      </w:r>
      <w:r>
        <w:rPr>
          <w:rFonts w:hint="eastAsia" w:ascii="仿宋_GB2312" w:hAnsi="仿宋_GB2312" w:eastAsia="仿宋_GB2312" w:cs="仿宋_GB2312"/>
          <w:szCs w:val="32"/>
          <w:highlight w:val="none"/>
        </w:rPr>
        <w:t>，拓宽技术工人晋升通道，探索设立技能专家、首席技师、特级技师等岗位，在新兴领域工程技术专业争取</w:t>
      </w:r>
      <w:r>
        <w:rPr>
          <w:rFonts w:hint="eastAsia" w:ascii="仿宋_GB2312" w:hAnsi="仿宋_GB2312" w:eastAsia="仿宋_GB2312" w:cs="仿宋_GB2312"/>
          <w:color w:val="000000" w:themeColor="text1"/>
          <w:szCs w:val="32"/>
          <w:highlight w:val="none"/>
          <w14:textFill>
            <w14:solidFill>
              <w14:schemeClr w14:val="tx1"/>
            </w14:solidFill>
          </w14:textFill>
        </w:rPr>
        <w:t>开展高技能人才职业资格与专业技术职称“立交桥”评价试点</w:t>
      </w:r>
      <w:r>
        <w:rPr>
          <w:rFonts w:hint="eastAsia" w:ascii="仿宋_GB2312" w:hAnsi="仿宋_GB2312" w:eastAsia="仿宋_GB2312" w:cs="仿宋_GB2312"/>
          <w:szCs w:val="32"/>
          <w:highlight w:val="none"/>
        </w:rPr>
        <w:t>。建立符合艰苦边远地区和基层一线的人才评价机制，完善职称评聘向基层适度倾斜机制，切实减少职称评审限制性条件，</w:t>
      </w:r>
      <w:r>
        <w:rPr>
          <w:rFonts w:hint="eastAsia" w:ascii="仿宋_GB2312" w:hAnsi="仿宋_GB2312" w:eastAsia="仿宋_GB2312" w:cs="仿宋_GB2312"/>
          <w:szCs w:val="32"/>
          <w:highlight w:val="none"/>
          <w:lang w:val="en-US" w:eastAsia="zh-CN"/>
        </w:rPr>
        <w:t>合理设置</w:t>
      </w:r>
      <w:r>
        <w:rPr>
          <w:rFonts w:hint="eastAsia" w:ascii="仿宋_GB2312" w:hAnsi="仿宋_GB2312" w:eastAsia="仿宋_GB2312" w:cs="仿宋_GB2312"/>
          <w:szCs w:val="32"/>
          <w:highlight w:val="none"/>
        </w:rPr>
        <w:t>或取消对发表论文、课题研究、国家级奖项数目、外语能力等要求。科学设立人才评价指标，加大对优秀人才和团队的稳定支持力度。强化绩效评价和结果的应用，加强监督评估。</w:t>
      </w:r>
    </w:p>
    <w:p>
      <w:pPr>
        <w:keepNext/>
        <w:keepLines/>
        <w:pageBreakBefore w:val="0"/>
        <w:widowControl w:val="0"/>
        <w:numPr>
          <w:ilvl w:val="0"/>
          <w:numId w:val="4"/>
        </w:numPr>
        <w:kinsoku/>
        <w:wordWrap/>
        <w:overflowPunct/>
        <w:topLinePunct w:val="0"/>
        <w:autoSpaceDE/>
        <w:bidi w:val="0"/>
        <w:adjustRightInd/>
        <w:spacing w:line="575" w:lineRule="exact"/>
        <w:ind w:firstLine="640" w:firstLineChars="200"/>
        <w:jc w:val="left"/>
        <w:textAlignment w:val="auto"/>
        <w:outlineLvl w:val="1"/>
        <w:rPr>
          <w:rFonts w:ascii="楷体_GB2312" w:hAnsi="楷体_GB2312" w:eastAsia="楷体_GB2312" w:cs="楷体_GB2312"/>
          <w:bCs/>
          <w:szCs w:val="32"/>
          <w:highlight w:val="none"/>
          <w:lang w:val="zh-CN" w:bidi="zh-CN"/>
        </w:rPr>
      </w:pPr>
      <w:bookmarkStart w:id="57" w:name="_Toc17588"/>
      <w:bookmarkStart w:id="58" w:name="_Toc91188899"/>
      <w:bookmarkStart w:id="59" w:name="_Toc88490289"/>
      <w:r>
        <w:rPr>
          <w:rFonts w:hint="eastAsia" w:ascii="楷体_GB2312" w:hAnsi="楷体_GB2312" w:eastAsia="楷体_GB2312" w:cs="楷体_GB2312"/>
          <w:bCs/>
          <w:szCs w:val="32"/>
          <w:highlight w:val="none"/>
          <w:lang w:val="zh-CN" w:bidi="zh-CN"/>
        </w:rPr>
        <w:t>人才引进机制创新</w:t>
      </w:r>
      <w:bookmarkEnd w:id="57"/>
      <w:bookmarkEnd w:id="58"/>
    </w:p>
    <w:p>
      <w:pPr>
        <w:pageBreakBefore w:val="0"/>
        <w:widowControl w:val="0"/>
        <w:kinsoku/>
        <w:wordWrap/>
        <w:overflowPunct/>
        <w:topLinePunct w:val="0"/>
        <w:autoSpaceDE/>
        <w:bidi w:val="0"/>
        <w:adjustRightInd/>
        <w:spacing w:line="575" w:lineRule="exact"/>
        <w:ind w:firstLine="643" w:firstLineChars="200"/>
        <w:textAlignment w:val="auto"/>
        <w:rPr>
          <w:rFonts w:ascii="仿宋_GB2312" w:hAnsi="仿宋_GB2312" w:eastAsia="仿宋_GB2312" w:cs="仿宋_GB2312"/>
          <w:szCs w:val="32"/>
          <w:highlight w:val="none"/>
        </w:rPr>
      </w:pPr>
      <w:r>
        <w:rPr>
          <w:rFonts w:hint="eastAsia" w:ascii="仿宋_GB2312" w:hAnsi="仿宋_GB2312" w:eastAsia="仿宋_GB2312" w:cs="仿宋_GB2312"/>
          <w:b/>
          <w:szCs w:val="32"/>
          <w:highlight w:val="none"/>
        </w:rPr>
        <w:t>实施人才精准引进。</w:t>
      </w:r>
      <w:r>
        <w:rPr>
          <w:rFonts w:hint="eastAsia" w:ascii="仿宋_GB2312" w:hAnsi="仿宋_GB2312" w:eastAsia="仿宋_GB2312" w:cs="仿宋_GB2312"/>
          <w:szCs w:val="32"/>
          <w:highlight w:val="none"/>
        </w:rPr>
        <w:t>通盘布局招商引资和招才引智工作</w:t>
      </w:r>
      <w:r>
        <w:rPr>
          <w:rFonts w:hint="eastAsia" w:ascii="仿宋_GB2312" w:hAnsi="仿宋_GB2312" w:eastAsia="仿宋_GB2312" w:cs="仿宋_GB2312"/>
          <w:szCs w:val="32"/>
          <w:highlight w:val="none"/>
          <w:lang w:eastAsia="zh-CN"/>
        </w:rPr>
        <w:t>，</w:t>
      </w:r>
      <w:r>
        <w:rPr>
          <w:rFonts w:hint="eastAsia" w:ascii="仿宋_GB2312" w:hAnsi="仿宋_GB2312" w:eastAsia="仿宋_GB2312" w:cs="仿宋_GB2312"/>
          <w:szCs w:val="32"/>
          <w:highlight w:val="none"/>
        </w:rPr>
        <w:t>以重点产业、新兴产业等为重点，绘制“人才地图”，摸清人才需求状况，定期发布人才需求目录，精准选拔、引进符合岗位需要、发展需要的高层次、急需紧缺人才。充分用好中央支持“三区一线”发展的政策红利，发挥市场主体作用，加强与北京、上海、深圳等国内主要创新城市和地区合作，探索建立合作联盟、合作基地、合作园区，拓展人才来源渠道。积极引入社会力量、民间团体力量，加大同国内机构、团体、商会等联系，拓展市外引才渠道，加大市外引才力度。有计划地实施“博士服务团”“首席专家” “科技特派员”“专业技术人才支农支教支医”“专业技术人才特色岗位”等重点人才专项，有计划地选派</w:t>
      </w:r>
      <w:r>
        <w:rPr>
          <w:rFonts w:hint="eastAsia" w:ascii="仿宋_GB2312" w:hAnsi="仿宋_GB2312" w:eastAsia="仿宋_GB2312" w:cs="仿宋_GB2312"/>
          <w:szCs w:val="32"/>
          <w:highlight w:val="none"/>
          <w:lang w:val="en-US" w:eastAsia="zh-CN"/>
        </w:rPr>
        <w:t>优秀</w:t>
      </w:r>
      <w:r>
        <w:rPr>
          <w:rFonts w:hint="eastAsia" w:ascii="仿宋_GB2312" w:hAnsi="仿宋_GB2312" w:eastAsia="仿宋_GB2312" w:cs="仿宋_GB2312"/>
          <w:szCs w:val="32"/>
          <w:highlight w:val="none"/>
        </w:rPr>
        <w:t>人才支持产业、农村牧区发展。完善鄂尔多斯籍人才情况发布制度，联络在外的鄂尔多斯籍人才，提供创业和就业政策咨询，鼓励返乡创业就业。积极开展外地大学生走进鄂尔多斯、了解鄂尔多斯活动，重点加强与知名高校的联系对接，共同开展相关活动。</w:t>
      </w:r>
    </w:p>
    <w:p>
      <w:pPr>
        <w:pageBreakBefore w:val="0"/>
        <w:widowControl w:val="0"/>
        <w:tabs>
          <w:tab w:val="left" w:pos="312"/>
        </w:tabs>
        <w:kinsoku/>
        <w:wordWrap/>
        <w:overflowPunct/>
        <w:topLinePunct w:val="0"/>
        <w:autoSpaceDE/>
        <w:bidi w:val="0"/>
        <w:adjustRightInd/>
        <w:spacing w:line="575" w:lineRule="exact"/>
        <w:ind w:firstLine="643" w:firstLineChars="200"/>
        <w:textAlignment w:val="auto"/>
        <w:rPr>
          <w:rFonts w:ascii="仿宋_GB2312" w:hAnsi="仿宋_GB2312" w:eastAsia="仿宋_GB2312" w:cs="仿宋_GB2312"/>
          <w:szCs w:val="32"/>
          <w:highlight w:val="none"/>
        </w:rPr>
      </w:pPr>
      <w:r>
        <w:rPr>
          <w:rFonts w:hint="eastAsia" w:ascii="仿宋_GB2312" w:hAnsi="仿宋_GB2312" w:eastAsia="仿宋_GB2312" w:cs="仿宋_GB2312"/>
          <w:b/>
          <w:szCs w:val="32"/>
          <w:highlight w:val="none"/>
        </w:rPr>
        <w:t>完善人才引进政策。</w:t>
      </w:r>
      <w:r>
        <w:rPr>
          <w:rFonts w:hint="eastAsia" w:ascii="仿宋_GB2312" w:hAnsi="仿宋_GB2312" w:eastAsia="仿宋_GB2312" w:cs="仿宋_GB2312"/>
          <w:szCs w:val="32"/>
          <w:highlight w:val="none"/>
        </w:rPr>
        <w:t>实施更加开放、更加主动、更加有效的人才引进政策。按照“不求所有、但求所用”的原则，大力借智借力，支持地区外高校、院所专家来鄂尔多斯开展产学研合作，共建各类科研平台，开展科技创新。支持高校、园区建设院士专家团队创新中心、人才驿站等柔性引才平台。探索更加完善的柔性引进政策，配套工作、生活设施，配备本地人才团队，采取借用、兼职兼薪、项目合作、委托经营、咨询、讲课、合作交流等方式，探索“候鸟式”聘任、“离岸式”研发、“巡回式”服务等模式，</w:t>
      </w:r>
      <w:r>
        <w:rPr>
          <w:rFonts w:hint="eastAsia" w:ascii="仿宋_GB2312" w:hAnsi="仿宋_GB2312" w:eastAsia="仿宋_GB2312" w:cs="仿宋_GB2312"/>
          <w:szCs w:val="32"/>
          <w:highlight w:val="none"/>
          <w:lang w:val="en-US" w:eastAsia="zh-CN"/>
        </w:rPr>
        <w:t>通过“人才+项目”引进高端人才和创新团队，更好地服务</w:t>
      </w:r>
      <w:r>
        <w:rPr>
          <w:rFonts w:hint="eastAsia" w:ascii="仿宋_GB2312" w:hAnsi="仿宋_GB2312" w:eastAsia="仿宋_GB2312" w:cs="仿宋_GB2312"/>
          <w:szCs w:val="32"/>
          <w:highlight w:val="none"/>
        </w:rPr>
        <w:t xml:space="preserve">鄂尔多斯和带动本地人才团队发展。聚焦京津冀、东北、长三角等地退休不久、专业资深的高层次人才，建立“银龄”引才目录，将“银龄”引才范围进一步拓展到科技创新、高等教育、专业服务等重点领域。开展“鸿雁行动”，发挥鄂尔多斯籍在外高层次人才作用，定期举办在外人才活动，为家乡建设献计献策献力。 </w:t>
      </w:r>
    </w:p>
    <w:p>
      <w:pPr>
        <w:pageBreakBefore w:val="0"/>
        <w:widowControl w:val="0"/>
        <w:tabs>
          <w:tab w:val="left" w:pos="312"/>
        </w:tabs>
        <w:kinsoku/>
        <w:wordWrap/>
        <w:overflowPunct/>
        <w:topLinePunct w:val="0"/>
        <w:autoSpaceDE/>
        <w:bidi w:val="0"/>
        <w:adjustRightInd/>
        <w:spacing w:line="575" w:lineRule="exact"/>
        <w:ind w:firstLine="643" w:firstLineChars="200"/>
        <w:textAlignment w:val="auto"/>
        <w:rPr>
          <w:rFonts w:ascii="仿宋_GB2312" w:hAnsi="仿宋_GB2312" w:eastAsia="仿宋_GB2312" w:cs="仿宋_GB2312"/>
          <w:szCs w:val="32"/>
          <w:highlight w:val="none"/>
        </w:rPr>
      </w:pPr>
      <w:r>
        <w:rPr>
          <w:rFonts w:hint="eastAsia" w:ascii="仿宋_GB2312" w:hAnsi="仿宋_GB2312" w:eastAsia="仿宋_GB2312" w:cs="仿宋_GB2312"/>
          <w:b/>
          <w:szCs w:val="32"/>
          <w:highlight w:val="none"/>
        </w:rPr>
        <w:t>创新人才引进机制。</w:t>
      </w:r>
      <w:r>
        <w:rPr>
          <w:rFonts w:hint="eastAsia" w:ascii="仿宋_GB2312" w:hAnsi="仿宋_GB2312" w:eastAsia="仿宋_GB2312" w:cs="仿宋_GB2312"/>
          <w:bCs/>
          <w:szCs w:val="32"/>
          <w:highlight w:val="none"/>
        </w:rPr>
        <w:t>坚持招商与招才并举、引资和引智并重，聚焦重大项目建设和产业发展，突出精细精准、实用实效，以应用研究为主，定期发布重大项目人才需求清单，瞄准头部企业和“专精特新”企业，加快引进一批拔尖人才、领军人才和专业技能人才，加快集聚一批能够推动重点产业提升、带动新兴产业发展的创新团队，形成以高层次人才引领转型发展的良好态势。探索“研发在北上广、转化在鄂尔多斯”引才模式，构建“人才飞地”。瞄准北京、上海、粤港澳和高层次人才集中的中心城市，定期组织开展宣传推介</w:t>
      </w:r>
      <w:r>
        <w:rPr>
          <w:rFonts w:hint="eastAsia" w:ascii="仿宋_GB2312" w:hAnsi="仿宋_GB2312" w:eastAsia="仿宋_GB2312" w:cs="仿宋_GB2312"/>
          <w:bCs/>
          <w:szCs w:val="32"/>
          <w:highlight w:val="none"/>
          <w:lang w:val="en-US" w:eastAsia="zh-CN"/>
        </w:rPr>
        <w:t>和招才引智活动</w:t>
      </w:r>
      <w:r>
        <w:rPr>
          <w:rFonts w:hint="eastAsia" w:ascii="仿宋_GB2312" w:hAnsi="仿宋_GB2312" w:eastAsia="仿宋_GB2312" w:cs="仿宋_GB2312"/>
          <w:bCs/>
          <w:szCs w:val="32"/>
          <w:highlight w:val="none"/>
          <w:lang w:eastAsia="zh-CN"/>
        </w:rPr>
        <w:t>。</w:t>
      </w:r>
      <w:r>
        <w:rPr>
          <w:rFonts w:hint="eastAsia" w:ascii="仿宋_GB2312" w:hAnsi="仿宋_GB2312" w:eastAsia="仿宋_GB2312" w:cs="仿宋_GB2312"/>
          <w:bCs/>
          <w:szCs w:val="32"/>
          <w:highlight w:val="none"/>
        </w:rPr>
        <w:t>聚焦北京、陕西、东北和自治区有关高校以及与我市产业关联紧密的化工、矿业等专业院校</w:t>
      </w:r>
      <w:r>
        <w:rPr>
          <w:rFonts w:hint="eastAsia" w:ascii="仿宋_GB2312" w:hAnsi="仿宋_GB2312" w:eastAsia="仿宋_GB2312" w:cs="仿宋_GB2312"/>
          <w:szCs w:val="32"/>
          <w:highlight w:val="none"/>
        </w:rPr>
        <w:t>，定期举办</w:t>
      </w:r>
      <w:r>
        <w:rPr>
          <w:rFonts w:hint="eastAsia" w:ascii="仿宋_GB2312" w:hAnsi="仿宋_GB2312" w:eastAsia="仿宋_GB2312" w:cs="仿宋_GB2312"/>
          <w:szCs w:val="32"/>
          <w:highlight w:val="none"/>
          <w:lang w:val="en-US" w:eastAsia="zh-CN"/>
        </w:rPr>
        <w:t>专场招聘活动</w:t>
      </w:r>
      <w:r>
        <w:rPr>
          <w:rFonts w:hint="eastAsia" w:ascii="仿宋_GB2312" w:hAnsi="仿宋_GB2312" w:eastAsia="仿宋_GB2312" w:cs="仿宋_GB2312"/>
          <w:szCs w:val="32"/>
          <w:highlight w:val="none"/>
        </w:rPr>
        <w:t>，组织龙头企业、重点项目和旗区园区“上门”招才、精准引才。积极发展人力资源服务</w:t>
      </w:r>
      <w:r>
        <w:rPr>
          <w:rFonts w:hint="eastAsia" w:ascii="仿宋_GB2312" w:hAnsi="仿宋_GB2312" w:eastAsia="仿宋_GB2312" w:cs="仿宋_GB2312"/>
          <w:szCs w:val="32"/>
          <w:highlight w:val="none"/>
          <w:lang w:val="en-US" w:eastAsia="zh-CN"/>
        </w:rPr>
        <w:t>业</w:t>
      </w:r>
      <w:r>
        <w:rPr>
          <w:rFonts w:hint="eastAsia" w:ascii="仿宋_GB2312" w:hAnsi="仿宋_GB2312" w:eastAsia="仿宋_GB2312" w:cs="仿宋_GB2312"/>
          <w:szCs w:val="32"/>
          <w:highlight w:val="none"/>
        </w:rPr>
        <w:t>，继续加强与高端人力资源服务机构联系沟通，设立在外工作站点，建立人才顾问机制，引荐</w:t>
      </w:r>
      <w:r>
        <w:rPr>
          <w:rFonts w:hint="eastAsia" w:ascii="仿宋_GB2312" w:hAnsi="仿宋_GB2312" w:eastAsia="仿宋_GB2312" w:cs="仿宋_GB2312"/>
          <w:szCs w:val="32"/>
          <w:highlight w:val="none"/>
          <w:lang w:val="en-US" w:eastAsia="zh-CN"/>
        </w:rPr>
        <w:t>和</w:t>
      </w:r>
      <w:r>
        <w:rPr>
          <w:rFonts w:hint="eastAsia" w:ascii="仿宋_GB2312" w:hAnsi="仿宋_GB2312" w:eastAsia="仿宋_GB2312" w:cs="仿宋_GB2312"/>
          <w:szCs w:val="32"/>
          <w:highlight w:val="none"/>
        </w:rPr>
        <w:t>提供一批人才信息。</w:t>
      </w:r>
    </w:p>
    <w:p>
      <w:pPr>
        <w:keepNext/>
        <w:keepLines/>
        <w:pageBreakBefore w:val="0"/>
        <w:widowControl w:val="0"/>
        <w:numPr>
          <w:ilvl w:val="0"/>
          <w:numId w:val="4"/>
        </w:numPr>
        <w:kinsoku/>
        <w:wordWrap/>
        <w:overflowPunct/>
        <w:topLinePunct w:val="0"/>
        <w:autoSpaceDE/>
        <w:bidi w:val="0"/>
        <w:adjustRightInd/>
        <w:spacing w:line="575" w:lineRule="exact"/>
        <w:ind w:firstLine="640" w:firstLineChars="200"/>
        <w:jc w:val="left"/>
        <w:textAlignment w:val="auto"/>
        <w:outlineLvl w:val="1"/>
        <w:rPr>
          <w:rFonts w:ascii="楷体_GB2312" w:hAnsi="楷体_GB2312" w:eastAsia="楷体_GB2312" w:cs="楷体_GB2312"/>
          <w:bCs/>
          <w:szCs w:val="32"/>
          <w:highlight w:val="none"/>
          <w:lang w:val="zh-CN" w:bidi="zh-CN"/>
        </w:rPr>
      </w:pPr>
      <w:bookmarkStart w:id="60" w:name="_Toc9083"/>
      <w:bookmarkStart w:id="61" w:name="_Toc91188900"/>
      <w:r>
        <w:rPr>
          <w:rFonts w:hint="eastAsia" w:ascii="楷体_GB2312" w:hAnsi="楷体_GB2312" w:eastAsia="楷体_GB2312" w:cs="楷体_GB2312"/>
          <w:bCs/>
          <w:szCs w:val="32"/>
          <w:highlight w:val="none"/>
          <w:lang w:val="zh-CN" w:bidi="zh-CN"/>
        </w:rPr>
        <w:t>人才使用机制创新</w:t>
      </w:r>
      <w:bookmarkEnd w:id="59"/>
      <w:bookmarkEnd w:id="60"/>
      <w:bookmarkEnd w:id="61"/>
    </w:p>
    <w:p>
      <w:pPr>
        <w:pageBreakBefore w:val="0"/>
        <w:widowControl w:val="0"/>
        <w:tabs>
          <w:tab w:val="left" w:pos="312"/>
        </w:tabs>
        <w:kinsoku/>
        <w:wordWrap/>
        <w:overflowPunct/>
        <w:topLinePunct w:val="0"/>
        <w:autoSpaceDE/>
        <w:bidi w:val="0"/>
        <w:adjustRightInd/>
        <w:spacing w:line="575" w:lineRule="exact"/>
        <w:ind w:firstLine="640" w:firstLineChars="200"/>
        <w:textAlignment w:val="auto"/>
        <w:rPr>
          <w:rFonts w:ascii="仿宋_GB2312" w:hAnsi="仿宋_GB2312" w:eastAsia="仿宋_GB2312" w:cs="仿宋_GB2312"/>
          <w:szCs w:val="32"/>
          <w:highlight w:val="none"/>
        </w:rPr>
      </w:pPr>
      <w:r>
        <w:rPr>
          <w:rFonts w:hint="eastAsia" w:ascii="仿宋_GB2312" w:hAnsi="仿宋_GB2312" w:eastAsia="仿宋_GB2312" w:cs="仿宋_GB2312"/>
          <w:color w:val="000000"/>
          <w:kern w:val="0"/>
          <w:szCs w:val="32"/>
          <w:highlight w:val="none"/>
        </w:rPr>
        <w:t>打破人才、设施、数据等创新资源的“单位所有制”，</w:t>
      </w:r>
      <w:r>
        <w:rPr>
          <w:rFonts w:hint="eastAsia" w:ascii="仿宋_GB2312" w:hAnsi="仿宋_GB2312" w:eastAsia="仿宋_GB2312" w:cs="仿宋_GB2312"/>
          <w:szCs w:val="32"/>
          <w:highlight w:val="none"/>
        </w:rPr>
        <w:t>建立“揭榜挂帅”</w:t>
      </w:r>
      <w:r>
        <w:rPr>
          <w:rFonts w:hint="eastAsia" w:ascii="仿宋_GB2312" w:hAnsi="仿宋_GB2312" w:eastAsia="仿宋_GB2312" w:cs="仿宋_GB2312"/>
          <w:color w:val="000000"/>
          <w:kern w:val="0"/>
          <w:szCs w:val="32"/>
          <w:highlight w:val="none"/>
        </w:rPr>
        <w:t>“赛马制”“军令状”等竞争性使用</w:t>
      </w:r>
      <w:r>
        <w:rPr>
          <w:rFonts w:hint="eastAsia" w:ascii="仿宋_GB2312" w:hAnsi="仿宋_GB2312" w:eastAsia="仿宋_GB2312" w:cs="仿宋_GB2312"/>
          <w:szCs w:val="32"/>
          <w:highlight w:val="none"/>
        </w:rPr>
        <w:t>机制，完善挂榜、揭榜、履榜、评榜、奖榜链条。充分发挥高层次人才作用，邀请参与重点建设规划、重大项目决策咨询、高层次人才选拔等活动，并在学术交流、申报科研项目、配备助手及科研设备等方面给予支持。坚持从基层选拔人才的用人导向，建立健全从基层选才用才长效机制，加大从具有基层工作经验人员中考录公务员、事业单位工作人员力度。进一步完善新参加工作人员基层服务年限制度，提高长期在基层工作人员政策待遇，在同等条件下优先使用。落实工资、职称、创业等方面保障措施，建立与基层挂钩、与艰苦边远程度配套的政治、经济待遇标准。进一步完善基层和艰苦地区工作岗位津补贴制度，完善向一线、紧缺和关键岗位倾斜的薪酬分配制度。</w:t>
      </w:r>
    </w:p>
    <w:p>
      <w:pPr>
        <w:keepNext/>
        <w:keepLines/>
        <w:pageBreakBefore w:val="0"/>
        <w:widowControl w:val="0"/>
        <w:numPr>
          <w:ilvl w:val="0"/>
          <w:numId w:val="4"/>
        </w:numPr>
        <w:kinsoku/>
        <w:wordWrap/>
        <w:overflowPunct/>
        <w:topLinePunct w:val="0"/>
        <w:autoSpaceDE/>
        <w:bidi w:val="0"/>
        <w:adjustRightInd/>
        <w:spacing w:line="575" w:lineRule="exact"/>
        <w:ind w:firstLine="640" w:firstLineChars="200"/>
        <w:jc w:val="left"/>
        <w:textAlignment w:val="auto"/>
        <w:outlineLvl w:val="1"/>
        <w:rPr>
          <w:rFonts w:ascii="楷体_GB2312" w:hAnsi="楷体_GB2312" w:eastAsia="楷体_GB2312" w:cs="楷体_GB2312"/>
          <w:bCs/>
          <w:szCs w:val="32"/>
          <w:highlight w:val="none"/>
          <w:lang w:val="zh-CN" w:bidi="zh-CN"/>
        </w:rPr>
      </w:pPr>
      <w:bookmarkStart w:id="62" w:name="_Toc91188901"/>
      <w:bookmarkStart w:id="63" w:name="_Toc88490290"/>
      <w:bookmarkStart w:id="64" w:name="_Toc22226"/>
      <w:r>
        <w:rPr>
          <w:rFonts w:hint="eastAsia" w:ascii="楷体_GB2312" w:hAnsi="楷体_GB2312" w:eastAsia="楷体_GB2312" w:cs="楷体_GB2312"/>
          <w:bCs/>
          <w:szCs w:val="32"/>
          <w:highlight w:val="none"/>
          <w:lang w:val="zh-CN" w:bidi="zh-CN"/>
        </w:rPr>
        <w:t>人才合作机制创新</w:t>
      </w:r>
      <w:bookmarkEnd w:id="62"/>
      <w:bookmarkEnd w:id="63"/>
      <w:bookmarkEnd w:id="64"/>
    </w:p>
    <w:p>
      <w:pPr>
        <w:pageBreakBefore w:val="0"/>
        <w:widowControl w:val="0"/>
        <w:kinsoku/>
        <w:wordWrap/>
        <w:overflowPunct/>
        <w:topLinePunct w:val="0"/>
        <w:autoSpaceDE/>
        <w:bidi w:val="0"/>
        <w:adjustRightInd/>
        <w:spacing w:line="575" w:lineRule="exact"/>
        <w:ind w:firstLine="628" w:firstLineChars="200"/>
        <w:textAlignment w:val="auto"/>
        <w:rPr>
          <w:rFonts w:hint="eastAsia" w:ascii="仿宋_GB2312" w:hAnsi="仿宋_GB2312" w:eastAsia="仿宋_GB2312" w:cs="仿宋_GB2312"/>
          <w:spacing w:val="-3"/>
          <w:szCs w:val="32"/>
          <w:highlight w:val="none"/>
        </w:rPr>
      </w:pPr>
      <w:r>
        <w:rPr>
          <w:rFonts w:hint="eastAsia" w:ascii="仿宋_GB2312" w:hAnsi="仿宋_GB2312" w:eastAsia="仿宋_GB2312" w:cs="仿宋_GB2312"/>
          <w:b w:val="0"/>
          <w:bCs/>
          <w:spacing w:val="-3"/>
          <w:szCs w:val="32"/>
          <w:highlight w:val="none"/>
        </w:rPr>
        <w:t>加强国内重点区域人才合作</w:t>
      </w:r>
      <w:r>
        <w:rPr>
          <w:rFonts w:hint="eastAsia" w:ascii="仿宋_GB2312" w:hAnsi="仿宋_GB2312" w:eastAsia="仿宋_GB2312" w:cs="仿宋_GB2312"/>
          <w:b w:val="0"/>
          <w:bCs/>
          <w:spacing w:val="-3"/>
          <w:szCs w:val="32"/>
          <w:highlight w:val="none"/>
          <w:lang w:eastAsia="zh-CN"/>
        </w:rPr>
        <w:t>，</w:t>
      </w:r>
      <w:r>
        <w:rPr>
          <w:rFonts w:hint="eastAsia" w:ascii="仿宋_GB2312" w:hAnsi="仿宋_GB2312" w:eastAsia="仿宋_GB2312" w:cs="仿宋_GB2312"/>
          <w:spacing w:val="-3"/>
          <w:szCs w:val="32"/>
          <w:highlight w:val="none"/>
        </w:rPr>
        <w:t>进一步营造开放、公平、竞争、有序的市场环境，利用鄂尔多斯资源优势、产业优势，围绕产业转型重点发展领域，依托现有开发区、工业园区、综合保税区等载体，加强与京津冀、长三角、珠三角</w:t>
      </w:r>
      <w:r>
        <w:rPr>
          <w:rFonts w:hint="eastAsia" w:ascii="仿宋_GB2312" w:hAnsi="仿宋_GB2312" w:eastAsia="仿宋_GB2312" w:cs="仿宋_GB2312"/>
          <w:spacing w:val="-3"/>
          <w:szCs w:val="32"/>
          <w:highlight w:val="none"/>
          <w:lang w:val="en-US" w:eastAsia="zh-CN"/>
        </w:rPr>
        <w:t>地区</w:t>
      </w:r>
      <w:r>
        <w:rPr>
          <w:rFonts w:hint="eastAsia" w:ascii="仿宋_GB2312" w:hAnsi="仿宋_GB2312" w:eastAsia="仿宋_GB2312" w:cs="仿宋_GB2312"/>
          <w:spacing w:val="-3"/>
          <w:szCs w:val="32"/>
          <w:highlight w:val="none"/>
        </w:rPr>
        <w:t>在高端装备、新材料、生物医药、农畜产品、文化旅游</w:t>
      </w:r>
      <w:r>
        <w:rPr>
          <w:rFonts w:hint="eastAsia" w:ascii="仿宋_GB2312" w:hAnsi="仿宋_GB2312" w:eastAsia="仿宋_GB2312" w:cs="仿宋_GB2312"/>
          <w:spacing w:val="-3"/>
          <w:szCs w:val="32"/>
          <w:highlight w:val="none"/>
          <w:lang w:eastAsia="zh-CN"/>
        </w:rPr>
        <w:t>、</w:t>
      </w:r>
      <w:r>
        <w:rPr>
          <w:rFonts w:hint="eastAsia" w:ascii="仿宋_GB2312" w:hAnsi="仿宋_GB2312" w:eastAsia="仿宋_GB2312" w:cs="仿宋_GB2312"/>
          <w:spacing w:val="-3"/>
          <w:szCs w:val="32"/>
          <w:highlight w:val="none"/>
          <w:lang w:val="en-US" w:eastAsia="zh-CN"/>
        </w:rPr>
        <w:t>跨境电子商务</w:t>
      </w:r>
      <w:r>
        <w:rPr>
          <w:rFonts w:hint="eastAsia" w:ascii="仿宋_GB2312" w:hAnsi="仿宋_GB2312" w:eastAsia="仿宋_GB2312" w:cs="仿宋_GB2312"/>
          <w:spacing w:val="-3"/>
          <w:szCs w:val="32"/>
          <w:highlight w:val="none"/>
        </w:rPr>
        <w:t>等领域的合作，吸纳重点区域资本、技术、人才、品牌、信息等要素在鄂尔多斯市汇聚。积极发展“飞地经济”“临空经济”，在重点省市建立“人才飞地”，推动跨省区合作共建，</w:t>
      </w:r>
      <w:r>
        <w:rPr>
          <w:rFonts w:hint="eastAsia" w:ascii="仿宋_GB2312" w:hAnsi="仿宋_GB2312" w:eastAsia="仿宋_GB2312" w:cs="仿宋_GB2312"/>
          <w:spacing w:val="-3"/>
          <w:szCs w:val="32"/>
          <w:highlight w:val="none"/>
          <w:lang w:val="en-US" w:eastAsia="zh-CN"/>
        </w:rPr>
        <w:t>同时</w:t>
      </w:r>
      <w:r>
        <w:rPr>
          <w:rFonts w:hint="eastAsia" w:ascii="仿宋_GB2312" w:hAnsi="仿宋_GB2312" w:eastAsia="仿宋_GB2312" w:cs="仿宋_GB2312"/>
          <w:spacing w:val="-3"/>
          <w:szCs w:val="32"/>
          <w:highlight w:val="none"/>
        </w:rPr>
        <w:t>享受与鄂尔多斯同等政策待遇机制。积极推进呼包鄂</w:t>
      </w:r>
      <w:r>
        <w:rPr>
          <w:rFonts w:hint="eastAsia" w:ascii="仿宋_GB2312" w:hAnsi="仿宋_GB2312" w:eastAsia="仿宋_GB2312" w:cs="仿宋_GB2312"/>
          <w:spacing w:val="-3"/>
          <w:szCs w:val="32"/>
          <w:highlight w:val="none"/>
          <w:lang w:val="en-US" w:eastAsia="zh-CN"/>
        </w:rPr>
        <w:t>乌</w:t>
      </w:r>
      <w:r>
        <w:rPr>
          <w:rFonts w:hint="eastAsia" w:ascii="仿宋_GB2312" w:hAnsi="仿宋_GB2312" w:eastAsia="仿宋_GB2312" w:cs="仿宋_GB2312"/>
          <w:spacing w:val="-3"/>
          <w:szCs w:val="32"/>
          <w:highlight w:val="none"/>
        </w:rPr>
        <w:t>人才一体化进程，探索开展中初级职称证书互通互认、专家资源共享、干部人才互派，有效提升区域人才合作水平。</w:t>
      </w:r>
    </w:p>
    <w:p>
      <w:pPr>
        <w:keepNext/>
        <w:keepLines/>
        <w:pageBreakBefore w:val="0"/>
        <w:widowControl w:val="0"/>
        <w:numPr>
          <w:ilvl w:val="0"/>
          <w:numId w:val="0"/>
        </w:numPr>
        <w:kinsoku/>
        <w:wordWrap/>
        <w:overflowPunct/>
        <w:topLinePunct w:val="0"/>
        <w:autoSpaceDE/>
        <w:bidi w:val="0"/>
        <w:adjustRightInd/>
        <w:spacing w:line="575" w:lineRule="exact"/>
        <w:ind w:leftChars="200"/>
        <w:textAlignment w:val="auto"/>
        <w:outlineLvl w:val="0"/>
        <w:rPr>
          <w:rFonts w:ascii="黑体" w:hAnsi="黑体" w:eastAsia="黑体" w:cs="黑体"/>
          <w:bCs/>
          <w:kern w:val="44"/>
          <w:szCs w:val="32"/>
          <w:highlight w:val="none"/>
        </w:rPr>
      </w:pPr>
      <w:bookmarkStart w:id="65" w:name="_Toc23540"/>
      <w:bookmarkStart w:id="66" w:name="_Toc91188902"/>
      <w:r>
        <w:rPr>
          <w:rFonts w:hint="eastAsia" w:ascii="黑体" w:hAnsi="黑体" w:eastAsia="黑体" w:cs="黑体"/>
          <w:bCs/>
          <w:kern w:val="44"/>
          <w:szCs w:val="32"/>
          <w:highlight w:val="none"/>
          <w:lang w:val="en-US" w:eastAsia="zh-CN"/>
        </w:rPr>
        <w:t>五、</w:t>
      </w:r>
      <w:r>
        <w:rPr>
          <w:rFonts w:hint="eastAsia" w:ascii="黑体" w:hAnsi="黑体" w:eastAsia="黑体" w:cs="黑体"/>
          <w:bCs/>
          <w:kern w:val="44"/>
          <w:szCs w:val="32"/>
          <w:highlight w:val="none"/>
        </w:rPr>
        <w:t>人才发展生态建设</w:t>
      </w:r>
      <w:bookmarkEnd w:id="65"/>
      <w:bookmarkEnd w:id="66"/>
    </w:p>
    <w:p>
      <w:pPr>
        <w:keepNext/>
        <w:keepLines/>
        <w:pageBreakBefore w:val="0"/>
        <w:widowControl w:val="0"/>
        <w:numPr>
          <w:ilvl w:val="0"/>
          <w:numId w:val="5"/>
        </w:numPr>
        <w:kinsoku/>
        <w:wordWrap/>
        <w:overflowPunct/>
        <w:topLinePunct w:val="0"/>
        <w:autoSpaceDE/>
        <w:bidi w:val="0"/>
        <w:adjustRightInd/>
        <w:spacing w:line="575" w:lineRule="exact"/>
        <w:ind w:firstLine="640" w:firstLineChars="200"/>
        <w:jc w:val="left"/>
        <w:textAlignment w:val="auto"/>
        <w:outlineLvl w:val="1"/>
        <w:rPr>
          <w:rFonts w:ascii="楷体_GB2312" w:hAnsi="楷体_GB2312" w:eastAsia="楷体_GB2312" w:cs="楷体_GB2312"/>
          <w:bCs/>
          <w:szCs w:val="32"/>
          <w:highlight w:val="none"/>
          <w:lang w:val="zh-CN" w:bidi="zh-CN"/>
        </w:rPr>
      </w:pPr>
      <w:bookmarkStart w:id="67" w:name="_Toc91188903"/>
      <w:bookmarkStart w:id="68" w:name="_Toc1163"/>
      <w:r>
        <w:rPr>
          <w:rFonts w:hint="eastAsia" w:ascii="楷体_GB2312" w:hAnsi="楷体_GB2312" w:eastAsia="楷体_GB2312" w:cs="楷体_GB2312"/>
          <w:bCs/>
          <w:szCs w:val="32"/>
          <w:highlight w:val="none"/>
          <w:lang w:val="zh-CN" w:bidi="zh-CN"/>
        </w:rPr>
        <w:t>服务环境</w:t>
      </w:r>
      <w:bookmarkEnd w:id="67"/>
      <w:bookmarkEnd w:id="68"/>
    </w:p>
    <w:p>
      <w:pPr>
        <w:pStyle w:val="2"/>
        <w:pageBreakBefore w:val="0"/>
        <w:widowControl w:val="0"/>
        <w:kinsoku/>
        <w:wordWrap/>
        <w:overflowPunct/>
        <w:topLinePunct w:val="0"/>
        <w:autoSpaceDE/>
        <w:bidi w:val="0"/>
        <w:adjustRightInd/>
        <w:spacing w:before="0" w:line="575" w:lineRule="exact"/>
        <w:ind w:left="0" w:firstLine="640" w:firstLineChars="200"/>
        <w:textAlignment w:val="auto"/>
        <w:rPr>
          <w:rFonts w:ascii="仿宋_GB2312" w:hAnsi="仿宋_GB2312" w:eastAsia="仿宋_GB2312" w:cs="仿宋_GB2312"/>
          <w:highlight w:val="none"/>
          <w:lang w:val="en-US"/>
        </w:rPr>
      </w:pPr>
      <w:r>
        <w:rPr>
          <w:rFonts w:hint="eastAsia" w:ascii="仿宋_GB2312" w:hAnsi="仿宋_GB2312" w:eastAsia="仿宋_GB2312" w:cs="仿宋_GB2312"/>
          <w:highlight w:val="none"/>
          <w:lang w:val="en-US" w:eastAsia="zh-CN"/>
        </w:rPr>
        <w:t>加快政府职能转变，组建鄂尔多斯市人才发展集团，系统整合人才工作资源，创新行之有效的管理模式，</w:t>
      </w:r>
      <w:r>
        <w:rPr>
          <w:rFonts w:hint="eastAsia" w:ascii="仿宋_GB2312" w:hAnsi="仿宋_GB2312" w:eastAsia="仿宋_GB2312" w:cs="仿宋_GB2312"/>
          <w:highlight w:val="none"/>
          <w:lang w:val="en-US"/>
        </w:rPr>
        <w:t>聚焦人才发展全周期、全链条、全要素需求，探索构建“人才+服务+资本+产业”运作机制，打造专业化、市场化人力资源“总服务商”。建立人力资源服务发展产业政策，探索人力资源服务产业园的建设。综合运用人才政策、产业政策、</w:t>
      </w:r>
      <w:r>
        <w:rPr>
          <w:rFonts w:hint="eastAsia" w:ascii="仿宋_GB2312" w:hAnsi="仿宋_GB2312" w:eastAsia="仿宋_GB2312" w:cs="仿宋_GB2312"/>
          <w:highlight w:val="none"/>
        </w:rPr>
        <w:t>工商登记、资金管理、购租办公用房补贴等</w:t>
      </w:r>
      <w:r>
        <w:rPr>
          <w:rFonts w:hint="eastAsia" w:ascii="仿宋_GB2312" w:hAnsi="仿宋_GB2312" w:eastAsia="仿宋_GB2312" w:cs="仿宋_GB2312"/>
          <w:highlight w:val="none"/>
          <w:lang w:val="en-US"/>
        </w:rPr>
        <w:t>政策优惠，引导国内外</w:t>
      </w:r>
      <w:r>
        <w:rPr>
          <w:rFonts w:hint="eastAsia" w:ascii="仿宋_GB2312" w:hAnsi="仿宋_GB2312" w:eastAsia="仿宋_GB2312" w:cs="仿宋_GB2312"/>
          <w:highlight w:val="none"/>
        </w:rPr>
        <w:t>知名人力资源服务机构</w:t>
      </w:r>
      <w:r>
        <w:rPr>
          <w:rFonts w:hint="eastAsia" w:ascii="仿宋_GB2312" w:hAnsi="仿宋_GB2312" w:eastAsia="仿宋_GB2312" w:cs="仿宋_GB2312"/>
          <w:highlight w:val="none"/>
          <w:lang w:val="en-US"/>
        </w:rPr>
        <w:t>加快向鄂尔多斯聚集</w:t>
      </w:r>
      <w:r>
        <w:rPr>
          <w:rFonts w:hint="eastAsia" w:ascii="仿宋_GB2312" w:hAnsi="仿宋_GB2312" w:eastAsia="仿宋_GB2312" w:cs="仿宋_GB2312"/>
          <w:highlight w:val="none"/>
        </w:rPr>
        <w:t>，加快培育发展高层次、</w:t>
      </w:r>
      <w:r>
        <w:rPr>
          <w:rFonts w:hint="eastAsia" w:ascii="仿宋_GB2312" w:hAnsi="仿宋_GB2312" w:eastAsia="仿宋_GB2312" w:cs="仿宋_GB2312"/>
          <w:highlight w:val="none"/>
          <w:lang w:val="en-US"/>
        </w:rPr>
        <w:t>专业化、国际化</w:t>
      </w:r>
      <w:r>
        <w:rPr>
          <w:rFonts w:hint="eastAsia" w:ascii="仿宋_GB2312" w:hAnsi="仿宋_GB2312" w:eastAsia="仿宋_GB2312" w:cs="仿宋_GB2312"/>
          <w:highlight w:val="none"/>
        </w:rPr>
        <w:t>人才市场，引导人才服务机构利用自身优势，与资本、技</w:t>
      </w:r>
      <w:r>
        <w:rPr>
          <w:rFonts w:hint="eastAsia" w:ascii="仿宋_GB2312" w:hAnsi="仿宋_GB2312" w:eastAsia="仿宋_GB2312" w:cs="仿宋_GB2312"/>
          <w:highlight w:val="none"/>
          <w:lang w:val="en-US"/>
        </w:rPr>
        <w:t>术、信息服务机构融合发展，创新服务产品和服务机制，为企业和人才提供多样化服务。加快建立人力资源服务联盟、行业协会，</w:t>
      </w:r>
      <w:r>
        <w:rPr>
          <w:rFonts w:hint="eastAsia" w:ascii="仿宋_GB2312" w:hAnsi="仿宋_GB2312" w:eastAsia="仿宋_GB2312" w:cs="仿宋_GB2312"/>
          <w:highlight w:val="none"/>
        </w:rPr>
        <w:t>探索实施重大引才活动服务外包，</w:t>
      </w:r>
      <w:r>
        <w:rPr>
          <w:rFonts w:hint="eastAsia" w:ascii="仿宋_GB2312" w:hAnsi="仿宋_GB2312" w:eastAsia="仿宋_GB2312" w:cs="仿宋_GB2312"/>
          <w:highlight w:val="none"/>
          <w:lang w:val="en-US"/>
        </w:rPr>
        <w:t>引导和支持</w:t>
      </w:r>
      <w:r>
        <w:rPr>
          <w:rFonts w:hint="eastAsia" w:ascii="仿宋_GB2312" w:hAnsi="仿宋_GB2312" w:eastAsia="仿宋_GB2312" w:cs="仿宋_GB2312"/>
          <w:highlight w:val="none"/>
        </w:rPr>
        <w:t>人才中介服务机构、</w:t>
      </w:r>
      <w:r>
        <w:rPr>
          <w:rFonts w:hint="eastAsia" w:ascii="仿宋_GB2312" w:hAnsi="仿宋_GB2312" w:eastAsia="仿宋_GB2312" w:cs="仿宋_GB2312"/>
          <w:highlight w:val="none"/>
          <w:lang w:val="en-US"/>
        </w:rPr>
        <w:t>人力资源服务联盟</w:t>
      </w:r>
      <w:r>
        <w:rPr>
          <w:rFonts w:hint="eastAsia" w:ascii="仿宋_GB2312" w:hAnsi="仿宋_GB2312" w:eastAsia="仿宋_GB2312" w:cs="仿宋_GB2312"/>
          <w:highlight w:val="none"/>
        </w:rPr>
        <w:t>开展招人聚才业务，</w:t>
      </w:r>
      <w:r>
        <w:rPr>
          <w:rFonts w:hint="eastAsia" w:ascii="仿宋_GB2312" w:hAnsi="仿宋_GB2312" w:eastAsia="仿宋_GB2312" w:cs="仿宋_GB2312"/>
          <w:highlight w:val="none"/>
          <w:lang w:val="en-US"/>
        </w:rPr>
        <w:t>建立与绩效挂钩的人才服务机构引才奖励</w:t>
      </w:r>
      <w:r>
        <w:rPr>
          <w:rFonts w:hint="eastAsia" w:ascii="仿宋_GB2312" w:hAnsi="仿宋_GB2312" w:eastAsia="仿宋_GB2312" w:cs="仿宋_GB2312"/>
          <w:highlight w:val="none"/>
        </w:rPr>
        <w:t>制度。</w:t>
      </w:r>
      <w:r>
        <w:rPr>
          <w:rFonts w:hint="eastAsia" w:ascii="仿宋_GB2312" w:hAnsi="仿宋_GB2312" w:eastAsia="仿宋_GB2312" w:cs="仿宋_GB2312"/>
          <w:highlight w:val="none"/>
          <w:lang w:val="en-US"/>
        </w:rPr>
        <w:t>进一步</w:t>
      </w:r>
      <w:r>
        <w:rPr>
          <w:rFonts w:hint="eastAsia" w:ascii="仿宋_GB2312" w:hAnsi="仿宋_GB2312" w:eastAsia="仿宋_GB2312" w:cs="仿宋_GB2312"/>
          <w:highlight w:val="none"/>
        </w:rPr>
        <w:t>强化亲才服务，加大清单管理和流程再造力度，探索科技项目和高端人才政务服务的一站式服务机制，实现人才计划申报、社保医疗、住房安居、子女入学等服务“一网通办”。</w:t>
      </w:r>
    </w:p>
    <w:p>
      <w:pPr>
        <w:keepNext/>
        <w:keepLines/>
        <w:pageBreakBefore w:val="0"/>
        <w:widowControl w:val="0"/>
        <w:numPr>
          <w:ilvl w:val="0"/>
          <w:numId w:val="5"/>
        </w:numPr>
        <w:kinsoku/>
        <w:wordWrap/>
        <w:overflowPunct/>
        <w:topLinePunct w:val="0"/>
        <w:autoSpaceDE/>
        <w:bidi w:val="0"/>
        <w:adjustRightInd/>
        <w:spacing w:line="575" w:lineRule="exact"/>
        <w:ind w:firstLine="640" w:firstLineChars="200"/>
        <w:jc w:val="left"/>
        <w:textAlignment w:val="auto"/>
        <w:outlineLvl w:val="1"/>
        <w:rPr>
          <w:rFonts w:ascii="楷体_GB2312" w:hAnsi="楷体_GB2312" w:eastAsia="楷体_GB2312" w:cs="楷体_GB2312"/>
          <w:bCs/>
          <w:szCs w:val="32"/>
          <w:highlight w:val="none"/>
          <w:lang w:val="zh-CN" w:bidi="zh-CN"/>
        </w:rPr>
      </w:pPr>
      <w:bookmarkStart w:id="69" w:name="_Toc25217"/>
      <w:bookmarkStart w:id="70" w:name="_Toc88490297"/>
      <w:bookmarkStart w:id="71" w:name="_Toc91188904"/>
      <w:r>
        <w:rPr>
          <w:rFonts w:hint="eastAsia" w:ascii="楷体_GB2312" w:hAnsi="楷体_GB2312" w:eastAsia="楷体_GB2312" w:cs="楷体_GB2312"/>
          <w:bCs/>
          <w:szCs w:val="32"/>
          <w:highlight w:val="none"/>
          <w:lang w:val="zh-CN" w:bidi="zh-CN"/>
        </w:rPr>
        <w:t>安居环境</w:t>
      </w:r>
      <w:bookmarkEnd w:id="69"/>
      <w:bookmarkEnd w:id="70"/>
      <w:bookmarkEnd w:id="71"/>
    </w:p>
    <w:p>
      <w:pPr>
        <w:pStyle w:val="2"/>
        <w:pageBreakBefore w:val="0"/>
        <w:widowControl w:val="0"/>
        <w:kinsoku/>
        <w:wordWrap/>
        <w:overflowPunct/>
        <w:topLinePunct w:val="0"/>
        <w:autoSpaceDE/>
        <w:bidi w:val="0"/>
        <w:adjustRightInd/>
        <w:spacing w:before="0" w:line="575" w:lineRule="exact"/>
        <w:ind w:left="0" w:leftChars="0" w:firstLine="640" w:firstLineChars="200"/>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深入实施人才安居工程，完善人才住房保障体系，超前建设，积极打造布局合理、配套完善、多元运营的人才公寓，推出一批青年公寓、创业公寓。在人才相对集中的开发区（园区）探索推出一批面向技能人才和产业工人的公益性集体宿舍。对承担国家重大科技项目、国家工程实验室、国家（重点）实验室、国家工程（技术）研究中心建设任务的研究团队，优先安排专家公寓、服务中心。完善区域内交通布局，加快5G基础设施建设，打造智慧城市示范区，提供智能生活方式。</w:t>
      </w:r>
    </w:p>
    <w:p>
      <w:pPr>
        <w:keepNext/>
        <w:keepLines/>
        <w:pageBreakBefore w:val="0"/>
        <w:widowControl w:val="0"/>
        <w:numPr>
          <w:ilvl w:val="0"/>
          <w:numId w:val="5"/>
        </w:numPr>
        <w:kinsoku/>
        <w:wordWrap/>
        <w:overflowPunct/>
        <w:topLinePunct w:val="0"/>
        <w:autoSpaceDE/>
        <w:bidi w:val="0"/>
        <w:adjustRightInd/>
        <w:spacing w:line="575" w:lineRule="exact"/>
        <w:ind w:firstLine="640" w:firstLineChars="200"/>
        <w:jc w:val="left"/>
        <w:textAlignment w:val="auto"/>
        <w:outlineLvl w:val="1"/>
        <w:rPr>
          <w:rFonts w:ascii="楷体_GB2312" w:hAnsi="楷体_GB2312" w:eastAsia="楷体_GB2312" w:cs="楷体_GB2312"/>
          <w:bCs/>
          <w:szCs w:val="32"/>
          <w:highlight w:val="none"/>
          <w:lang w:val="zh-CN" w:bidi="zh-CN"/>
        </w:rPr>
      </w:pPr>
      <w:bookmarkStart w:id="72" w:name="_Toc88490298"/>
      <w:bookmarkStart w:id="73" w:name="_Toc606"/>
      <w:bookmarkStart w:id="74" w:name="_Toc91188905"/>
      <w:r>
        <w:rPr>
          <w:rFonts w:hint="eastAsia" w:ascii="楷体_GB2312" w:hAnsi="楷体_GB2312" w:eastAsia="楷体_GB2312" w:cs="楷体_GB2312"/>
          <w:bCs/>
          <w:szCs w:val="32"/>
          <w:highlight w:val="none"/>
          <w:lang w:val="zh-CN" w:bidi="zh-CN"/>
        </w:rPr>
        <w:t>生活环境</w:t>
      </w:r>
      <w:bookmarkEnd w:id="72"/>
      <w:bookmarkEnd w:id="73"/>
      <w:bookmarkEnd w:id="74"/>
    </w:p>
    <w:p>
      <w:pPr>
        <w:pageBreakBefore w:val="0"/>
        <w:widowControl w:val="0"/>
        <w:kinsoku/>
        <w:wordWrap/>
        <w:overflowPunct/>
        <w:topLinePunct w:val="0"/>
        <w:autoSpaceDE/>
        <w:bidi w:val="0"/>
        <w:adjustRightInd/>
        <w:spacing w:line="575" w:lineRule="exact"/>
        <w:ind w:firstLine="640" w:firstLineChars="200"/>
        <w:textAlignment w:val="auto"/>
        <w:rPr>
          <w:rFonts w:ascii="仿宋_GB2312" w:hAnsi="仿宋_GB2312" w:eastAsia="仿宋_GB2312" w:cs="仿宋_GB2312"/>
          <w:szCs w:val="32"/>
          <w:highlight w:val="none"/>
        </w:rPr>
      </w:pPr>
      <w:r>
        <w:rPr>
          <w:rFonts w:hint="eastAsia" w:ascii="仿宋_GB2312" w:hAnsi="仿宋_GB2312" w:eastAsia="仿宋_GB2312" w:cs="仿宋_GB2312"/>
          <w:szCs w:val="32"/>
          <w:highlight w:val="none"/>
        </w:rPr>
        <w:t>进一步完善鄂尔多斯优质基础教育项目布局，高标准新建义务制教育阶段学校，打造高品质学前教育，支持鄂尔多斯企业、机构、社会力量提供托幼照护、暑假爱心学校、亲子教育等服务。引进优质医疗资源，高标准建设三甲医院，加大紧密型医联体和互联网医院建设，开通就医“绿色通道”，配备健康顾问和咨询服务。做好文体场馆建设、设施更新升级、公共服务供给，积极举办各类体育赛事、展会活动、旅游活动节。整合区旗、街道资源优势，加快人才社区建设，依托党建服务中心，建立人才服务站（窗口），为各类人才提供“一揽子”服务。</w:t>
      </w:r>
    </w:p>
    <w:p>
      <w:pPr>
        <w:keepNext/>
        <w:keepLines/>
        <w:pageBreakBefore w:val="0"/>
        <w:widowControl w:val="0"/>
        <w:numPr>
          <w:ilvl w:val="0"/>
          <w:numId w:val="5"/>
        </w:numPr>
        <w:kinsoku/>
        <w:wordWrap/>
        <w:overflowPunct/>
        <w:topLinePunct w:val="0"/>
        <w:autoSpaceDE/>
        <w:bidi w:val="0"/>
        <w:adjustRightInd/>
        <w:spacing w:line="575" w:lineRule="exact"/>
        <w:ind w:firstLine="640" w:firstLineChars="200"/>
        <w:jc w:val="left"/>
        <w:textAlignment w:val="auto"/>
        <w:outlineLvl w:val="1"/>
        <w:rPr>
          <w:rFonts w:ascii="楷体_GB2312" w:hAnsi="楷体_GB2312" w:eastAsia="楷体_GB2312" w:cs="楷体_GB2312"/>
          <w:bCs/>
          <w:szCs w:val="32"/>
          <w:highlight w:val="none"/>
          <w:lang w:val="zh-CN" w:bidi="zh-CN"/>
        </w:rPr>
      </w:pPr>
      <w:bookmarkStart w:id="75" w:name="_Toc91188906"/>
      <w:bookmarkStart w:id="76" w:name="_Toc88490299"/>
      <w:bookmarkStart w:id="77" w:name="_Toc29373"/>
      <w:r>
        <w:rPr>
          <w:rFonts w:hint="eastAsia" w:ascii="楷体_GB2312" w:hAnsi="楷体_GB2312" w:eastAsia="楷体_GB2312" w:cs="楷体_GB2312"/>
          <w:bCs/>
          <w:szCs w:val="32"/>
          <w:highlight w:val="none"/>
          <w:lang w:val="zh-CN" w:bidi="zh-CN"/>
        </w:rPr>
        <w:t>社会</w:t>
      </w:r>
      <w:bookmarkEnd w:id="75"/>
      <w:bookmarkEnd w:id="76"/>
      <w:r>
        <w:rPr>
          <w:rFonts w:hint="eastAsia" w:ascii="楷体_GB2312" w:hAnsi="楷体_GB2312" w:eastAsia="楷体_GB2312" w:cs="楷体_GB2312"/>
          <w:bCs/>
          <w:szCs w:val="32"/>
          <w:highlight w:val="none"/>
          <w:lang w:val="en-US" w:bidi="zh-CN"/>
        </w:rPr>
        <w:t>环境</w:t>
      </w:r>
      <w:bookmarkEnd w:id="77"/>
    </w:p>
    <w:p>
      <w:pPr>
        <w:pStyle w:val="2"/>
        <w:pageBreakBefore w:val="0"/>
        <w:kinsoku/>
        <w:wordWrap/>
        <w:overflowPunct/>
        <w:topLinePunct w:val="0"/>
        <w:autoSpaceDE/>
        <w:bidi w:val="0"/>
        <w:adjustRightInd/>
        <w:spacing w:before="0" w:line="575" w:lineRule="exact"/>
        <w:ind w:left="0" w:leftChars="0" w:firstLine="640" w:firstLineChars="200"/>
        <w:textAlignment w:val="auto"/>
        <w:rPr>
          <w:rFonts w:hint="eastAsia" w:ascii="仿宋_GB2312" w:hAnsi="仿宋_GB2312" w:eastAsia="仿宋_GB2312" w:cs="仿宋_GB2312"/>
          <w:kern w:val="2"/>
          <w:sz w:val="32"/>
          <w:szCs w:val="32"/>
          <w:highlight w:val="none"/>
          <w:lang w:val="zh-CN" w:eastAsia="zh-CN" w:bidi="ar-SA"/>
        </w:rPr>
      </w:pPr>
      <w:r>
        <w:rPr>
          <w:rFonts w:hint="eastAsia" w:ascii="仿宋_GB2312" w:hAnsi="仿宋_GB2312" w:eastAsia="仿宋_GB2312" w:cs="仿宋_GB2312"/>
          <w:kern w:val="2"/>
          <w:sz w:val="32"/>
          <w:szCs w:val="32"/>
          <w:highlight w:val="none"/>
          <w:lang w:val="zh-CN" w:eastAsia="zh-CN" w:bidi="ar-SA"/>
        </w:rPr>
        <w:t>开展人才凝心聚力工程，加大对人才关心关爱，营造尊重知识、尊重人才、诚信守法、和谐友爱、开放包容的良好氛围，建设开放性、多样性、包容性、创造性的人才发展软环境，增强人才在鄂尔多斯获得感、融入感和幸福感。树立先进典型，大力表彰艰苦边远地区和基层一线人才，加大宣传力度，号召人才扎根边远艰苦地区和基层一线。适时组织人才联谊会、相亲会，组织各行业优秀青年人才加强感情沟通。建立慰问人才制度，定期看望慰问基层一线及艰苦边远地区人才。</w:t>
      </w:r>
      <w:bookmarkStart w:id="78" w:name="_Toc91188907"/>
      <w:bookmarkStart w:id="79" w:name="_Toc88490300"/>
    </w:p>
    <w:p>
      <w:pPr>
        <w:pStyle w:val="2"/>
        <w:pageBreakBefore w:val="0"/>
        <w:kinsoku/>
        <w:wordWrap/>
        <w:overflowPunct/>
        <w:topLinePunct w:val="0"/>
        <w:autoSpaceDE/>
        <w:bidi w:val="0"/>
        <w:adjustRightInd/>
        <w:spacing w:before="0" w:line="575" w:lineRule="exact"/>
        <w:ind w:left="0" w:leftChars="0" w:firstLine="640" w:firstLineChars="200"/>
        <w:textAlignment w:val="auto"/>
        <w:outlineLvl w:val="0"/>
        <w:rPr>
          <w:rFonts w:ascii="黑体" w:hAnsi="黑体" w:eastAsia="黑体" w:cs="黑体"/>
          <w:bCs/>
          <w:kern w:val="44"/>
          <w:szCs w:val="32"/>
          <w:highlight w:val="none"/>
        </w:rPr>
      </w:pPr>
      <w:bookmarkStart w:id="80" w:name="_Toc31274"/>
      <w:r>
        <w:rPr>
          <w:rFonts w:hint="eastAsia" w:ascii="黑体" w:hAnsi="黑体" w:eastAsia="黑体" w:cs="黑体"/>
          <w:bCs/>
          <w:kern w:val="44"/>
          <w:szCs w:val="32"/>
          <w:highlight w:val="none"/>
          <w:lang w:val="en-US" w:eastAsia="zh-CN"/>
        </w:rPr>
        <w:t>六、</w:t>
      </w:r>
      <w:r>
        <w:rPr>
          <w:rFonts w:hint="eastAsia" w:ascii="黑体" w:hAnsi="黑体" w:eastAsia="黑体" w:cs="黑体"/>
          <w:bCs/>
          <w:kern w:val="44"/>
          <w:szCs w:val="32"/>
          <w:highlight w:val="none"/>
        </w:rPr>
        <w:t>组织领导</w:t>
      </w:r>
      <w:bookmarkEnd w:id="78"/>
      <w:bookmarkEnd w:id="79"/>
      <w:bookmarkEnd w:id="80"/>
    </w:p>
    <w:p>
      <w:pPr>
        <w:keepNext/>
        <w:keepLines/>
        <w:pageBreakBefore w:val="0"/>
        <w:widowControl w:val="0"/>
        <w:numPr>
          <w:ilvl w:val="0"/>
          <w:numId w:val="6"/>
        </w:numPr>
        <w:kinsoku/>
        <w:wordWrap/>
        <w:overflowPunct/>
        <w:topLinePunct w:val="0"/>
        <w:autoSpaceDE/>
        <w:bidi w:val="0"/>
        <w:adjustRightInd/>
        <w:spacing w:line="575" w:lineRule="exact"/>
        <w:ind w:firstLine="640" w:firstLineChars="200"/>
        <w:jc w:val="left"/>
        <w:textAlignment w:val="auto"/>
        <w:outlineLvl w:val="1"/>
        <w:rPr>
          <w:rFonts w:ascii="楷体_GB2312" w:hAnsi="楷体_GB2312" w:eastAsia="楷体_GB2312" w:cs="楷体_GB2312"/>
          <w:bCs/>
          <w:szCs w:val="32"/>
          <w:highlight w:val="none"/>
          <w:lang w:val="zh-CN" w:bidi="zh-CN"/>
        </w:rPr>
      </w:pPr>
      <w:bookmarkStart w:id="81" w:name="_Toc88490301"/>
      <w:bookmarkStart w:id="82" w:name="_Toc91188908"/>
      <w:bookmarkStart w:id="83" w:name="_Toc16629"/>
      <w:r>
        <w:rPr>
          <w:rFonts w:hint="eastAsia" w:ascii="楷体_GB2312" w:hAnsi="楷体_GB2312" w:eastAsia="楷体_GB2312" w:cs="楷体_GB2312"/>
          <w:bCs/>
          <w:szCs w:val="32"/>
          <w:highlight w:val="none"/>
          <w:lang w:val="zh-CN" w:bidi="zh-CN"/>
        </w:rPr>
        <w:t>加强组织</w:t>
      </w:r>
      <w:bookmarkEnd w:id="81"/>
      <w:bookmarkEnd w:id="82"/>
      <w:r>
        <w:rPr>
          <w:rFonts w:hint="eastAsia" w:ascii="楷体_GB2312" w:hAnsi="楷体_GB2312" w:eastAsia="楷体_GB2312" w:cs="楷体_GB2312"/>
          <w:bCs/>
          <w:szCs w:val="32"/>
          <w:highlight w:val="none"/>
          <w:lang w:val="en-US" w:bidi="zh-CN"/>
        </w:rPr>
        <w:t>领导</w:t>
      </w:r>
      <w:bookmarkEnd w:id="83"/>
    </w:p>
    <w:p>
      <w:pPr>
        <w:pageBreakBefore w:val="0"/>
        <w:widowControl w:val="0"/>
        <w:kinsoku/>
        <w:wordWrap/>
        <w:overflowPunct/>
        <w:topLinePunct w:val="0"/>
        <w:autoSpaceDE/>
        <w:bidi w:val="0"/>
        <w:adjustRightInd/>
        <w:spacing w:line="575" w:lineRule="exact"/>
        <w:ind w:firstLine="640" w:firstLineChars="200"/>
        <w:textAlignment w:val="auto"/>
        <w:rPr>
          <w:rFonts w:hint="eastAsia" w:ascii="仿宋_GB2312" w:hAnsi="仿宋_GB2312" w:eastAsia="仿宋_GB2312" w:cs="仿宋_GB2312"/>
          <w:szCs w:val="32"/>
          <w:highlight w:val="none"/>
          <w:lang w:val="en-US" w:eastAsia="zh-CN"/>
        </w:rPr>
      </w:pPr>
      <w:r>
        <w:rPr>
          <w:rFonts w:hint="eastAsia" w:ascii="仿宋_GB2312" w:hAnsi="仿宋_GB2312" w:eastAsia="仿宋_GB2312" w:cs="仿宋_GB2312"/>
          <w:szCs w:val="32"/>
          <w:highlight w:val="none"/>
        </w:rPr>
        <w:t>坚持党管人才原则，加强党对人才工作的全面领导，强化党委谋划人才发展战略职责，进一步完善鄂尔多斯人才工作领导小组运行机制。</w:t>
      </w:r>
      <w:r>
        <w:rPr>
          <w:rFonts w:hint="eastAsia" w:ascii="仿宋_GB2312" w:hAnsi="仿宋_GB2312" w:eastAsia="仿宋_GB2312" w:cs="仿宋_GB2312"/>
          <w:szCs w:val="32"/>
          <w:highlight w:val="none"/>
          <w:lang w:val="en-US" w:eastAsia="zh-CN"/>
        </w:rPr>
        <w:t>各地各部门要认真贯彻落实规划确定的各项任务，结合职能制定具体行动计划和专项推进方案，形成推动人才发展的强大合力。进一步加大对重大人才工程实施、重点人才平台建设、重要人才政策落实的协调力度，及时研究解决工作中的困难和问题。</w:t>
      </w:r>
    </w:p>
    <w:p>
      <w:pPr>
        <w:keepNext/>
        <w:keepLines/>
        <w:pageBreakBefore w:val="0"/>
        <w:widowControl w:val="0"/>
        <w:numPr>
          <w:ilvl w:val="0"/>
          <w:numId w:val="6"/>
        </w:numPr>
        <w:kinsoku/>
        <w:wordWrap/>
        <w:overflowPunct/>
        <w:topLinePunct w:val="0"/>
        <w:autoSpaceDE/>
        <w:bidi w:val="0"/>
        <w:adjustRightInd/>
        <w:spacing w:line="575" w:lineRule="exact"/>
        <w:ind w:firstLine="640" w:firstLineChars="200"/>
        <w:jc w:val="left"/>
        <w:textAlignment w:val="auto"/>
        <w:outlineLvl w:val="1"/>
        <w:rPr>
          <w:rFonts w:hint="eastAsia" w:ascii="楷体_GB2312" w:hAnsi="楷体_GB2312" w:eastAsia="楷体_GB2312" w:cs="楷体_GB2312"/>
          <w:bCs/>
          <w:szCs w:val="32"/>
          <w:highlight w:val="none"/>
          <w:lang w:val="en-US" w:eastAsia="zh-CN" w:bidi="zh-CN"/>
        </w:rPr>
      </w:pPr>
      <w:bookmarkStart w:id="84" w:name="_Toc24911"/>
      <w:r>
        <w:rPr>
          <w:rFonts w:hint="eastAsia" w:ascii="楷体_GB2312" w:hAnsi="楷体_GB2312" w:eastAsia="楷体_GB2312" w:cs="楷体_GB2312"/>
          <w:bCs/>
          <w:szCs w:val="32"/>
          <w:highlight w:val="none"/>
          <w:lang w:val="en-US" w:eastAsia="zh-CN" w:bidi="zh-CN"/>
        </w:rPr>
        <w:t>加强监测评估</w:t>
      </w:r>
      <w:bookmarkEnd w:id="84"/>
    </w:p>
    <w:p>
      <w:pPr>
        <w:pageBreakBefore w:val="0"/>
        <w:widowControl w:val="0"/>
        <w:numPr>
          <w:ilvl w:val="0"/>
          <w:numId w:val="0"/>
        </w:numPr>
        <w:kinsoku/>
        <w:wordWrap/>
        <w:overflowPunct/>
        <w:topLinePunct w:val="0"/>
        <w:autoSpaceDE/>
        <w:bidi w:val="0"/>
        <w:adjustRightInd/>
        <w:spacing w:line="575" w:lineRule="exact"/>
        <w:ind w:firstLine="640" w:firstLineChars="200"/>
        <w:textAlignment w:val="auto"/>
        <w:rPr>
          <w:rFonts w:hint="default"/>
          <w:lang w:val="en-US" w:eastAsia="zh-CN"/>
        </w:rPr>
      </w:pPr>
      <w:r>
        <w:rPr>
          <w:rFonts w:hint="eastAsia" w:ascii="仿宋_GB2312" w:hAnsi="仿宋_GB2312" w:eastAsia="仿宋_GB2312" w:cs="仿宋_GB2312"/>
          <w:szCs w:val="32"/>
          <w:highlight w:val="none"/>
          <w:lang w:val="en-US" w:eastAsia="zh-CN"/>
        </w:rPr>
        <w:t>加强对规划落实情况的督促检查，建立规划实施情况的年度和中期监测评估机制，跟踪分析，终期总结，研究解决规划实施过程中出现的新情况新问题，确保规划全面落地，有效实施。根据规划和实施评估情况，修订完善市对旗区、部门人才工作目标责任制考核体系，确保人才发展重点工作有序推进，规划目标任务全面实现。</w:t>
      </w:r>
    </w:p>
    <w:p>
      <w:pPr>
        <w:keepNext/>
        <w:keepLines/>
        <w:pageBreakBefore w:val="0"/>
        <w:widowControl w:val="0"/>
        <w:numPr>
          <w:ilvl w:val="0"/>
          <w:numId w:val="6"/>
        </w:numPr>
        <w:kinsoku/>
        <w:wordWrap/>
        <w:overflowPunct/>
        <w:topLinePunct w:val="0"/>
        <w:autoSpaceDE/>
        <w:bidi w:val="0"/>
        <w:adjustRightInd/>
        <w:spacing w:line="575" w:lineRule="exact"/>
        <w:ind w:firstLine="640" w:firstLineChars="200"/>
        <w:jc w:val="left"/>
        <w:textAlignment w:val="auto"/>
        <w:outlineLvl w:val="1"/>
        <w:rPr>
          <w:rFonts w:hint="eastAsia" w:ascii="楷体_GB2312" w:hAnsi="楷体_GB2312" w:eastAsia="楷体_GB2312" w:cs="楷体_GB2312"/>
          <w:bCs/>
          <w:szCs w:val="32"/>
          <w:highlight w:val="none"/>
          <w:lang w:val="zh-CN" w:bidi="zh-CN"/>
        </w:rPr>
      </w:pPr>
      <w:bookmarkStart w:id="85" w:name="_Toc91188909"/>
      <w:bookmarkStart w:id="86" w:name="_Toc88490302"/>
      <w:bookmarkStart w:id="87" w:name="_Toc15941"/>
      <w:r>
        <w:rPr>
          <w:rFonts w:hint="eastAsia" w:ascii="楷体_GB2312" w:hAnsi="楷体_GB2312" w:eastAsia="楷体_GB2312" w:cs="楷体_GB2312"/>
          <w:bCs/>
          <w:szCs w:val="32"/>
          <w:highlight w:val="none"/>
          <w:lang w:val="zh-CN" w:bidi="zh-CN"/>
        </w:rPr>
        <w:t>加强</w:t>
      </w:r>
      <w:r>
        <w:rPr>
          <w:rFonts w:hint="eastAsia" w:ascii="楷体_GB2312" w:hAnsi="楷体_GB2312" w:eastAsia="楷体_GB2312" w:cs="楷体_GB2312"/>
          <w:bCs/>
          <w:szCs w:val="32"/>
          <w:highlight w:val="none"/>
          <w:lang w:val="en-US" w:bidi="zh-CN"/>
        </w:rPr>
        <w:t>投入</w:t>
      </w:r>
      <w:bookmarkEnd w:id="85"/>
      <w:bookmarkEnd w:id="86"/>
      <w:r>
        <w:rPr>
          <w:rFonts w:hint="eastAsia" w:ascii="楷体_GB2312" w:hAnsi="楷体_GB2312" w:eastAsia="楷体_GB2312" w:cs="楷体_GB2312"/>
          <w:bCs/>
          <w:szCs w:val="32"/>
          <w:highlight w:val="none"/>
          <w:lang w:val="en-US" w:bidi="zh-CN"/>
        </w:rPr>
        <w:t>保障</w:t>
      </w:r>
      <w:bookmarkEnd w:id="87"/>
    </w:p>
    <w:p>
      <w:pPr>
        <w:pageBreakBefore w:val="0"/>
        <w:widowControl w:val="0"/>
        <w:kinsoku/>
        <w:wordWrap/>
        <w:overflowPunct/>
        <w:topLinePunct w:val="0"/>
        <w:autoSpaceDE/>
        <w:bidi w:val="0"/>
        <w:adjustRightInd/>
        <w:spacing w:line="575" w:lineRule="exact"/>
        <w:ind w:firstLine="640" w:firstLineChars="200"/>
        <w:textAlignment w:val="auto"/>
        <w:rPr>
          <w:rFonts w:hint="eastAsia" w:eastAsia="仿宋"/>
          <w:lang w:eastAsia="zh-CN"/>
        </w:rPr>
      </w:pPr>
      <w:r>
        <w:rPr>
          <w:rFonts w:hint="eastAsia" w:ascii="仿宋_GB2312" w:hAnsi="仿宋_GB2312" w:eastAsia="仿宋_GB2312" w:cs="仿宋_GB2312"/>
          <w:szCs w:val="32"/>
          <w:highlight w:val="none"/>
        </w:rPr>
        <w:t>进一步加大对人才发展的投入，保持人才投入与经济发展同步增长，重点保障人才发展重大项目、重大工程实施、紧缺急需人才引进、各类人才教育培训及对发展有突出贡献人才的奖励。探索股权投资方式实施“拨款”改“投资”改革，健全政府引导、市场运作、规范管理机制。加强人才资金绩效评价，并与人才政策调整和资金安排挂钩。</w:t>
      </w:r>
    </w:p>
    <w:p>
      <w:pPr>
        <w:keepNext/>
        <w:keepLines/>
        <w:pageBreakBefore w:val="0"/>
        <w:widowControl w:val="0"/>
        <w:numPr>
          <w:ilvl w:val="0"/>
          <w:numId w:val="6"/>
        </w:numPr>
        <w:kinsoku/>
        <w:wordWrap/>
        <w:overflowPunct/>
        <w:topLinePunct w:val="0"/>
        <w:autoSpaceDE/>
        <w:bidi w:val="0"/>
        <w:adjustRightInd/>
        <w:spacing w:line="575" w:lineRule="exact"/>
        <w:ind w:firstLine="640" w:firstLineChars="200"/>
        <w:jc w:val="left"/>
        <w:textAlignment w:val="auto"/>
        <w:outlineLvl w:val="1"/>
        <w:rPr>
          <w:rFonts w:ascii="楷体_GB2312" w:hAnsi="楷体_GB2312" w:eastAsia="楷体_GB2312" w:cs="楷体_GB2312"/>
          <w:bCs/>
          <w:szCs w:val="32"/>
          <w:highlight w:val="none"/>
          <w:lang w:val="zh-CN" w:bidi="zh-CN"/>
        </w:rPr>
      </w:pPr>
      <w:bookmarkStart w:id="88" w:name="_Toc91188910"/>
      <w:bookmarkStart w:id="89" w:name="_Toc88490303"/>
      <w:bookmarkStart w:id="90" w:name="_Toc22727"/>
      <w:r>
        <w:rPr>
          <w:rFonts w:hint="eastAsia" w:ascii="楷体_GB2312" w:hAnsi="楷体_GB2312" w:eastAsia="楷体_GB2312" w:cs="楷体_GB2312"/>
          <w:bCs/>
          <w:szCs w:val="32"/>
          <w:highlight w:val="none"/>
          <w:lang w:val="zh-CN" w:bidi="zh-CN"/>
        </w:rPr>
        <w:t>加强人才引领</w:t>
      </w:r>
      <w:bookmarkEnd w:id="88"/>
      <w:bookmarkEnd w:id="89"/>
      <w:bookmarkEnd w:id="90"/>
    </w:p>
    <w:p>
      <w:pPr>
        <w:pageBreakBefore w:val="0"/>
        <w:widowControl w:val="0"/>
        <w:kinsoku/>
        <w:wordWrap/>
        <w:overflowPunct/>
        <w:topLinePunct w:val="0"/>
        <w:autoSpaceDE/>
        <w:bidi w:val="0"/>
        <w:adjustRightInd/>
        <w:spacing w:line="575" w:lineRule="exact"/>
        <w:ind w:firstLine="640" w:firstLineChars="200"/>
        <w:textAlignment w:val="auto"/>
        <w:rPr>
          <w:rFonts w:ascii="仿宋_GB2312" w:hAnsi="仿宋_GB2312" w:eastAsia="仿宋_GB2312" w:cs="仿宋_GB2312"/>
          <w:szCs w:val="32"/>
          <w:highlight w:val="none"/>
        </w:rPr>
      </w:pPr>
      <w:r>
        <w:rPr>
          <w:rFonts w:hint="eastAsia" w:ascii="仿宋_GB2312" w:hAnsi="仿宋_GB2312" w:eastAsia="仿宋_GB2312" w:cs="仿宋_GB2312"/>
          <w:szCs w:val="32"/>
          <w:highlight w:val="none"/>
        </w:rPr>
        <w:t>坚持落实党委领导联系专家制度，持续开展人才走访和调研慰问工作。定期开展“弘扬爱国奋斗精神、建功立业新时代”</w:t>
      </w:r>
      <w:r>
        <w:rPr>
          <w:rFonts w:hint="eastAsia" w:ascii="仿宋_GB2312" w:hAnsi="仿宋_GB2312" w:eastAsia="仿宋_GB2312" w:cs="仿宋_GB2312"/>
          <w:szCs w:val="32"/>
          <w:highlight w:val="none"/>
          <w:lang w:eastAsia="zh-CN"/>
        </w:rPr>
        <w:t>主题教育</w:t>
      </w:r>
      <w:r>
        <w:rPr>
          <w:rFonts w:hint="eastAsia" w:ascii="仿宋_GB2312" w:hAnsi="仿宋_GB2312" w:eastAsia="仿宋_GB2312" w:cs="仿宋_GB2312"/>
          <w:szCs w:val="32"/>
          <w:highlight w:val="none"/>
        </w:rPr>
        <w:t>，加强人才政治引领、政治吸纳，用好身份吸纳、评优吸纳、活动吸纳等政治吸纳手段，加大在高层次人才、高知识群体中发展党员工作力度。</w:t>
      </w:r>
    </w:p>
    <w:p>
      <w:pPr>
        <w:keepNext/>
        <w:keepLines/>
        <w:pageBreakBefore w:val="0"/>
        <w:widowControl w:val="0"/>
        <w:numPr>
          <w:ilvl w:val="0"/>
          <w:numId w:val="6"/>
        </w:numPr>
        <w:kinsoku/>
        <w:wordWrap/>
        <w:overflowPunct/>
        <w:topLinePunct w:val="0"/>
        <w:autoSpaceDE/>
        <w:bidi w:val="0"/>
        <w:adjustRightInd/>
        <w:spacing w:line="575" w:lineRule="exact"/>
        <w:ind w:firstLine="640" w:firstLineChars="200"/>
        <w:jc w:val="left"/>
        <w:textAlignment w:val="auto"/>
        <w:outlineLvl w:val="1"/>
        <w:rPr>
          <w:rFonts w:ascii="楷体_GB2312" w:hAnsi="楷体_GB2312" w:eastAsia="楷体_GB2312" w:cs="楷体_GB2312"/>
          <w:bCs/>
          <w:szCs w:val="32"/>
          <w:highlight w:val="none"/>
          <w:lang w:val="zh-CN" w:bidi="zh-CN"/>
        </w:rPr>
      </w:pPr>
      <w:bookmarkStart w:id="91" w:name="_Toc91188911"/>
      <w:bookmarkStart w:id="92" w:name="_Toc29381"/>
      <w:bookmarkStart w:id="93" w:name="_Toc88490304"/>
      <w:r>
        <w:rPr>
          <w:rFonts w:hint="eastAsia" w:ascii="楷体_GB2312" w:hAnsi="楷体_GB2312" w:eastAsia="楷体_GB2312" w:cs="楷体_GB2312"/>
          <w:bCs/>
          <w:szCs w:val="32"/>
          <w:highlight w:val="none"/>
          <w:lang w:val="zh-CN" w:bidi="zh-CN"/>
        </w:rPr>
        <w:t>加强宣传推荐</w:t>
      </w:r>
      <w:bookmarkEnd w:id="91"/>
      <w:bookmarkEnd w:id="92"/>
      <w:bookmarkEnd w:id="93"/>
    </w:p>
    <w:p>
      <w:pPr>
        <w:pageBreakBefore w:val="0"/>
        <w:widowControl w:val="0"/>
        <w:kinsoku/>
        <w:wordWrap/>
        <w:overflowPunct/>
        <w:topLinePunct w:val="0"/>
        <w:autoSpaceDE/>
        <w:bidi w:val="0"/>
        <w:adjustRightInd/>
        <w:spacing w:line="575" w:lineRule="exact"/>
        <w:ind w:firstLine="640" w:firstLineChars="200"/>
        <w:textAlignment w:val="auto"/>
        <w:rPr>
          <w:rFonts w:ascii="仿宋_GB2312" w:hAnsi="仿宋_GB2312" w:eastAsia="仿宋_GB2312" w:cs="仿宋_GB2312"/>
          <w:szCs w:val="32"/>
          <w:highlight w:val="none"/>
        </w:rPr>
      </w:pPr>
      <w:r>
        <w:rPr>
          <w:rFonts w:hint="eastAsia" w:ascii="仿宋_GB2312" w:hAnsi="仿宋_GB2312" w:eastAsia="仿宋_GB2312" w:cs="仿宋_GB2312"/>
          <w:szCs w:val="32"/>
          <w:highlight w:val="none"/>
        </w:rPr>
        <w:t>积极开展人才选树活动，完善人才荣誉制度和激励体系，广泛宣传优秀人才先进事迹，大力培育创新文化，积极弘扬创业精神，彰显辐射效应、雁阵效应和共生效应。加强主流媒体、融媒体合作力度，规划建设人才工作交流展示实体空间，加大人才典型宣传，打造</w:t>
      </w:r>
      <w:r>
        <w:rPr>
          <w:rFonts w:hint="eastAsia" w:ascii="仿宋_GB2312" w:hAnsi="仿宋_GB2312" w:eastAsia="仿宋_GB2312" w:cs="仿宋_GB2312"/>
          <w:color w:val="000000" w:themeColor="text1"/>
          <w:szCs w:val="32"/>
          <w:highlight w:val="none"/>
          <w14:textFill>
            <w14:solidFill>
              <w14:schemeClr w14:val="tx1"/>
            </w14:solidFill>
          </w14:textFill>
        </w:rPr>
        <w:t>成为人才</w:t>
      </w:r>
      <w:r>
        <w:rPr>
          <w:rFonts w:hint="eastAsia" w:ascii="仿宋_GB2312" w:hAnsi="仿宋_GB2312" w:eastAsia="仿宋_GB2312" w:cs="仿宋_GB2312"/>
          <w:szCs w:val="32"/>
          <w:highlight w:val="none"/>
        </w:rPr>
        <w:t>展示平台、交流平台、推荐平台。加大</w:t>
      </w:r>
      <w:r>
        <w:rPr>
          <w:rFonts w:hint="eastAsia" w:ascii="仿宋_GB2312" w:hAnsi="仿宋_GB2312" w:eastAsia="仿宋_GB2312" w:cs="仿宋_GB2312"/>
          <w:szCs w:val="32"/>
          <w:highlight w:val="none"/>
          <w:lang w:val="en-US" w:eastAsia="zh-CN"/>
        </w:rPr>
        <w:t>人才</w:t>
      </w:r>
      <w:r>
        <w:rPr>
          <w:rFonts w:hint="eastAsia" w:ascii="仿宋_GB2312" w:hAnsi="仿宋_GB2312" w:eastAsia="仿宋_GB2312" w:cs="仿宋_GB2312"/>
          <w:szCs w:val="32"/>
          <w:highlight w:val="none"/>
        </w:rPr>
        <w:t>鄂尔多斯品牌和工作形象宣传，不断增强鄂尔多斯城市影响力、吸引力。</w:t>
      </w:r>
    </w:p>
    <w:p>
      <w:pPr>
        <w:keepNext/>
        <w:keepLines/>
        <w:pageBreakBefore w:val="0"/>
        <w:widowControl w:val="0"/>
        <w:numPr>
          <w:ilvl w:val="0"/>
          <w:numId w:val="6"/>
        </w:numPr>
        <w:kinsoku/>
        <w:wordWrap/>
        <w:overflowPunct/>
        <w:topLinePunct w:val="0"/>
        <w:autoSpaceDE/>
        <w:bidi w:val="0"/>
        <w:adjustRightInd/>
        <w:spacing w:line="575" w:lineRule="exact"/>
        <w:ind w:firstLine="640" w:firstLineChars="200"/>
        <w:jc w:val="left"/>
        <w:textAlignment w:val="auto"/>
        <w:outlineLvl w:val="1"/>
        <w:rPr>
          <w:rFonts w:ascii="楷体_GB2312" w:hAnsi="楷体_GB2312" w:eastAsia="楷体_GB2312" w:cs="楷体_GB2312"/>
          <w:bCs/>
          <w:szCs w:val="32"/>
          <w:highlight w:val="none"/>
          <w:lang w:val="zh-CN" w:bidi="zh-CN"/>
        </w:rPr>
      </w:pPr>
      <w:bookmarkStart w:id="94" w:name="_Toc12076"/>
      <w:bookmarkStart w:id="95" w:name="_Toc91188912"/>
      <w:bookmarkStart w:id="96" w:name="_Toc88490305"/>
      <w:r>
        <w:rPr>
          <w:rFonts w:hint="eastAsia" w:ascii="楷体_GB2312" w:hAnsi="楷体_GB2312" w:eastAsia="楷体_GB2312" w:cs="楷体_GB2312"/>
          <w:bCs/>
          <w:szCs w:val="32"/>
          <w:highlight w:val="none"/>
          <w:lang w:val="zh-CN" w:bidi="zh-CN"/>
        </w:rPr>
        <w:t>加强人才工作者队伍建设</w:t>
      </w:r>
      <w:bookmarkEnd w:id="94"/>
      <w:bookmarkEnd w:id="95"/>
      <w:bookmarkEnd w:id="96"/>
    </w:p>
    <w:p>
      <w:pPr>
        <w:pageBreakBefore w:val="0"/>
        <w:widowControl w:val="0"/>
        <w:kinsoku/>
        <w:wordWrap/>
        <w:overflowPunct/>
        <w:topLinePunct w:val="0"/>
        <w:autoSpaceDE/>
        <w:bidi w:val="0"/>
        <w:adjustRightInd/>
        <w:spacing w:line="575" w:lineRule="exact"/>
        <w:ind w:firstLine="640" w:firstLineChars="200"/>
        <w:textAlignment w:val="auto"/>
        <w:rPr>
          <w:rFonts w:ascii="仿宋_GB2312" w:hAnsi="仿宋_GB2312" w:eastAsia="仿宋_GB2312" w:cs="仿宋_GB2312"/>
          <w:szCs w:val="32"/>
          <w:highlight w:val="none"/>
        </w:rPr>
      </w:pPr>
      <w:r>
        <w:rPr>
          <w:rFonts w:hint="eastAsia" w:ascii="仿宋_GB2312" w:hAnsi="仿宋_GB2312" w:eastAsia="仿宋_GB2312" w:cs="仿宋_GB2312"/>
          <w:szCs w:val="32"/>
          <w:highlight w:val="none"/>
        </w:rPr>
        <w:t>推动基层单位配强人才工作力量，建立人才工作联络员制度，推进企事业</w:t>
      </w:r>
      <w:r>
        <w:rPr>
          <w:rFonts w:hint="eastAsia" w:ascii="仿宋_GB2312" w:hAnsi="仿宋_GB2312" w:eastAsia="仿宋_GB2312" w:cs="仿宋_GB2312"/>
          <w:szCs w:val="32"/>
          <w:highlight w:val="none"/>
          <w:lang w:val="en-US" w:eastAsia="zh-CN"/>
        </w:rPr>
        <w:t>单位</w:t>
      </w:r>
      <w:r>
        <w:rPr>
          <w:rFonts w:hint="eastAsia" w:ascii="仿宋_GB2312" w:hAnsi="仿宋_GB2312" w:eastAsia="仿宋_GB2312" w:cs="仿宋_GB2312"/>
          <w:szCs w:val="32"/>
          <w:highlight w:val="none"/>
        </w:rPr>
        <w:t>人力资源经理和部门、旗区人才工作者</w:t>
      </w:r>
      <w:r>
        <w:rPr>
          <w:rFonts w:hint="eastAsia" w:ascii="仿宋_GB2312" w:hAnsi="仿宋_GB2312" w:eastAsia="仿宋_GB2312" w:cs="仿宋_GB2312"/>
          <w:szCs w:val="32"/>
          <w:highlight w:val="none"/>
          <w:lang w:val="en-US" w:eastAsia="zh-CN"/>
        </w:rPr>
        <w:t>能力</w:t>
      </w:r>
      <w:r>
        <w:rPr>
          <w:rFonts w:hint="eastAsia" w:ascii="仿宋_GB2312" w:hAnsi="仿宋_GB2312" w:eastAsia="仿宋_GB2312" w:cs="仿宋_GB2312"/>
          <w:szCs w:val="32"/>
          <w:highlight w:val="none"/>
        </w:rPr>
        <w:t>建设，</w:t>
      </w:r>
      <w:r>
        <w:rPr>
          <w:rFonts w:hint="eastAsia" w:ascii="仿宋_GB2312" w:hAnsi="仿宋_GB2312" w:eastAsia="仿宋_GB2312" w:cs="仿宋_GB2312"/>
          <w:szCs w:val="32"/>
          <w:highlight w:val="none"/>
          <w:lang w:val="en-US" w:eastAsia="zh-CN"/>
        </w:rPr>
        <w:t>持续选优配强人才工作力量，</w:t>
      </w:r>
      <w:r>
        <w:rPr>
          <w:rFonts w:hint="eastAsia" w:ascii="仿宋_GB2312" w:hAnsi="仿宋_GB2312" w:eastAsia="仿宋_GB2312" w:cs="仿宋_GB2312"/>
          <w:szCs w:val="32"/>
          <w:highlight w:val="none"/>
        </w:rPr>
        <w:t>培育和造就一支适应鄂尔多斯高质量发展的高素质、专业化、复合型人才工作者队伍。</w:t>
      </w:r>
    </w:p>
    <w:sectPr>
      <w:footerReference r:id="rId3" w:type="default"/>
      <w:pgSz w:w="11906" w:h="16838"/>
      <w:pgMar w:top="2098" w:right="1474" w:bottom="1984" w:left="1587"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ADEC2AD-B80A-45F1-8F20-CA4EAC131E9E}"/>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2" w:fontKey="{A62ED6A8-6B43-4A47-AA1B-10D33A9CA97D}"/>
  </w:font>
  <w:font w:name="方正小标宋简体">
    <w:altName w:val="方正舒体"/>
    <w:panose1 w:val="02000000000000000000"/>
    <w:charset w:val="86"/>
    <w:family w:val="script"/>
    <w:pitch w:val="default"/>
    <w:sig w:usb0="00000000" w:usb1="00000000" w:usb2="00000012" w:usb3="00000000" w:csb0="00040001" w:csb1="00000000"/>
    <w:embedRegular r:id="rId3" w:fontKey="{0F005436-13D8-48BE-97D9-647EFB30FCCF}"/>
  </w:font>
  <w:font w:name="楷体_GB2312">
    <w:panose1 w:val="02010609030101010101"/>
    <w:charset w:val="86"/>
    <w:family w:val="modern"/>
    <w:pitch w:val="default"/>
    <w:sig w:usb0="00000001" w:usb1="080E0000" w:usb2="00000000" w:usb3="00000000" w:csb0="00040000" w:csb1="00000000"/>
    <w:embedRegular r:id="rId4" w:fontKey="{07786560-7B41-45EC-8A9D-962208F1A9C9}"/>
  </w:font>
  <w:font w:name="仿宋_GB2312">
    <w:panose1 w:val="02010609030101010101"/>
    <w:charset w:val="86"/>
    <w:family w:val="modern"/>
    <w:pitch w:val="default"/>
    <w:sig w:usb0="00000001" w:usb1="080E0000" w:usb2="00000000" w:usb3="00000000" w:csb0="00040000" w:csb1="00000000"/>
    <w:embedRegular r:id="rId5" w:fontKey="{01A07DA7-7767-4146-ABF2-5C77572B5C3A}"/>
  </w:font>
  <w:font w:name="NEU-BZ">
    <w:altName w:val="仿宋"/>
    <w:panose1 w:val="00000000000000000000"/>
    <w:charset w:val="00"/>
    <w:family w:val="script"/>
    <w:pitch w:val="default"/>
    <w:sig w:usb0="00000000" w:usb1="00000000" w:usb2="000A005E" w:usb3="00000000" w:csb0="003C0041" w:csb1="00000000"/>
    <w:embedRegular r:id="rId6" w:fontKey="{996A4E51-141A-4DEB-AE8B-FCFB9E190544}"/>
  </w:font>
  <w:font w:name="方正小标宋_GBK">
    <w:altName w:val="微软雅黑"/>
    <w:panose1 w:val="03000509000000000000"/>
    <w:charset w:val="86"/>
    <w:family w:val="auto"/>
    <w:pitch w:val="default"/>
    <w:sig w:usb0="00000000" w:usb1="00000000" w:usb2="00000000" w:usb3="00000000" w:csb0="00040000" w:csb1="00000000"/>
    <w:embedRegular r:id="rId7" w:fontKey="{A373907B-C2CD-4B0C-B93A-C6B6D95E5732}"/>
  </w:font>
  <w:font w:name="方正舒体">
    <w:panose1 w:val="02010601030101010101"/>
    <w:charset w:val="86"/>
    <w:family w:val="auto"/>
    <w:pitch w:val="default"/>
    <w:sig w:usb0="00000003"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p>
  <w:p>
    <w:pPr>
      <w:pStyle w:val="13"/>
      <w:jc w:val="center"/>
    </w:pPr>
  </w:p>
  <w:p>
    <w:pPr>
      <w:pStyle w:val="13"/>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966698291"/>
                          </w:sdtPr>
                          <w:sdtContent>
                            <w:p>
                              <w:pPr>
                                <w:pStyle w:val="13"/>
                                <w:keepNext w:val="0"/>
                                <w:keepLines w:val="0"/>
                                <w:pageBreakBefore w:val="0"/>
                                <w:widowControl w:val="0"/>
                                <w:kinsoku/>
                                <w:wordWrap/>
                                <w:overflowPunct/>
                                <w:topLinePunct w:val="0"/>
                                <w:autoSpaceDE/>
                                <w:autoSpaceDN/>
                                <w:bidi w:val="0"/>
                                <w:adjustRightInd/>
                                <w:snapToGrid w:val="0"/>
                                <w:ind w:left="320" w:leftChars="100" w:right="320" w:rightChars="100"/>
                                <w:jc w:val="center"/>
                                <w:textAlignment w:val="auto"/>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 MERGEFORMAT</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36</w:t>
                              </w:r>
                              <w:r>
                                <w:rPr>
                                  <w:rFonts w:hint="eastAsia" w:ascii="宋体" w:hAnsi="宋体" w:eastAsia="宋体" w:cs="宋体"/>
                                  <w:sz w:val="28"/>
                                  <w:szCs w:val="28"/>
                                </w:rPr>
                                <w:fldChar w:fldCharType="end"/>
                              </w:r>
                            </w:p>
                          </w:sdtContent>
                        </w:sdt>
                        <w:p>
                          <w:pPr>
                            <w:pStyle w:val="2"/>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sdt>
                    <w:sdtPr>
                      <w:id w:val="966698291"/>
                    </w:sdtPr>
                    <w:sdtContent>
                      <w:p>
                        <w:pPr>
                          <w:pStyle w:val="13"/>
                          <w:keepNext w:val="0"/>
                          <w:keepLines w:val="0"/>
                          <w:pageBreakBefore w:val="0"/>
                          <w:widowControl w:val="0"/>
                          <w:kinsoku/>
                          <w:wordWrap/>
                          <w:overflowPunct/>
                          <w:topLinePunct w:val="0"/>
                          <w:autoSpaceDE/>
                          <w:autoSpaceDN/>
                          <w:bidi w:val="0"/>
                          <w:adjustRightInd/>
                          <w:snapToGrid w:val="0"/>
                          <w:ind w:left="320" w:leftChars="100" w:right="320" w:rightChars="100"/>
                          <w:jc w:val="center"/>
                          <w:textAlignment w:val="auto"/>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 MERGEFORMAT</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36</w:t>
                        </w:r>
                        <w:r>
                          <w:rPr>
                            <w:rFonts w:hint="eastAsia" w:ascii="宋体" w:hAnsi="宋体" w:eastAsia="宋体" w:cs="宋体"/>
                            <w:sz w:val="28"/>
                            <w:szCs w:val="28"/>
                          </w:rPr>
                          <w:fldChar w:fldCharType="end"/>
                        </w:r>
                      </w:p>
                    </w:sdtContent>
                  </w:sdt>
                  <w:p>
                    <w:pPr>
                      <w:pStyle w:val="2"/>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40A5F9E"/>
    <w:multiLevelType w:val="singleLevel"/>
    <w:tmpl w:val="240A5F9E"/>
    <w:lvl w:ilvl="0" w:tentative="0">
      <w:start w:val="1"/>
      <w:numFmt w:val="chineseCounting"/>
      <w:suff w:val="nothing"/>
      <w:lvlText w:val="（%1）"/>
      <w:lvlJc w:val="left"/>
      <w:pPr>
        <w:ind w:left="0" w:firstLine="420"/>
      </w:pPr>
      <w:rPr>
        <w:rFonts w:hint="eastAsia"/>
      </w:rPr>
    </w:lvl>
  </w:abstractNum>
  <w:abstractNum w:abstractNumId="1">
    <w:nsid w:val="2F9B1899"/>
    <w:multiLevelType w:val="singleLevel"/>
    <w:tmpl w:val="2F9B1899"/>
    <w:lvl w:ilvl="0" w:tentative="0">
      <w:start w:val="1"/>
      <w:numFmt w:val="chineseCounting"/>
      <w:suff w:val="nothing"/>
      <w:lvlText w:val="（%1）"/>
      <w:lvlJc w:val="left"/>
      <w:pPr>
        <w:ind w:left="0" w:firstLine="420"/>
      </w:pPr>
      <w:rPr>
        <w:rFonts w:hint="eastAsia"/>
      </w:rPr>
    </w:lvl>
  </w:abstractNum>
  <w:abstractNum w:abstractNumId="2">
    <w:nsid w:val="4081602C"/>
    <w:multiLevelType w:val="singleLevel"/>
    <w:tmpl w:val="4081602C"/>
    <w:lvl w:ilvl="0" w:tentative="0">
      <w:start w:val="1"/>
      <w:numFmt w:val="chineseCounting"/>
      <w:suff w:val="nothing"/>
      <w:lvlText w:val="（%1）"/>
      <w:lvlJc w:val="left"/>
      <w:pPr>
        <w:ind w:left="0" w:firstLine="420"/>
      </w:pPr>
      <w:rPr>
        <w:rFonts w:hint="eastAsia"/>
      </w:rPr>
    </w:lvl>
  </w:abstractNum>
  <w:abstractNum w:abstractNumId="3">
    <w:nsid w:val="616B4AC3"/>
    <w:multiLevelType w:val="singleLevel"/>
    <w:tmpl w:val="616B4AC3"/>
    <w:lvl w:ilvl="0" w:tentative="0">
      <w:start w:val="1"/>
      <w:numFmt w:val="chineseCounting"/>
      <w:suff w:val="nothing"/>
      <w:lvlText w:val="（%1）"/>
      <w:lvlJc w:val="left"/>
      <w:pPr>
        <w:ind w:left="0" w:firstLine="420"/>
      </w:pPr>
      <w:rPr>
        <w:rFonts w:hint="eastAsia"/>
      </w:rPr>
    </w:lvl>
  </w:abstractNum>
  <w:abstractNum w:abstractNumId="4">
    <w:nsid w:val="712038AE"/>
    <w:multiLevelType w:val="singleLevel"/>
    <w:tmpl w:val="712038AE"/>
    <w:lvl w:ilvl="0" w:tentative="0">
      <w:start w:val="1"/>
      <w:numFmt w:val="chineseCounting"/>
      <w:suff w:val="nothing"/>
      <w:lvlText w:val="（%1）"/>
      <w:lvlJc w:val="left"/>
      <w:pPr>
        <w:ind w:left="0" w:firstLine="420"/>
      </w:pPr>
      <w:rPr>
        <w:rFonts w:hint="eastAsia"/>
      </w:rPr>
    </w:lvl>
  </w:abstractNum>
  <w:abstractNum w:abstractNumId="5">
    <w:nsid w:val="7FE18D82"/>
    <w:multiLevelType w:val="singleLevel"/>
    <w:tmpl w:val="7FE18D82"/>
    <w:lvl w:ilvl="0" w:tentative="0">
      <w:start w:val="1"/>
      <w:numFmt w:val="chineseCounting"/>
      <w:suff w:val="nothing"/>
      <w:lvlText w:val="%1、"/>
      <w:lvlJc w:val="left"/>
      <w:pPr>
        <w:ind w:left="0" w:firstLine="420"/>
      </w:pPr>
      <w:rPr>
        <w:rFonts w:hint="eastAsia"/>
      </w:rPr>
    </w:lvl>
  </w:abstractNum>
  <w:num w:numId="1">
    <w:abstractNumId w:val="5"/>
  </w:num>
  <w:num w:numId="2">
    <w:abstractNumId w:val="3"/>
  </w:num>
  <w:num w:numId="3">
    <w:abstractNumId w:val="0"/>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M2MmU1ZjdlNzY4Y2JmZWMxNTk4MTk1MjFmZWU4ZWQifQ=="/>
  </w:docVars>
  <w:rsids>
    <w:rsidRoot w:val="00000000"/>
    <w:rsid w:val="2FFA5C19"/>
    <w:rsid w:val="450A39CC"/>
    <w:rsid w:val="4A0E18B3"/>
    <w:rsid w:val="4D0F4708"/>
    <w:rsid w:val="FBF2949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方正仿宋_GBK" w:cs="Times New Roman"/>
      <w:kern w:val="2"/>
      <w:sz w:val="32"/>
      <w:szCs w:val="33"/>
      <w:lang w:val="en-US" w:eastAsia="zh-CN" w:bidi="ar-SA"/>
    </w:rPr>
  </w:style>
  <w:style w:type="paragraph" w:styleId="4">
    <w:name w:val="heading 1"/>
    <w:basedOn w:val="1"/>
    <w:next w:val="1"/>
    <w:autoRedefine/>
    <w:qFormat/>
    <w:uiPriority w:val="0"/>
    <w:pPr>
      <w:keepNext/>
      <w:keepLines/>
      <w:spacing w:before="340" w:after="330" w:line="576" w:lineRule="auto"/>
      <w:outlineLvl w:val="0"/>
    </w:pPr>
    <w:rPr>
      <w:b/>
      <w:kern w:val="44"/>
      <w:sz w:val="44"/>
    </w:rPr>
  </w:style>
  <w:style w:type="paragraph" w:styleId="5">
    <w:name w:val="heading 2"/>
    <w:basedOn w:val="1"/>
    <w:next w:val="1"/>
    <w:autoRedefine/>
    <w:unhideWhenUsed/>
    <w:qFormat/>
    <w:uiPriority w:val="9"/>
    <w:pPr>
      <w:keepNext/>
      <w:keepLines/>
      <w:spacing w:before="260" w:after="260" w:line="413" w:lineRule="auto"/>
      <w:outlineLvl w:val="1"/>
    </w:pPr>
    <w:rPr>
      <w:rFonts w:ascii="Arial" w:hAnsi="Arial" w:eastAsia="黑体"/>
      <w:b/>
    </w:rPr>
  </w:style>
  <w:style w:type="paragraph" w:styleId="6">
    <w:name w:val="heading 3"/>
    <w:basedOn w:val="1"/>
    <w:next w:val="1"/>
    <w:autoRedefine/>
    <w:unhideWhenUsed/>
    <w:qFormat/>
    <w:uiPriority w:val="0"/>
    <w:pPr>
      <w:keepNext/>
      <w:keepLines/>
      <w:spacing w:before="260" w:after="260" w:line="413" w:lineRule="auto"/>
      <w:outlineLvl w:val="2"/>
    </w:pPr>
    <w:rPr>
      <w:b/>
    </w:rPr>
  </w:style>
  <w:style w:type="character" w:default="1" w:styleId="23">
    <w:name w:val="Default Paragraph Font"/>
    <w:autoRedefine/>
    <w:unhideWhenUsed/>
    <w:qFormat/>
    <w:uiPriority w:val="1"/>
  </w:style>
  <w:style w:type="table" w:default="1" w:styleId="21">
    <w:name w:val="Normal Table"/>
    <w:autoRedefine/>
    <w:unhideWhenUsed/>
    <w:qFormat/>
    <w:uiPriority w:val="99"/>
    <w:tblPr>
      <w:tblCellMar>
        <w:top w:w="0" w:type="dxa"/>
        <w:left w:w="108" w:type="dxa"/>
        <w:bottom w:w="0" w:type="dxa"/>
        <w:right w:w="108" w:type="dxa"/>
      </w:tblCellMar>
    </w:tblPr>
  </w:style>
  <w:style w:type="paragraph" w:styleId="2">
    <w:name w:val="Body Text"/>
    <w:basedOn w:val="1"/>
    <w:next w:val="3"/>
    <w:autoRedefine/>
    <w:qFormat/>
    <w:uiPriority w:val="1"/>
    <w:pPr>
      <w:spacing w:before="53"/>
      <w:ind w:left="260"/>
    </w:pPr>
    <w:rPr>
      <w:rFonts w:ascii="仿宋" w:hAnsi="仿宋" w:eastAsia="仿宋" w:cs="仿宋"/>
      <w:szCs w:val="32"/>
      <w:lang w:val="zh-CN" w:bidi="zh-CN"/>
    </w:rPr>
  </w:style>
  <w:style w:type="paragraph" w:styleId="3">
    <w:name w:val="Body Text First Indent"/>
    <w:basedOn w:val="2"/>
    <w:next w:val="1"/>
    <w:autoRedefine/>
    <w:qFormat/>
    <w:uiPriority w:val="0"/>
    <w:pPr>
      <w:spacing w:line="500" w:lineRule="exact"/>
      <w:ind w:firstLine="420"/>
    </w:pPr>
    <w:rPr>
      <w:rFonts w:eastAsia="宋体"/>
      <w:sz w:val="21"/>
      <w:szCs w:val="28"/>
    </w:rPr>
  </w:style>
  <w:style w:type="paragraph" w:styleId="7">
    <w:name w:val="toc 7"/>
    <w:basedOn w:val="1"/>
    <w:next w:val="1"/>
    <w:qFormat/>
    <w:uiPriority w:val="0"/>
    <w:pPr>
      <w:ind w:left="1920"/>
      <w:jc w:val="left"/>
    </w:pPr>
    <w:rPr>
      <w:rFonts w:asciiTheme="minorHAnsi" w:hAnsiTheme="minorHAnsi" w:cstheme="minorHAnsi"/>
      <w:sz w:val="18"/>
      <w:szCs w:val="18"/>
    </w:rPr>
  </w:style>
  <w:style w:type="paragraph" w:styleId="8">
    <w:name w:val="annotation text"/>
    <w:basedOn w:val="1"/>
    <w:qFormat/>
    <w:uiPriority w:val="0"/>
    <w:pPr>
      <w:jc w:val="left"/>
    </w:pPr>
  </w:style>
  <w:style w:type="paragraph" w:styleId="9">
    <w:name w:val="toc 5"/>
    <w:basedOn w:val="1"/>
    <w:next w:val="1"/>
    <w:qFormat/>
    <w:uiPriority w:val="0"/>
    <w:pPr>
      <w:ind w:left="1280"/>
      <w:jc w:val="left"/>
    </w:pPr>
    <w:rPr>
      <w:rFonts w:asciiTheme="minorHAnsi" w:hAnsiTheme="minorHAnsi" w:cstheme="minorHAnsi"/>
      <w:sz w:val="18"/>
      <w:szCs w:val="18"/>
    </w:rPr>
  </w:style>
  <w:style w:type="paragraph" w:styleId="10">
    <w:name w:val="toc 3"/>
    <w:basedOn w:val="1"/>
    <w:next w:val="1"/>
    <w:qFormat/>
    <w:uiPriority w:val="39"/>
    <w:pPr>
      <w:ind w:left="640"/>
      <w:jc w:val="left"/>
    </w:pPr>
    <w:rPr>
      <w:rFonts w:asciiTheme="minorHAnsi" w:hAnsiTheme="minorHAnsi" w:cstheme="minorHAnsi"/>
      <w:i/>
      <w:iCs/>
      <w:sz w:val="20"/>
      <w:szCs w:val="20"/>
    </w:rPr>
  </w:style>
  <w:style w:type="paragraph" w:styleId="11">
    <w:name w:val="toc 8"/>
    <w:basedOn w:val="1"/>
    <w:next w:val="1"/>
    <w:qFormat/>
    <w:uiPriority w:val="0"/>
    <w:pPr>
      <w:ind w:left="2240"/>
      <w:jc w:val="left"/>
    </w:pPr>
    <w:rPr>
      <w:rFonts w:asciiTheme="minorHAnsi" w:hAnsiTheme="minorHAnsi" w:cstheme="minorHAnsi"/>
      <w:sz w:val="18"/>
      <w:szCs w:val="18"/>
    </w:rPr>
  </w:style>
  <w:style w:type="paragraph" w:styleId="12">
    <w:name w:val="Balloon Text"/>
    <w:basedOn w:val="1"/>
    <w:link w:val="30"/>
    <w:qFormat/>
    <w:uiPriority w:val="0"/>
    <w:rPr>
      <w:sz w:val="18"/>
      <w:szCs w:val="18"/>
    </w:rPr>
  </w:style>
  <w:style w:type="paragraph" w:styleId="13">
    <w:name w:val="footer"/>
    <w:basedOn w:val="1"/>
    <w:link w:val="28"/>
    <w:qFormat/>
    <w:uiPriority w:val="99"/>
    <w:pPr>
      <w:tabs>
        <w:tab w:val="center" w:pos="4153"/>
        <w:tab w:val="right" w:pos="8306"/>
      </w:tabs>
      <w:snapToGrid w:val="0"/>
      <w:jc w:val="left"/>
    </w:pPr>
    <w:rPr>
      <w:sz w:val="18"/>
      <w:szCs w:val="18"/>
    </w:rPr>
  </w:style>
  <w:style w:type="paragraph" w:styleId="14">
    <w:name w:val="header"/>
    <w:basedOn w:val="1"/>
    <w:link w:val="27"/>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39"/>
    <w:pPr>
      <w:spacing w:before="120" w:after="120"/>
      <w:jc w:val="left"/>
    </w:pPr>
    <w:rPr>
      <w:rFonts w:asciiTheme="minorHAnsi" w:hAnsiTheme="minorHAnsi" w:cstheme="minorHAnsi"/>
      <w:b/>
      <w:bCs/>
      <w:caps/>
      <w:sz w:val="20"/>
      <w:szCs w:val="20"/>
    </w:rPr>
  </w:style>
  <w:style w:type="paragraph" w:styleId="16">
    <w:name w:val="toc 4"/>
    <w:basedOn w:val="1"/>
    <w:next w:val="1"/>
    <w:qFormat/>
    <w:uiPriority w:val="0"/>
    <w:pPr>
      <w:ind w:left="960"/>
      <w:jc w:val="left"/>
    </w:pPr>
    <w:rPr>
      <w:rFonts w:asciiTheme="minorHAnsi" w:hAnsiTheme="minorHAnsi" w:cstheme="minorHAnsi"/>
      <w:sz w:val="18"/>
      <w:szCs w:val="18"/>
    </w:rPr>
  </w:style>
  <w:style w:type="paragraph" w:styleId="17">
    <w:name w:val="toc 6"/>
    <w:basedOn w:val="1"/>
    <w:next w:val="1"/>
    <w:qFormat/>
    <w:uiPriority w:val="0"/>
    <w:pPr>
      <w:ind w:left="1600"/>
      <w:jc w:val="left"/>
    </w:pPr>
    <w:rPr>
      <w:rFonts w:asciiTheme="minorHAnsi" w:hAnsiTheme="minorHAnsi" w:cstheme="minorHAnsi"/>
      <w:sz w:val="18"/>
      <w:szCs w:val="18"/>
    </w:rPr>
  </w:style>
  <w:style w:type="paragraph" w:styleId="18">
    <w:name w:val="toc 2"/>
    <w:basedOn w:val="1"/>
    <w:next w:val="1"/>
    <w:qFormat/>
    <w:uiPriority w:val="39"/>
    <w:pPr>
      <w:ind w:left="320"/>
      <w:jc w:val="left"/>
    </w:pPr>
    <w:rPr>
      <w:rFonts w:asciiTheme="minorHAnsi" w:hAnsiTheme="minorHAnsi" w:cstheme="minorHAnsi"/>
      <w:smallCaps/>
      <w:sz w:val="20"/>
      <w:szCs w:val="20"/>
    </w:rPr>
  </w:style>
  <w:style w:type="paragraph" w:styleId="19">
    <w:name w:val="toc 9"/>
    <w:basedOn w:val="1"/>
    <w:next w:val="1"/>
    <w:qFormat/>
    <w:uiPriority w:val="0"/>
    <w:pPr>
      <w:ind w:left="2560"/>
      <w:jc w:val="left"/>
    </w:pPr>
    <w:rPr>
      <w:rFonts w:asciiTheme="minorHAnsi" w:hAnsiTheme="minorHAnsi" w:cstheme="minorHAnsi"/>
      <w:sz w:val="18"/>
      <w:szCs w:val="18"/>
    </w:rPr>
  </w:style>
  <w:style w:type="paragraph" w:styleId="20">
    <w:name w:val="Normal (Web)"/>
    <w:basedOn w:val="1"/>
    <w:qFormat/>
    <w:uiPriority w:val="0"/>
    <w:pPr>
      <w:spacing w:beforeAutospacing="1" w:afterAutospacing="1"/>
      <w:jc w:val="left"/>
    </w:pPr>
    <w:rPr>
      <w:kern w:val="0"/>
      <w:sz w:val="24"/>
    </w:r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Hyperlink"/>
    <w:basedOn w:val="23"/>
    <w:unhideWhenUsed/>
    <w:qFormat/>
    <w:uiPriority w:val="99"/>
    <w:rPr>
      <w:color w:val="0563C1" w:themeColor="hyperlink"/>
      <w:u w:val="single"/>
      <w14:textFill>
        <w14:solidFill>
          <w14:schemeClr w14:val="hlink"/>
        </w14:solidFill>
      </w14:textFill>
    </w:rPr>
  </w:style>
  <w:style w:type="character" w:styleId="25">
    <w:name w:val="annotation reference"/>
    <w:basedOn w:val="23"/>
    <w:qFormat/>
    <w:uiPriority w:val="0"/>
    <w:rPr>
      <w:sz w:val="21"/>
      <w:szCs w:val="21"/>
    </w:rPr>
  </w:style>
  <w:style w:type="paragraph" w:customStyle="1" w:styleId="26">
    <w:name w:val="p0"/>
    <w:basedOn w:val="1"/>
    <w:qFormat/>
    <w:uiPriority w:val="0"/>
    <w:pPr>
      <w:widowControl/>
    </w:pPr>
    <w:rPr>
      <w:kern w:val="0"/>
      <w:szCs w:val="21"/>
    </w:rPr>
  </w:style>
  <w:style w:type="character" w:customStyle="1" w:styleId="27">
    <w:name w:val="页眉 字符"/>
    <w:basedOn w:val="23"/>
    <w:link w:val="14"/>
    <w:qFormat/>
    <w:uiPriority w:val="0"/>
    <w:rPr>
      <w:rFonts w:ascii="Times New Roman" w:hAnsi="Times New Roman" w:eastAsia="方正仿宋_GBK" w:cs="Times New Roman"/>
      <w:kern w:val="2"/>
      <w:sz w:val="18"/>
      <w:szCs w:val="18"/>
    </w:rPr>
  </w:style>
  <w:style w:type="character" w:customStyle="1" w:styleId="28">
    <w:name w:val="页脚 字符"/>
    <w:basedOn w:val="23"/>
    <w:link w:val="13"/>
    <w:qFormat/>
    <w:uiPriority w:val="99"/>
    <w:rPr>
      <w:rFonts w:ascii="Times New Roman" w:hAnsi="Times New Roman" w:eastAsia="方正仿宋_GBK" w:cs="Times New Roman"/>
      <w:kern w:val="2"/>
      <w:sz w:val="18"/>
      <w:szCs w:val="18"/>
    </w:rPr>
  </w:style>
  <w:style w:type="paragraph" w:customStyle="1" w:styleId="29">
    <w:name w:val="修订1"/>
    <w:hidden/>
    <w:semiHidden/>
    <w:qFormat/>
    <w:uiPriority w:val="99"/>
    <w:rPr>
      <w:rFonts w:ascii="Times New Roman" w:hAnsi="Times New Roman" w:eastAsia="方正仿宋_GBK" w:cs="Times New Roman"/>
      <w:kern w:val="2"/>
      <w:sz w:val="32"/>
      <w:szCs w:val="33"/>
      <w:lang w:val="en-US" w:eastAsia="zh-CN" w:bidi="ar-SA"/>
    </w:rPr>
  </w:style>
  <w:style w:type="character" w:customStyle="1" w:styleId="30">
    <w:name w:val="批注框文本 字符"/>
    <w:basedOn w:val="23"/>
    <w:link w:val="12"/>
    <w:qFormat/>
    <w:uiPriority w:val="0"/>
    <w:rPr>
      <w:rFonts w:ascii="Times New Roman" w:hAnsi="Times New Roman" w:eastAsia="方正仿宋_GBK" w:cs="Times New Roman"/>
      <w:kern w:val="2"/>
      <w:sz w:val="18"/>
      <w:szCs w:val="18"/>
    </w:rPr>
  </w:style>
  <w:style w:type="paragraph" w:customStyle="1" w:styleId="31">
    <w:name w:val="修订2"/>
    <w:autoRedefine/>
    <w:hidden/>
    <w:semiHidden/>
    <w:qFormat/>
    <w:uiPriority w:val="99"/>
    <w:rPr>
      <w:rFonts w:ascii="Times New Roman" w:hAnsi="Times New Roman" w:eastAsia="方正仿宋_GBK" w:cs="Times New Roman"/>
      <w:kern w:val="2"/>
      <w:sz w:val="32"/>
      <w:szCs w:val="33"/>
      <w:lang w:val="en-US" w:eastAsia="zh-CN" w:bidi="ar-SA"/>
    </w:rPr>
  </w:style>
  <w:style w:type="paragraph" w:customStyle="1" w:styleId="32">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36</Pages>
  <Words>18985</Words>
  <Characters>19316</Characters>
  <Lines>143</Lines>
  <Paragraphs>40</Paragraphs>
  <TotalTime>1</TotalTime>
  <ScaleCrop>false</ScaleCrop>
  <LinksUpToDate>false</LinksUpToDate>
  <CharactersWithSpaces>19334</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2021-12-24T06:38:00Z</dcterms:created>
  <dc:creator>Amy Zhai</dc:creator>
  <cp:lastModifiedBy>。。。</cp:lastModifiedBy>
  <cp:lastPrinted>2022-02-18T23:54:00Z</cp:lastPrinted>
  <dcterms:modified xsi:type="dcterms:W3CDTF">2024-04-03T07:44:26Z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63E7EBB2A8814E94B9084471C9AC32CA</vt:lpwstr>
  </property>
</Properties>
</file>