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163BD">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0" w:firstLineChars="0"/>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鄂尔多斯市公共数据</w:t>
      </w:r>
      <w:r>
        <w:rPr>
          <w:rFonts w:hint="eastAsia" w:ascii="方正小标宋简体" w:hAnsi="方正小标宋简体" w:eastAsia="方正小标宋简体" w:cs="方正小标宋简体"/>
          <w:color w:val="000000"/>
          <w:sz w:val="44"/>
          <w:szCs w:val="44"/>
          <w:lang w:eastAsia="zh-CN"/>
        </w:rPr>
        <w:t>资源</w:t>
      </w:r>
      <w:r>
        <w:rPr>
          <w:rFonts w:hint="eastAsia" w:ascii="方正小标宋简体" w:hAnsi="方正小标宋简体" w:eastAsia="方正小标宋简体" w:cs="方正小标宋简体"/>
          <w:color w:val="000000"/>
          <w:sz w:val="44"/>
          <w:szCs w:val="44"/>
        </w:rPr>
        <w:t>授权运营</w:t>
      </w:r>
      <w:r>
        <w:rPr>
          <w:rFonts w:hint="eastAsia" w:ascii="方正小标宋简体" w:hAnsi="方正小标宋简体" w:eastAsia="方正小标宋简体" w:cs="方正小标宋简体"/>
          <w:color w:val="000000"/>
          <w:sz w:val="44"/>
          <w:szCs w:val="44"/>
          <w:lang w:eastAsia="zh-CN"/>
        </w:rPr>
        <w:t>实施</w:t>
      </w:r>
      <w:r>
        <w:rPr>
          <w:rFonts w:hint="eastAsia" w:ascii="方正小标宋简体" w:hAnsi="方正小标宋简体" w:eastAsia="方正小标宋简体" w:cs="方正小标宋简体"/>
          <w:color w:val="000000"/>
          <w:sz w:val="44"/>
          <w:szCs w:val="44"/>
        </w:rPr>
        <w:t>方案（试行）</w:t>
      </w:r>
    </w:p>
    <w:p w14:paraId="322F1E4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sz w:val="32"/>
          <w:szCs w:val="32"/>
        </w:rPr>
      </w:pPr>
    </w:p>
    <w:p w14:paraId="4251E5A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w:t>
      </w:r>
      <w:r>
        <w:rPr>
          <w:rFonts w:ascii="仿宋_GB2312" w:hAnsi="仿宋_GB2312" w:eastAsia="仿宋_GB2312" w:cs="仿宋_GB2312"/>
          <w:color w:val="000000"/>
          <w:sz w:val="32"/>
          <w:szCs w:val="32"/>
        </w:rPr>
        <w:t>贯彻落实《</w:t>
      </w:r>
      <w:r>
        <w:rPr>
          <w:rFonts w:hint="eastAsia" w:ascii="仿宋_GB2312" w:hAnsi="仿宋_GB2312" w:eastAsia="仿宋_GB2312" w:cs="仿宋_GB2312"/>
          <w:color w:val="000000"/>
          <w:sz w:val="32"/>
          <w:szCs w:val="32"/>
        </w:rPr>
        <w:t>中共中央办公厅 国务院办公厅关于加快公共数据资源开发利用的意见</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，推动</w:t>
      </w:r>
      <w:r>
        <w:rPr>
          <w:rFonts w:hint="eastAsia" w:ascii="仿宋_GB2312" w:hAnsi="仿宋_GB2312" w:eastAsia="仿宋_GB2312" w:cs="仿宋_GB2312"/>
          <w:color w:val="000000"/>
          <w:sz w:val="32"/>
          <w:szCs w:val="32"/>
        </w:rPr>
        <w:t>鄂尔多斯市公共数据</w:t>
      </w:r>
      <w:r>
        <w:rPr>
          <w:rFonts w:hint="eastAsia" w:ascii="仿宋_GB2312" w:hAnsi="仿宋_GB2312" w:eastAsia="仿宋_GB2312" w:cs="仿宋_GB2312"/>
          <w:color w:val="000000"/>
          <w:sz w:val="32"/>
          <w:szCs w:val="32"/>
          <w:lang w:eastAsia="zh-CN"/>
        </w:rPr>
        <w:t>资源</w:t>
      </w:r>
      <w:r>
        <w:rPr>
          <w:rFonts w:hint="eastAsia" w:ascii="仿宋_GB2312" w:hAnsi="仿宋_GB2312" w:eastAsia="仿宋_GB2312" w:cs="仿宋_GB2312"/>
          <w:color w:val="000000"/>
          <w:sz w:val="32"/>
          <w:szCs w:val="32"/>
        </w:rPr>
        <w:t>授权运营，</w:t>
      </w:r>
      <w:r>
        <w:rPr>
          <w:rFonts w:ascii="仿宋_GB2312" w:hAnsi="仿宋_GB2312" w:eastAsia="仿宋_GB2312" w:cs="仿宋_GB2312"/>
          <w:color w:val="000000"/>
          <w:sz w:val="32"/>
          <w:szCs w:val="32"/>
        </w:rPr>
        <w:t>加快公共数据</w:t>
      </w:r>
      <w:r>
        <w:rPr>
          <w:rFonts w:hint="eastAsia" w:ascii="仿宋_GB2312" w:hAnsi="仿宋_GB2312" w:eastAsia="仿宋_GB2312" w:cs="仿宋_GB2312"/>
          <w:color w:val="000000"/>
          <w:sz w:val="32"/>
          <w:szCs w:val="32"/>
          <w:lang w:eastAsia="zh-CN"/>
        </w:rPr>
        <w:t>资源</w:t>
      </w:r>
      <w:r>
        <w:rPr>
          <w:rFonts w:ascii="仿宋_GB2312" w:hAnsi="仿宋_GB2312" w:eastAsia="仿宋_GB2312" w:cs="仿宋_GB2312"/>
          <w:color w:val="000000"/>
          <w:sz w:val="32"/>
          <w:szCs w:val="32"/>
        </w:rPr>
        <w:t>有序开发利用，</w:t>
      </w:r>
      <w:r>
        <w:rPr>
          <w:rFonts w:hint="eastAsia" w:ascii="仿宋_GB2312" w:hAnsi="仿宋_GB2312" w:eastAsia="仿宋_GB2312" w:cs="仿宋_GB2312"/>
          <w:sz w:val="32"/>
          <w:szCs w:val="32"/>
        </w:rPr>
        <w:t>培育数据</w:t>
      </w:r>
      <w:r>
        <w:rPr>
          <w:rFonts w:hint="eastAsia" w:ascii="仿宋_GB2312" w:hAnsi="仿宋_GB2312" w:eastAsia="仿宋_GB2312" w:cs="仿宋_GB2312"/>
          <w:sz w:val="32"/>
          <w:szCs w:val="32"/>
          <w:lang w:eastAsia="zh-CN"/>
        </w:rPr>
        <w:t>要素</w:t>
      </w:r>
      <w:r>
        <w:rPr>
          <w:rFonts w:hint="eastAsia" w:ascii="仿宋_GB2312" w:hAnsi="仿宋_GB2312" w:eastAsia="仿宋_GB2312" w:cs="仿宋_GB2312"/>
          <w:sz w:val="32"/>
          <w:szCs w:val="32"/>
        </w:rPr>
        <w:t>市场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根据国家发改委、国家数据局印发的</w:t>
      </w:r>
      <w:r>
        <w:rPr>
          <w:rFonts w:hint="eastAsia" w:ascii="仿宋_GB2312" w:hAnsi="仿宋_GB2312" w:eastAsia="仿宋_GB2312" w:cs="仿宋_GB2312"/>
          <w:color w:val="000000"/>
          <w:sz w:val="32"/>
          <w:szCs w:val="32"/>
        </w:rPr>
        <w:t>《公共数据资源授权运营实施规范（试行）》</w:t>
      </w:r>
      <w:r>
        <w:rPr>
          <w:rFonts w:hint="eastAsia" w:ascii="仿宋_GB2312" w:hAnsi="仿宋_GB2312" w:eastAsia="仿宋_GB2312" w:cs="仿宋_GB2312"/>
          <w:color w:val="000000"/>
          <w:sz w:val="32"/>
          <w:szCs w:val="32"/>
          <w:lang w:eastAsia="zh-CN"/>
        </w:rPr>
        <w:t>和</w:t>
      </w:r>
      <w:r>
        <w:rPr>
          <w:rFonts w:hint="eastAsia" w:ascii="仿宋_GB2312" w:hAnsi="仿宋_GB2312" w:eastAsia="仿宋_GB2312" w:cs="仿宋_GB2312"/>
          <w:color w:val="000000"/>
          <w:sz w:val="32"/>
          <w:szCs w:val="32"/>
        </w:rPr>
        <w:t>《内</w:t>
      </w:r>
      <w:r>
        <w:rPr>
          <w:rFonts w:ascii="仿宋_GB2312" w:hAnsi="仿宋_GB2312" w:eastAsia="仿宋_GB2312" w:cs="仿宋_GB2312"/>
          <w:color w:val="000000"/>
          <w:sz w:val="32"/>
          <w:szCs w:val="32"/>
        </w:rPr>
        <w:t>蒙古自治区公共数据授权运营管理暂行办法</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，结合</w:t>
      </w:r>
      <w:r>
        <w:rPr>
          <w:rFonts w:hint="eastAsia" w:ascii="仿宋_GB2312" w:hAnsi="仿宋_GB2312" w:eastAsia="仿宋_GB2312" w:cs="仿宋_GB2312"/>
          <w:color w:val="000000"/>
          <w:sz w:val="32"/>
          <w:szCs w:val="32"/>
          <w:lang w:eastAsia="zh-CN"/>
        </w:rPr>
        <w:t>我</w:t>
      </w:r>
      <w:r>
        <w:rPr>
          <w:rFonts w:ascii="仿宋_GB2312" w:hAnsi="仿宋_GB2312" w:eastAsia="仿宋_GB2312" w:cs="仿宋_GB2312"/>
          <w:color w:val="000000"/>
          <w:sz w:val="32"/>
          <w:szCs w:val="32"/>
        </w:rPr>
        <w:t>市实际，制定本方案</w:t>
      </w:r>
      <w:r>
        <w:rPr>
          <w:rFonts w:hint="eastAsia" w:ascii="仿宋_GB2312" w:hAnsi="仿宋_GB2312" w:eastAsia="仿宋_GB2312" w:cs="仿宋_GB2312"/>
          <w:color w:val="000000"/>
          <w:sz w:val="32"/>
          <w:szCs w:val="32"/>
        </w:rPr>
        <w:t>。</w:t>
      </w:r>
    </w:p>
    <w:p w14:paraId="19A8A8C6">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方正黑体_GBK" w:hAnsi="方正黑体_GBK" w:eastAsia="方正黑体_GBK" w:cs="方正黑体_GBK"/>
          <w:color w:val="000000"/>
          <w:kern w:val="2"/>
          <w:sz w:val="32"/>
          <w:szCs w:val="24"/>
          <w:lang w:val="en-US" w:eastAsia="zh-CN" w:bidi="ar-SA"/>
        </w:rPr>
      </w:pPr>
      <w:r>
        <w:rPr>
          <w:rFonts w:hint="eastAsia" w:ascii="方正黑体_GBK" w:hAnsi="方正黑体_GBK" w:eastAsia="方正黑体_GBK" w:cs="方正黑体_GBK"/>
          <w:color w:val="000000"/>
          <w:kern w:val="2"/>
          <w:sz w:val="32"/>
          <w:szCs w:val="24"/>
          <w:lang w:val="en-US" w:eastAsia="zh-CN" w:bidi="ar-SA"/>
        </w:rPr>
        <w:t>一、工作目标</w:t>
      </w:r>
    </w:p>
    <w:p w14:paraId="0D145AFC">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按照“依法合规、公平公正、公益优先、合理收益、安全可控”原则统筹开展全市公共数据资源授权运营工作</w:t>
      </w:r>
      <w:r>
        <w:rPr>
          <w:rFonts w:ascii="仿宋_GB2312" w:hAnsi="仿宋_GB2312" w:eastAsia="仿宋_GB2312" w:cs="仿宋_GB2312"/>
          <w:color w:val="000000"/>
          <w:sz w:val="32"/>
          <w:szCs w:val="32"/>
        </w:rPr>
        <w:t>，促进数据合规高效流通使用，</w:t>
      </w:r>
      <w:r>
        <w:rPr>
          <w:rFonts w:hint="eastAsia" w:ascii="仿宋_GB2312" w:hAnsi="仿宋_GB2312" w:eastAsia="仿宋_GB2312" w:cs="仿宋_GB2312"/>
          <w:color w:val="000000"/>
          <w:sz w:val="32"/>
          <w:szCs w:val="32"/>
          <w:lang w:eastAsia="zh-CN"/>
        </w:rPr>
        <w:t>释放</w:t>
      </w:r>
      <w:r>
        <w:rPr>
          <w:rFonts w:hint="eastAsia" w:ascii="仿宋_GB2312" w:hAnsi="仿宋_GB2312" w:eastAsia="仿宋_GB2312" w:cs="仿宋_GB2312"/>
          <w:color w:val="000000"/>
          <w:sz w:val="32"/>
          <w:szCs w:val="32"/>
        </w:rPr>
        <w:t>数据要素</w:t>
      </w:r>
      <w:r>
        <w:rPr>
          <w:rFonts w:hint="eastAsia" w:ascii="仿宋_GB2312" w:hAnsi="仿宋_GB2312" w:eastAsia="仿宋_GB2312" w:cs="仿宋_GB2312"/>
          <w:color w:val="000000"/>
          <w:sz w:val="32"/>
          <w:szCs w:val="32"/>
          <w:lang w:eastAsia="zh-CN"/>
        </w:rPr>
        <w:t>潜能</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助力数字经济高质量发展。</w:t>
      </w:r>
    </w:p>
    <w:p w14:paraId="05D08E09">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2026年6月底前,</w:t>
      </w:r>
      <w:r>
        <w:rPr>
          <w:rFonts w:hint="eastAsia" w:ascii="仿宋_GB2312" w:hAnsi="仿宋_GB2312" w:eastAsia="仿宋_GB2312" w:cs="仿宋_GB2312"/>
          <w:color w:val="000000"/>
          <w:sz w:val="32"/>
          <w:szCs w:val="32"/>
        </w:rPr>
        <w:t>确定运营机构、签订授权运营协议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启动建设</w:t>
      </w:r>
      <w:r>
        <w:rPr>
          <w:rFonts w:hint="eastAsia" w:ascii="仿宋_GB2312" w:hAnsi="仿宋_GB2312" w:eastAsia="仿宋_GB2312" w:cs="仿宋_GB2312"/>
          <w:color w:val="000000"/>
          <w:sz w:val="32"/>
          <w:szCs w:val="32"/>
        </w:rPr>
        <w:t>公共数据资源授权运营平台</w:t>
      </w:r>
      <w:r>
        <w:rPr>
          <w:rFonts w:hint="eastAsia" w:ascii="仿宋_GB2312" w:hAnsi="仿宋_GB2312" w:eastAsia="仿宋_GB2312" w:cs="仿宋_GB2312"/>
          <w:color w:val="000000"/>
          <w:sz w:val="32"/>
          <w:szCs w:val="32"/>
          <w:lang w:val="en-US" w:eastAsia="zh-CN"/>
        </w:rPr>
        <w:t>;2026年7月，进一步</w:t>
      </w:r>
      <w:r>
        <w:rPr>
          <w:rFonts w:hint="eastAsia" w:ascii="仿宋_GB2312" w:hAnsi="仿宋_GB2312" w:eastAsia="仿宋_GB2312" w:cs="仿宋_GB2312"/>
          <w:color w:val="000000"/>
          <w:sz w:val="32"/>
          <w:szCs w:val="32"/>
        </w:rPr>
        <w:t>梳理全市</w:t>
      </w:r>
      <w:r>
        <w:rPr>
          <w:rFonts w:hint="eastAsia" w:ascii="仿宋_GB2312" w:hAnsi="仿宋_GB2312" w:eastAsia="仿宋_GB2312" w:cs="仿宋_GB2312"/>
          <w:color w:val="000000"/>
          <w:sz w:val="32"/>
          <w:szCs w:val="32"/>
          <w:lang w:val="en-US" w:eastAsia="zh-CN"/>
        </w:rPr>
        <w:t>可授权运营的</w:t>
      </w:r>
      <w:r>
        <w:rPr>
          <w:rFonts w:hint="eastAsia" w:ascii="仿宋_GB2312" w:hAnsi="仿宋_GB2312" w:eastAsia="仿宋_GB2312" w:cs="仿宋_GB2312"/>
          <w:color w:val="000000"/>
          <w:sz w:val="32"/>
          <w:szCs w:val="32"/>
        </w:rPr>
        <w:t>公共数据资源</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并完善拟进行授权运营的场景；2026年9月底前，</w:t>
      </w:r>
      <w:r>
        <w:rPr>
          <w:rFonts w:hint="eastAsia" w:ascii="仿宋_GB2312" w:hAnsi="仿宋_GB2312" w:eastAsia="仿宋_GB2312" w:cs="仿宋_GB2312"/>
          <w:color w:val="000000"/>
          <w:sz w:val="32"/>
          <w:szCs w:val="32"/>
        </w:rPr>
        <w:t>完成公共数据资源授权运营平台的系统部署</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2026年10月底前，在</w:t>
      </w:r>
      <w:r>
        <w:rPr>
          <w:rFonts w:hint="eastAsia" w:ascii="仿宋_GB2312" w:hAnsi="仿宋_GB2312" w:eastAsia="仿宋_GB2312" w:cs="仿宋_GB2312"/>
          <w:color w:val="000000"/>
          <w:sz w:val="32"/>
          <w:szCs w:val="32"/>
        </w:rPr>
        <w:t>公共数据资源授权运营平台</w:t>
      </w:r>
      <w:r>
        <w:rPr>
          <w:rFonts w:hint="eastAsia" w:ascii="仿宋_GB2312" w:hAnsi="仿宋_GB2312" w:eastAsia="仿宋_GB2312" w:cs="仿宋_GB2312"/>
          <w:color w:val="000000"/>
          <w:sz w:val="32"/>
          <w:szCs w:val="32"/>
          <w:lang w:val="en-US" w:eastAsia="zh-CN"/>
        </w:rPr>
        <w:t>上架相关产品及服务。逐步建立健全</w:t>
      </w:r>
      <w:r>
        <w:rPr>
          <w:rFonts w:ascii="仿宋_GB2312" w:hAnsi="仿宋_GB2312" w:eastAsia="仿宋_GB2312" w:cs="仿宋_GB2312"/>
          <w:color w:val="000000"/>
          <w:sz w:val="32"/>
          <w:szCs w:val="32"/>
        </w:rPr>
        <w:t>公共数据</w:t>
      </w:r>
      <w:r>
        <w:rPr>
          <w:rFonts w:hint="eastAsia" w:ascii="仿宋_GB2312" w:hAnsi="仿宋_GB2312" w:eastAsia="仿宋_GB2312" w:cs="仿宋_GB2312"/>
          <w:color w:val="000000"/>
          <w:sz w:val="32"/>
          <w:szCs w:val="32"/>
          <w:lang w:eastAsia="zh-CN"/>
        </w:rPr>
        <w:t>资源</w:t>
      </w:r>
      <w:r>
        <w:rPr>
          <w:rFonts w:hint="eastAsia" w:ascii="仿宋_GB2312" w:hAnsi="仿宋_GB2312" w:eastAsia="仿宋_GB2312" w:cs="仿宋_GB2312"/>
          <w:color w:val="000000"/>
          <w:sz w:val="32"/>
          <w:szCs w:val="32"/>
          <w:lang w:val="en-US" w:eastAsia="zh-CN"/>
        </w:rPr>
        <w:t>授权运营</w:t>
      </w:r>
      <w:r>
        <w:rPr>
          <w:rFonts w:hint="eastAsia" w:ascii="仿宋_GB2312" w:hAnsi="仿宋_GB2312" w:eastAsia="仿宋_GB2312" w:cs="仿宋_GB2312"/>
          <w:color w:val="000000"/>
          <w:sz w:val="32"/>
          <w:szCs w:val="32"/>
        </w:rPr>
        <w:t>制度机制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持续</w:t>
      </w:r>
      <w:r>
        <w:rPr>
          <w:rFonts w:ascii="仿宋_GB2312" w:hAnsi="仿宋_GB2312" w:eastAsia="仿宋_GB2312" w:cs="仿宋_GB2312"/>
          <w:color w:val="000000"/>
          <w:sz w:val="32"/>
          <w:szCs w:val="32"/>
        </w:rPr>
        <w:t>迭代升级授权运营平台，</w:t>
      </w:r>
      <w:r>
        <w:rPr>
          <w:rFonts w:hint="eastAsia" w:ascii="仿宋_GB2312" w:hAnsi="仿宋_GB2312" w:eastAsia="仿宋_GB2312" w:cs="仿宋_GB2312"/>
          <w:color w:val="000000"/>
          <w:sz w:val="32"/>
          <w:szCs w:val="32"/>
          <w:lang w:val="en-US" w:eastAsia="zh-CN"/>
        </w:rPr>
        <w:t>丰富</w:t>
      </w:r>
      <w:r>
        <w:rPr>
          <w:rFonts w:ascii="仿宋_GB2312" w:hAnsi="仿宋_GB2312" w:eastAsia="仿宋_GB2312" w:cs="仿宋_GB2312"/>
          <w:color w:val="000000"/>
          <w:sz w:val="32"/>
          <w:szCs w:val="32"/>
        </w:rPr>
        <w:t>有价值、可推广的数据产品和服务，培育公共数据</w:t>
      </w:r>
      <w:r>
        <w:rPr>
          <w:rFonts w:hint="eastAsia" w:ascii="仿宋_GB2312" w:hAnsi="仿宋_GB2312" w:eastAsia="仿宋_GB2312" w:cs="仿宋_GB2312"/>
          <w:color w:val="000000"/>
          <w:sz w:val="32"/>
          <w:szCs w:val="32"/>
          <w:lang w:eastAsia="zh-CN"/>
        </w:rPr>
        <w:t>资源</w:t>
      </w:r>
      <w:r>
        <w:rPr>
          <w:rFonts w:ascii="仿宋_GB2312" w:hAnsi="仿宋_GB2312" w:eastAsia="仿宋_GB2312" w:cs="仿宋_GB2312"/>
          <w:color w:val="000000"/>
          <w:sz w:val="32"/>
          <w:szCs w:val="32"/>
        </w:rPr>
        <w:t>授权运营生态企业</w:t>
      </w:r>
      <w:r>
        <w:rPr>
          <w:rFonts w:hint="eastAsia" w:ascii="仿宋_GB2312" w:hAnsi="仿宋_GB2312" w:eastAsia="仿宋_GB2312" w:cs="仿宋_GB2312"/>
          <w:color w:val="000000"/>
          <w:sz w:val="32"/>
          <w:szCs w:val="32"/>
          <w:lang w:eastAsia="zh-CN"/>
        </w:rPr>
        <w:t>。</w:t>
      </w:r>
    </w:p>
    <w:p w14:paraId="741BF2C7">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方正黑体_GBK" w:hAnsi="方正黑体_GBK" w:eastAsia="方正黑体_GBK" w:cs="方正黑体_GBK"/>
          <w:color w:val="000000"/>
          <w:kern w:val="2"/>
          <w:sz w:val="32"/>
          <w:szCs w:val="24"/>
          <w:lang w:val="en-US" w:eastAsia="zh-CN" w:bidi="ar-SA"/>
        </w:rPr>
      </w:pPr>
      <w:r>
        <w:rPr>
          <w:rFonts w:hint="eastAsia" w:ascii="方正黑体_GBK" w:hAnsi="方正黑体_GBK" w:eastAsia="方正黑体_GBK" w:cs="方正黑体_GBK"/>
          <w:color w:val="000000"/>
          <w:kern w:val="2"/>
          <w:sz w:val="32"/>
          <w:szCs w:val="24"/>
          <w:lang w:val="en-US" w:eastAsia="zh-CN" w:bidi="ar-SA"/>
        </w:rPr>
        <w:t>二、主要任务与措施</w:t>
      </w:r>
    </w:p>
    <w:p w14:paraId="05118C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sz w:val="32"/>
          <w:lang w:eastAsia="zh-CN"/>
        </w:rPr>
      </w:pPr>
      <w:r>
        <w:rPr>
          <w:rFonts w:hint="eastAsia" w:ascii="楷体_GB2312" w:hAnsi="楷体_GB2312" w:eastAsia="楷体_GB2312" w:cs="楷体_GB2312"/>
          <w:color w:val="000000"/>
          <w:sz w:val="32"/>
        </w:rPr>
        <w:t>（</w:t>
      </w:r>
      <w:r>
        <w:rPr>
          <w:rFonts w:hint="eastAsia" w:ascii="楷体_GB2312" w:hAnsi="楷体_GB2312" w:eastAsia="楷体_GB2312" w:cs="楷体_GB2312"/>
          <w:color w:val="000000"/>
          <w:sz w:val="32"/>
          <w:lang w:eastAsia="zh-CN"/>
        </w:rPr>
        <w:t>一</w:t>
      </w:r>
      <w:r>
        <w:rPr>
          <w:rFonts w:hint="eastAsia" w:ascii="楷体_GB2312" w:hAnsi="楷体_GB2312" w:eastAsia="楷体_GB2312" w:cs="楷体_GB2312"/>
          <w:color w:val="000000"/>
          <w:sz w:val="32"/>
        </w:rPr>
        <w:t>）</w:t>
      </w:r>
      <w:r>
        <w:rPr>
          <w:rFonts w:hint="eastAsia" w:ascii="楷体_GB2312" w:hAnsi="楷体_GB2312" w:eastAsia="楷体_GB2312" w:cs="楷体_GB2312"/>
          <w:color w:val="000000"/>
          <w:sz w:val="32"/>
          <w:lang w:eastAsia="zh-CN"/>
        </w:rPr>
        <w:t>选择运营机构</w:t>
      </w:r>
    </w:p>
    <w:p w14:paraId="09807D81">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以公开招标、邀请招标、谈判等公平竞争方式选择运营机构。运营机构的选择条件包括以下方面。</w:t>
      </w:r>
    </w:p>
    <w:p w14:paraId="760BEEEF">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1.资金能力。财务稳健，具备开展公共数据资源授权运营工作的资金能力</w:t>
      </w:r>
      <w:r>
        <w:rPr>
          <w:rFonts w:hint="eastAsia" w:ascii="仿宋_GB2312" w:hAnsi="仿宋_GB2312" w:eastAsia="仿宋_GB2312" w:cs="仿宋_GB2312"/>
          <w:b w:val="0"/>
          <w:bCs w:val="0"/>
          <w:color w:val="auto"/>
          <w:kern w:val="2"/>
          <w:sz w:val="32"/>
          <w:szCs w:val="32"/>
          <w:highlight w:val="none"/>
          <w:u w:val="none"/>
          <w:lang w:val="en-US" w:eastAsia="zh-CN" w:bidi="ar-SA"/>
        </w:rPr>
        <w:t>，经营状况和信用状况良好，</w:t>
      </w:r>
      <w:r>
        <w:rPr>
          <w:rFonts w:hint="eastAsia" w:ascii="仿宋_GB2312" w:hAnsi="仿宋_GB2312" w:eastAsia="仿宋_GB2312" w:cs="仿宋_GB2312"/>
          <w:color w:val="000000"/>
          <w:sz w:val="32"/>
          <w:szCs w:val="32"/>
          <w:lang w:val="en-US" w:eastAsia="zh-CN"/>
        </w:rPr>
        <w:t>具备良好的社会公信力，单位及其法定代表人无重大</w:t>
      </w:r>
      <w:bookmarkStart w:id="1" w:name="_GoBack"/>
      <w:bookmarkEnd w:id="1"/>
      <w:r>
        <w:rPr>
          <w:rFonts w:hint="eastAsia" w:ascii="仿宋_GB2312" w:hAnsi="仿宋_GB2312" w:eastAsia="仿宋_GB2312" w:cs="仿宋_GB2312"/>
          <w:color w:val="000000"/>
          <w:sz w:val="32"/>
          <w:szCs w:val="32"/>
          <w:lang w:val="en-US" w:eastAsia="zh-CN"/>
        </w:rPr>
        <w:t>违法记录，未被列入失信被执行人名单、重大税收违法案件当事人名单、严重失信名单等。</w:t>
      </w:r>
    </w:p>
    <w:p w14:paraId="65714336">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2.管理能力。具备满足公共数据资源授权运营所需的专业团队，熟悉并理解国家、自治区和我市相关规定及政策文件，熟悉公共数据资源的管理和应用，具备运用公共数据开展数据处理活动的工作经验。</w:t>
      </w:r>
    </w:p>
    <w:p w14:paraId="096000E0">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技术能力。具有建设公共数据授权运营平台所需的技术和运营能力、运用公共数据资源开展数据处理活动的技术基础，以及具有对公共数据进行获取、管理和应用的软硬件环境，具备及时响应政府监管要求所需的技术管理能力。</w:t>
      </w:r>
    </w:p>
    <w:p w14:paraId="58832C1F">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4.服务能力。</w:t>
      </w:r>
      <w:r>
        <w:rPr>
          <w:rFonts w:hint="eastAsia" w:ascii="仿宋_GB2312" w:hAnsi="仿宋_GB2312" w:eastAsia="仿宋_GB2312" w:cs="仿宋_GB2312"/>
          <w:b w:val="0"/>
          <w:bCs w:val="0"/>
          <w:color w:val="auto"/>
          <w:kern w:val="2"/>
          <w:sz w:val="32"/>
          <w:szCs w:val="32"/>
          <w:highlight w:val="none"/>
          <w:u w:val="none"/>
          <w:lang w:val="en-US" w:eastAsia="zh-CN" w:bidi="ar-SA"/>
        </w:rPr>
        <w:t>具备公共数据运营发展服务能力，</w:t>
      </w:r>
      <w:r>
        <w:rPr>
          <w:rFonts w:hint="eastAsia" w:ascii="仿宋_GB2312" w:hAnsi="仿宋_GB2312" w:eastAsia="仿宋_GB2312" w:cs="仿宋_GB2312"/>
          <w:color w:val="000000"/>
          <w:sz w:val="32"/>
          <w:szCs w:val="32"/>
          <w:lang w:val="en-US" w:eastAsia="zh-CN"/>
        </w:rPr>
        <w:t>包括分析挖掘运营场景、开发数据产品、运营推广等，有风险评估与应对措施。</w:t>
      </w:r>
      <w:r>
        <w:rPr>
          <w:rFonts w:hint="eastAsia" w:ascii="仿宋_GB2312" w:hAnsi="仿宋_GB2312" w:eastAsia="仿宋_GB2312" w:cs="仿宋_GB2312"/>
          <w:color w:val="auto"/>
          <w:sz w:val="32"/>
          <w:szCs w:val="32"/>
          <w:lang w:val="en-US" w:eastAsia="zh-CN"/>
        </w:rPr>
        <w:t>能按照数据使用方实际需求提供有关咨询服务，能在规定时间内安排专业技术队伍到现场提供服务。</w:t>
      </w:r>
    </w:p>
    <w:p w14:paraId="7960F12F">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安全能力。具有明确的数据安全负责人和管理部门，建立公共数据资源授权运营内部管理和安全保障制度；具备符合网络安全等级保护三级标准和商用密码应用安全性评估要求的系统开发和运维经验；具备成熟的数据管理能力和数据安全保障能力。</w:t>
      </w:r>
    </w:p>
    <w:p w14:paraId="7FC1B1AB">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6.满足法律、行政法规规定的其他条件。</w:t>
      </w:r>
    </w:p>
    <w:p w14:paraId="5BBB386E">
      <w:pPr>
        <w:keepNext w:val="0"/>
        <w:keepLines w:val="0"/>
        <w:pageBreakBefore w:val="0"/>
        <w:tabs>
          <w:tab w:val="left" w:pos="420"/>
        </w:tabs>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color w:val="000000"/>
          <w:sz w:val="32"/>
          <w:lang w:val="en-US" w:eastAsia="zh-CN"/>
        </w:rPr>
      </w:pPr>
      <w:r>
        <w:rPr>
          <w:rFonts w:hint="eastAsia" w:ascii="楷体_GB2312" w:hAnsi="楷体_GB2312" w:eastAsia="楷体_GB2312" w:cs="楷体_GB2312"/>
          <w:color w:val="000000"/>
          <w:sz w:val="32"/>
          <w:lang w:val="en-US" w:eastAsia="zh-CN"/>
        </w:rPr>
        <w:t>（二）评估与退出机制</w:t>
      </w:r>
    </w:p>
    <w:p w14:paraId="62CF432C">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绩效评估。市政数局会同财政、审计等部门，定期对运营机构开展绩效评估。绩效评估可委托第三方机构开展。主要评估内容包括公共数据资源授权运营情况、数据质量与应用成效、安全合规水平、经济与社会效益等。评估结果分为通过评估、未通过评估和限期整改。</w:t>
      </w:r>
    </w:p>
    <w:p w14:paraId="24C7544F">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若评估结果为通过评估，则由授权运营单位继续承担公共数据授权运营工作；若评估结果为未通过评估，依照协议约定终止授权运营协议，并重新选择符合条件的单位承担相关公共数据授权运营工作；若评估结果为限期整改，授权运营单位应当制定整改方案，30日内整改完成，报主管部门再次评估。若评估结果仍为限期整改，按未通过评估办理。</w:t>
      </w:r>
    </w:p>
    <w:p w14:paraId="1EB313AB">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2.退出机制。授权运营主体退出包括但不限于以下情形：</w:t>
      </w:r>
    </w:p>
    <w:p w14:paraId="5D68F353">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授权运营协议期满。市政数局与授权运营主体签订授权运营协议，运营期限原则上最长不超过5年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期限届满后依法依规重新选择运营机构。</w:t>
      </w:r>
    </w:p>
    <w:p w14:paraId="4C501599">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授权运营机构违反授权运营协议的。市政数局按照协议约定要求其改正，并暂时关闭其授权运营平台使用权限。授权运营机构应当在约定期限内改正，并反馈改正情况。未按照要求改正的，终止其相关公共数据的授权。</w:t>
      </w:r>
    </w:p>
    <w:p w14:paraId="33241889">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被限制开展数据类生产经营活动、出现重大经营风险、责令停产停业等行政处罚或者刑事处罚的。</w:t>
      </w:r>
    </w:p>
    <w:p w14:paraId="251C6354">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其他不适宜开展授权运营活动的情形。</w:t>
      </w:r>
    </w:p>
    <w:p w14:paraId="0DE0BB34">
      <w:pPr>
        <w:keepNext w:val="0"/>
        <w:keepLines w:val="0"/>
        <w:pageBreakBefore w:val="0"/>
        <w:tabs>
          <w:tab w:val="left" w:pos="420"/>
        </w:tabs>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color w:val="000000"/>
          <w:sz w:val="32"/>
          <w:lang w:eastAsia="zh-CN"/>
        </w:rPr>
      </w:pPr>
      <w:r>
        <w:rPr>
          <w:rFonts w:hint="eastAsia" w:ascii="楷体_GB2312" w:hAnsi="楷体_GB2312" w:eastAsia="楷体_GB2312" w:cs="楷体_GB2312"/>
          <w:color w:val="000000"/>
          <w:sz w:val="32"/>
          <w:lang w:eastAsia="zh-CN"/>
        </w:rPr>
        <w:t>（三）建设公共数据资源授权运营平台</w:t>
      </w:r>
    </w:p>
    <w:p w14:paraId="6C1BD963">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市政数局</w:t>
      </w:r>
      <w:r>
        <w:rPr>
          <w:rFonts w:hint="eastAsia" w:ascii="仿宋_GB2312" w:hAnsi="仿宋_GB2312" w:eastAsia="仿宋_GB2312" w:cs="仿宋_GB2312"/>
          <w:color w:val="000000"/>
          <w:sz w:val="32"/>
          <w:szCs w:val="32"/>
        </w:rPr>
        <w:t>负责组织</w:t>
      </w:r>
      <w:r>
        <w:rPr>
          <w:rFonts w:hint="eastAsia" w:ascii="仿宋_GB2312" w:hAnsi="仿宋_GB2312" w:eastAsia="仿宋_GB2312" w:cs="仿宋_GB2312"/>
          <w:color w:val="000000"/>
          <w:sz w:val="32"/>
          <w:szCs w:val="32"/>
          <w:lang w:eastAsia="zh-CN"/>
        </w:rPr>
        <w:t>，运营机构负责</w:t>
      </w:r>
      <w:r>
        <w:rPr>
          <w:rFonts w:hint="eastAsia" w:ascii="仿宋_GB2312" w:hAnsi="仿宋_GB2312" w:eastAsia="仿宋_GB2312" w:cs="仿宋_GB2312"/>
          <w:color w:val="000000"/>
          <w:sz w:val="32"/>
          <w:szCs w:val="32"/>
        </w:rPr>
        <w:t>建设公共数据</w:t>
      </w:r>
      <w:r>
        <w:rPr>
          <w:rFonts w:hint="eastAsia" w:ascii="仿宋_GB2312" w:hAnsi="仿宋_GB2312" w:eastAsia="仿宋_GB2312" w:cs="仿宋_GB2312"/>
          <w:color w:val="000000"/>
          <w:sz w:val="32"/>
          <w:szCs w:val="32"/>
          <w:lang w:eastAsia="zh-CN"/>
        </w:rPr>
        <w:t>资源</w:t>
      </w:r>
      <w:r>
        <w:rPr>
          <w:rFonts w:ascii="仿宋_GB2312" w:hAnsi="仿宋_GB2312" w:eastAsia="仿宋_GB2312" w:cs="仿宋_GB2312"/>
          <w:color w:val="000000"/>
          <w:sz w:val="32"/>
          <w:szCs w:val="32"/>
        </w:rPr>
        <w:t>授权运营平台</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通过</w:t>
      </w:r>
      <w:r>
        <w:rPr>
          <w:rFonts w:hint="eastAsia" w:ascii="仿宋_GB2312" w:hAnsi="仿宋_GB2312" w:eastAsia="仿宋_GB2312" w:cs="仿宋_GB2312"/>
          <w:color w:val="000000"/>
          <w:sz w:val="32"/>
          <w:szCs w:val="32"/>
        </w:rPr>
        <w:t>市公共信息平台向公共数据</w:t>
      </w:r>
      <w:r>
        <w:rPr>
          <w:rFonts w:hint="eastAsia" w:ascii="仿宋_GB2312" w:hAnsi="仿宋_GB2312" w:eastAsia="仿宋_GB2312" w:cs="仿宋_GB2312"/>
          <w:color w:val="000000"/>
          <w:sz w:val="32"/>
          <w:szCs w:val="32"/>
          <w:lang w:eastAsia="zh-CN"/>
        </w:rPr>
        <w:t>资源</w:t>
      </w:r>
      <w:r>
        <w:rPr>
          <w:rFonts w:hint="eastAsia" w:ascii="仿宋_GB2312" w:hAnsi="仿宋_GB2312" w:eastAsia="仿宋_GB2312" w:cs="仿宋_GB2312"/>
          <w:color w:val="000000"/>
          <w:sz w:val="32"/>
          <w:szCs w:val="32"/>
        </w:rPr>
        <w:t>授权运营平台交付数据。</w:t>
      </w:r>
      <w:r>
        <w:rPr>
          <w:rFonts w:ascii="仿宋_GB2312" w:hAnsi="仿宋_GB2312" w:eastAsia="仿宋_GB2312" w:cs="仿宋_GB2312"/>
          <w:color w:val="000000"/>
          <w:sz w:val="32"/>
          <w:szCs w:val="32"/>
        </w:rPr>
        <w:t>不得新建其他公共数据</w:t>
      </w:r>
      <w:r>
        <w:rPr>
          <w:rFonts w:hint="eastAsia" w:ascii="仿宋_GB2312" w:hAnsi="仿宋_GB2312" w:eastAsia="仿宋_GB2312" w:cs="仿宋_GB2312"/>
          <w:color w:val="000000"/>
          <w:sz w:val="32"/>
          <w:szCs w:val="32"/>
          <w:lang w:eastAsia="zh-CN"/>
        </w:rPr>
        <w:t>资源</w:t>
      </w:r>
      <w:r>
        <w:rPr>
          <w:rFonts w:ascii="仿宋_GB2312" w:hAnsi="仿宋_GB2312" w:eastAsia="仿宋_GB2312" w:cs="仿宋_GB2312"/>
          <w:color w:val="000000"/>
          <w:sz w:val="32"/>
          <w:szCs w:val="32"/>
        </w:rPr>
        <w:t>授权运营通道。</w:t>
      </w:r>
    </w:p>
    <w:p w14:paraId="6DA92EDD">
      <w:pPr>
        <w:keepNext w:val="0"/>
        <w:keepLines w:val="0"/>
        <w:pageBreakBefore w:val="0"/>
        <w:tabs>
          <w:tab w:val="left" w:pos="420"/>
        </w:tabs>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color w:val="000000"/>
          <w:sz w:val="32"/>
          <w:lang w:eastAsia="zh-CN"/>
        </w:rPr>
      </w:pPr>
      <w:r>
        <w:rPr>
          <w:rFonts w:hint="eastAsia" w:ascii="楷体_GB2312" w:hAnsi="楷体_GB2312" w:eastAsia="楷体_GB2312" w:cs="楷体_GB2312"/>
          <w:color w:val="000000"/>
          <w:sz w:val="32"/>
          <w:lang w:val="en-US" w:eastAsia="zh-CN"/>
        </w:rPr>
        <w:t>（四）授权运营模式</w:t>
      </w:r>
    </w:p>
    <w:p w14:paraId="5C784EA8">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授权运营模式为“分领域授权</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eastAsia="zh-CN"/>
        </w:rPr>
        <w:t>依场景授权”。市政数局以公平竞争方式</w:t>
      </w:r>
      <w:r>
        <w:rPr>
          <w:rFonts w:hint="eastAsia" w:ascii="仿宋_GB2312" w:hAnsi="仿宋_GB2312" w:eastAsia="仿宋_GB2312" w:cs="仿宋_GB2312"/>
          <w:color w:val="000000"/>
          <w:sz w:val="32"/>
          <w:szCs w:val="32"/>
          <w:lang w:val="en-US" w:eastAsia="zh-CN"/>
        </w:rPr>
        <w:t>选择</w:t>
      </w:r>
      <w:r>
        <w:rPr>
          <w:rFonts w:hint="eastAsia" w:ascii="仿宋_GB2312" w:hAnsi="仿宋_GB2312" w:eastAsia="仿宋_GB2312" w:cs="仿宋_GB2312"/>
          <w:color w:val="000000"/>
          <w:sz w:val="32"/>
          <w:szCs w:val="32"/>
          <w:lang w:eastAsia="zh-CN"/>
        </w:rPr>
        <w:t>符合条件的</w:t>
      </w:r>
      <w:r>
        <w:rPr>
          <w:rFonts w:hint="eastAsia" w:ascii="仿宋_GB2312" w:hAnsi="仿宋_GB2312" w:eastAsia="仿宋_GB2312" w:cs="仿宋_GB2312"/>
          <w:color w:val="000000"/>
          <w:sz w:val="32"/>
          <w:szCs w:val="32"/>
          <w:lang w:val="en-US" w:eastAsia="zh-CN"/>
        </w:rPr>
        <w:t>运营机构</w:t>
      </w:r>
      <w:r>
        <w:rPr>
          <w:rFonts w:hint="eastAsia" w:ascii="仿宋_GB2312" w:hAnsi="仿宋_GB2312" w:eastAsia="仿宋_GB2312" w:cs="仿宋_GB2312"/>
          <w:color w:val="000000"/>
          <w:sz w:val="32"/>
          <w:szCs w:val="32"/>
          <w:lang w:eastAsia="zh-CN"/>
        </w:rPr>
        <w:t>开展</w:t>
      </w:r>
      <w:r>
        <w:rPr>
          <w:rFonts w:hint="eastAsia" w:ascii="仿宋_GB2312" w:hAnsi="仿宋_GB2312" w:eastAsia="仿宋_GB2312" w:cs="仿宋_GB2312"/>
          <w:color w:val="000000"/>
          <w:sz w:val="32"/>
          <w:szCs w:val="32"/>
          <w:lang w:val="en-US" w:eastAsia="zh-CN"/>
        </w:rPr>
        <w:t>授权的</w:t>
      </w:r>
      <w:r>
        <w:rPr>
          <w:rFonts w:hint="eastAsia" w:ascii="仿宋_GB2312" w:hAnsi="仿宋_GB2312" w:eastAsia="仿宋_GB2312" w:cs="仿宋_GB2312"/>
          <w:color w:val="000000"/>
          <w:sz w:val="32"/>
          <w:szCs w:val="32"/>
          <w:lang w:eastAsia="zh-CN"/>
        </w:rPr>
        <w:t>公共数据资源开发、产品经营和技术服务。运营机构应依法依规在授权范围内开展业务，不得直接或间接参与授权范围内已交付的公共数据产品和服务再开发。鼓励数据商对运营机构交付的公共数据产品和服务再开发，融合多源数据，提升数据产品和服务价值。</w:t>
      </w:r>
    </w:p>
    <w:p w14:paraId="79E1CDF9">
      <w:pPr>
        <w:keepNext w:val="0"/>
        <w:keepLines w:val="0"/>
        <w:pageBreakBefore w:val="0"/>
        <w:tabs>
          <w:tab w:val="left" w:pos="420"/>
        </w:tabs>
        <w:kinsoku/>
        <w:wordWrap/>
        <w:overflowPunct/>
        <w:topLinePunct w:val="0"/>
        <w:autoSpaceDE/>
        <w:autoSpaceDN/>
        <w:bidi w:val="0"/>
        <w:adjustRightInd/>
        <w:snapToGrid/>
        <w:spacing w:line="560" w:lineRule="exact"/>
        <w:ind w:firstLine="640" w:firstLineChars="200"/>
        <w:textAlignment w:val="auto"/>
        <w:outlineLvl w:val="1"/>
        <w:rPr>
          <w:rFonts w:hint="default" w:ascii="楷体_GB2312" w:hAnsi="楷体_GB2312" w:eastAsia="楷体_GB2312" w:cs="楷体_GB2312"/>
          <w:color w:val="000000"/>
          <w:sz w:val="32"/>
          <w:lang w:val="en-US" w:eastAsia="zh-CN"/>
        </w:rPr>
      </w:pPr>
      <w:r>
        <w:rPr>
          <w:rFonts w:hint="eastAsia" w:ascii="楷体_GB2312" w:hAnsi="楷体_GB2312" w:eastAsia="楷体_GB2312" w:cs="楷体_GB2312"/>
          <w:color w:val="000000"/>
          <w:sz w:val="32"/>
          <w:lang w:val="en-US" w:eastAsia="zh-CN"/>
        </w:rPr>
        <w:t>（五）数据产品及服务</w:t>
      </w:r>
    </w:p>
    <w:p w14:paraId="03AD30D1">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1.授权运营的公共数据资源</w:t>
      </w:r>
    </w:p>
    <w:p w14:paraId="476A242A">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我市各级党政机关、企事业单</w:t>
      </w:r>
      <w:r>
        <w:rPr>
          <w:rFonts w:hint="eastAsia" w:ascii="仿宋_GB2312" w:hAnsi="仿宋_GB2312" w:eastAsia="仿宋_GB2312" w:cs="仿宋_GB2312"/>
          <w:color w:val="auto"/>
          <w:sz w:val="32"/>
          <w:szCs w:val="32"/>
          <w:lang w:val="en-US" w:eastAsia="zh-CN"/>
        </w:rPr>
        <w:t>位</w:t>
      </w:r>
      <w:r>
        <w:rPr>
          <w:rFonts w:hint="eastAsia" w:ascii="仿宋_GB2312" w:hAnsi="仿宋_GB2312" w:eastAsia="仿宋_GB2312" w:cs="仿宋_GB2312"/>
          <w:color w:val="000000"/>
          <w:sz w:val="32"/>
          <w:szCs w:val="32"/>
          <w:lang w:val="en-US" w:eastAsia="zh-CN"/>
        </w:rPr>
        <w:t>依法履职或提供公共服务过程中产生的公共数据</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000000"/>
          <w:sz w:val="32"/>
          <w:szCs w:val="32"/>
          <w:lang w:val="en-US" w:eastAsia="zh-CN"/>
        </w:rPr>
        <w:t>征得数源部门同意后，纳入授权运营范围。</w:t>
      </w:r>
      <w:r>
        <w:rPr>
          <w:rFonts w:hint="eastAsia" w:ascii="仿宋_GB2312" w:hAnsi="仿宋_GB2312" w:eastAsia="仿宋_GB2312" w:cs="仿宋_GB2312"/>
          <w:color w:val="000000"/>
          <w:kern w:val="0"/>
          <w:sz w:val="32"/>
          <w:szCs w:val="32"/>
        </w:rPr>
        <w:t>实施机构、运营机构应分别将授权运营范围内的公共数据资源、公共数据产品和服务，按照公共数据资源登记管理要求进行登记</w:t>
      </w:r>
      <w:r>
        <w:rPr>
          <w:rFonts w:hint="eastAsia" w:ascii="仿宋_GB2312" w:hAnsi="仿宋_GB2312" w:eastAsia="仿宋_GB2312" w:cs="仿宋_GB2312"/>
          <w:color w:val="000000"/>
          <w:sz w:val="32"/>
          <w:szCs w:val="32"/>
          <w:lang w:eastAsia="zh-CN"/>
        </w:rPr>
        <w:t>。</w:t>
      </w:r>
    </w:p>
    <w:p w14:paraId="31C464AB">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2.数据产品和服务</w:t>
      </w:r>
    </w:p>
    <w:p w14:paraId="587EBCEF">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运营机构应当在确保个人隐私安全和公共安全的前提下，编制场景建设方案，建立数据产品和服务项目清单，经市政数局、数源部门审核通过后，在授权范围内进行公共数据资源开发、产品经营和技术服务。加工处理形成的数据产品或服务在推广应用前，应当进行数据安全审查。基于我市产业现状，参考其他地区成熟经验做法，前期从银行信贷、医疗商保、煤炭产业等领域开展数据授权运营（场景运营方案详见附件），条件成熟时推出第二批数据授权运营场景，逐步扩大公共数据资源授权运营场景范围。</w:t>
      </w:r>
    </w:p>
    <w:p w14:paraId="436785AF">
      <w:pPr>
        <w:keepNext w:val="0"/>
        <w:keepLines w:val="0"/>
        <w:pageBreakBefore w:val="0"/>
        <w:tabs>
          <w:tab w:val="left" w:pos="420"/>
        </w:tabs>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color w:val="000000"/>
          <w:sz w:val="32"/>
          <w:lang w:val="en-US" w:eastAsia="zh-CN"/>
        </w:rPr>
      </w:pPr>
      <w:r>
        <w:rPr>
          <w:rFonts w:hint="eastAsia" w:ascii="楷体_GB2312" w:hAnsi="楷体_GB2312" w:eastAsia="楷体_GB2312" w:cs="楷体_GB2312"/>
          <w:color w:val="000000"/>
          <w:sz w:val="32"/>
          <w:lang w:val="en-US" w:eastAsia="zh-CN"/>
        </w:rPr>
        <w:t>（六）产品定价及收益分配</w:t>
      </w:r>
    </w:p>
    <w:p w14:paraId="0AD1DD4E">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1.价格机制及成本核算</w:t>
      </w:r>
    </w:p>
    <w:p w14:paraId="192B7E04">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按照《国家发展改革委 国家数据局关于建立公共数据资源授权运营价格形成机制的通知》（发改价格〔2025〕65号）的有关规定，建立数据产品定价机制。对用于公共治理、公益事业的，免费提供</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000000"/>
          <w:sz w:val="32"/>
          <w:szCs w:val="32"/>
          <w:lang w:val="en-US" w:eastAsia="zh-CN"/>
        </w:rPr>
        <w:t>用于产业发展、行业发展的，可收取公共数据运营服务费。对公共数据产品和服务相关的财务收支按照现有财务管理制度进行管理，依法接受监督。运营机构应单独核算并准确记录公共数据资源授权运营的经营成本，主要包括平台建设、运维成本、数据治理、人力资源等成本。</w:t>
      </w:r>
    </w:p>
    <w:p w14:paraId="40B2DAEF">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2.收益分配</w:t>
      </w:r>
    </w:p>
    <w:p w14:paraId="4EA142F8">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保护各参与方的投入产出收益，探索多元化利益分配机制。按照“谁投入、谁贡献、谁收益”的原则，建立政府、企业间公共数据资源授权运营收益分配及动态调整机制。对相关的财务收支按照现有财务管理制度进行管理，涉及数据资产有偿使用和处置等，应严格履行国有资产管理审批程序。</w:t>
      </w:r>
    </w:p>
    <w:p w14:paraId="49D94454">
      <w:pPr>
        <w:keepNext w:val="0"/>
        <w:keepLines w:val="0"/>
        <w:pageBreakBefore w:val="0"/>
        <w:tabs>
          <w:tab w:val="left" w:pos="420"/>
        </w:tabs>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color w:val="000000"/>
          <w:sz w:val="32"/>
          <w:lang w:eastAsia="zh-CN"/>
        </w:rPr>
      </w:pPr>
      <w:r>
        <w:rPr>
          <w:rFonts w:hint="eastAsia" w:ascii="楷体_GB2312" w:hAnsi="楷体_GB2312" w:eastAsia="楷体_GB2312" w:cs="楷体_GB2312"/>
          <w:color w:val="000000"/>
          <w:sz w:val="32"/>
          <w:lang w:eastAsia="zh-CN"/>
        </w:rPr>
        <w:t>（</w:t>
      </w:r>
      <w:r>
        <w:rPr>
          <w:rFonts w:hint="eastAsia" w:ascii="楷体_GB2312" w:hAnsi="楷体_GB2312" w:eastAsia="楷体_GB2312" w:cs="楷体_GB2312"/>
          <w:color w:val="000000"/>
          <w:sz w:val="32"/>
          <w:lang w:val="en-US" w:eastAsia="zh-CN"/>
        </w:rPr>
        <w:t>七</w:t>
      </w:r>
      <w:r>
        <w:rPr>
          <w:rFonts w:hint="eastAsia" w:ascii="楷体_GB2312" w:hAnsi="楷体_GB2312" w:eastAsia="楷体_GB2312" w:cs="楷体_GB2312"/>
          <w:color w:val="000000"/>
          <w:sz w:val="32"/>
          <w:lang w:eastAsia="zh-CN"/>
        </w:rPr>
        <w:t>）运营数据安全</w:t>
      </w:r>
    </w:p>
    <w:p w14:paraId="350FF5A2">
      <w:pPr>
        <w:keepNext w:val="0"/>
        <w:keepLines w:val="0"/>
        <w:pageBreakBefore w:val="0"/>
        <w:tabs>
          <w:tab w:val="left" w:pos="420"/>
        </w:tabs>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color w:val="000000"/>
          <w:sz w:val="32"/>
          <w:lang w:val="en-US" w:eastAsia="zh-CN"/>
        </w:rPr>
      </w:pPr>
      <w:r>
        <w:rPr>
          <w:rFonts w:hint="eastAsia" w:ascii="仿宋_GB2312" w:hAnsi="仿宋_GB2312" w:eastAsia="仿宋_GB2312" w:cs="仿宋_GB2312"/>
          <w:color w:val="000000"/>
          <w:sz w:val="32"/>
          <w:lang w:val="en-US" w:eastAsia="zh-CN"/>
        </w:rPr>
        <w:t>1.数据安全</w:t>
      </w:r>
    </w:p>
    <w:p w14:paraId="235C741F">
      <w:pPr>
        <w:pStyle w:val="2"/>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000000"/>
          <w:kern w:val="0"/>
          <w:sz w:val="32"/>
          <w:szCs w:val="32"/>
        </w:rPr>
        <w:t>基于授权运营平台建设安全可控的开发利用环境，利用安全可信流通技术，确保数据资源开发利用过程可管、可控、可追溯。对于承载个人信息和影响公共安全的公共数据，按照“原始数据不出域，数据可用不可见”的要求，在授权运营平台内进行加工处理。</w:t>
      </w:r>
      <w:r>
        <w:rPr>
          <w:rFonts w:ascii="仿宋_GB2312" w:hAnsi="仿宋_GB2312" w:eastAsia="仿宋_GB2312" w:cs="仿宋_GB2312"/>
          <w:color w:val="000000"/>
          <w:sz w:val="32"/>
          <w:szCs w:val="32"/>
        </w:rPr>
        <w:t>公共数据</w:t>
      </w:r>
      <w:r>
        <w:rPr>
          <w:rFonts w:hint="eastAsia" w:ascii="仿宋_GB2312" w:hAnsi="仿宋_GB2312" w:eastAsia="仿宋_GB2312" w:cs="仿宋_GB2312"/>
          <w:color w:val="000000"/>
          <w:sz w:val="32"/>
          <w:szCs w:val="32"/>
          <w:lang w:eastAsia="zh-CN"/>
        </w:rPr>
        <w:t>资源</w:t>
      </w:r>
      <w:r>
        <w:rPr>
          <w:rFonts w:ascii="仿宋_GB2312" w:hAnsi="仿宋_GB2312" w:eastAsia="仿宋_GB2312" w:cs="仿宋_GB2312"/>
          <w:color w:val="000000"/>
          <w:sz w:val="32"/>
          <w:szCs w:val="32"/>
        </w:rPr>
        <w:t>授权运营安全坚持“谁运营谁负责、谁使用谁负责”的原则，完善数据安全制度和技术防护体系</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授权运营</w:t>
      </w:r>
      <w:r>
        <w:rPr>
          <w:rFonts w:hint="eastAsia" w:ascii="仿宋_GB2312" w:hAnsi="仿宋_GB2312" w:eastAsia="仿宋_GB2312" w:cs="仿宋_GB2312"/>
          <w:color w:val="000000"/>
          <w:sz w:val="32"/>
          <w:szCs w:val="32"/>
        </w:rPr>
        <w:t>单位</w:t>
      </w:r>
      <w:r>
        <w:rPr>
          <w:rFonts w:ascii="仿宋_GB2312" w:hAnsi="仿宋_GB2312" w:eastAsia="仿宋_GB2312" w:cs="仿宋_GB2312"/>
          <w:color w:val="000000"/>
          <w:sz w:val="32"/>
          <w:szCs w:val="32"/>
        </w:rPr>
        <w:t>的主要负责人是运营公共数据安全的第一责任人，运营安全情况接受</w:t>
      </w:r>
      <w:r>
        <w:rPr>
          <w:rFonts w:hint="eastAsia" w:ascii="仿宋_GB2312" w:hAnsi="仿宋_GB2312" w:eastAsia="仿宋_GB2312" w:cs="仿宋_GB2312"/>
          <w:color w:val="000000"/>
          <w:sz w:val="32"/>
          <w:szCs w:val="32"/>
          <w:lang w:eastAsia="zh-CN"/>
        </w:rPr>
        <w:t>有关部门</w:t>
      </w:r>
      <w:r>
        <w:rPr>
          <w:rFonts w:ascii="仿宋_GB2312" w:hAnsi="仿宋_GB2312" w:eastAsia="仿宋_GB2312" w:cs="仿宋_GB2312"/>
          <w:color w:val="000000"/>
          <w:sz w:val="32"/>
          <w:szCs w:val="32"/>
        </w:rPr>
        <w:t>的监督检查。</w:t>
      </w:r>
    </w:p>
    <w:p w14:paraId="7649C72E">
      <w:pPr>
        <w:pStyle w:val="2"/>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2.个人信息保护措施</w:t>
      </w:r>
    </w:p>
    <w:p w14:paraId="77C3C5D1">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在公共数据的处理与利用过程中，运营机构及产品开发主体如发现数据关联可能对国家安全、公共利益构成威胁，或存在侵害个人隐私、个人信息及商业秘密的潜在风险，应立即中止数据处理行为，启动相应的应急预案并实施保护，同时第一时间向有关主管部门汇报相关风险状况。若运营机构存在违反授权运营协议的行为，且该行为同时触犯网络安全、数据安全或个人信息保护相关法律法规，将由网信部门、公安机关及国家安全机关等依职权依法进行查处。</w:t>
      </w:r>
    </w:p>
    <w:p w14:paraId="2317516C">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3.应急处置措施</w:t>
      </w:r>
    </w:p>
    <w:p w14:paraId="6B83520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授权运营机构应制定数据安全事件应急处置预案，并定期组织演练。发生数据泄露、毁损、丢失等数据安全事件或重大风险时，应当立即启动处置预案，并向有关主管部门报告。</w:t>
      </w:r>
    </w:p>
    <w:p w14:paraId="60B0E4AD">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方正黑体_GBK" w:hAnsi="方正黑体_GBK" w:eastAsia="方正黑体_GBK" w:cs="方正黑体_GBK"/>
          <w:color w:val="000000"/>
          <w:kern w:val="2"/>
          <w:sz w:val="32"/>
          <w:szCs w:val="24"/>
          <w:lang w:val="en-US" w:eastAsia="zh-CN" w:bidi="ar-SA"/>
        </w:rPr>
      </w:pPr>
      <w:r>
        <w:rPr>
          <w:rFonts w:hint="eastAsia" w:ascii="方正黑体_GBK" w:hAnsi="方正黑体_GBK" w:eastAsia="方正黑体_GBK" w:cs="方正黑体_GBK"/>
          <w:color w:val="000000"/>
          <w:kern w:val="2"/>
          <w:sz w:val="32"/>
          <w:szCs w:val="24"/>
          <w:lang w:val="en-US" w:eastAsia="zh-CN" w:bidi="ar-SA"/>
        </w:rPr>
        <w:t>三、职责分工</w:t>
      </w:r>
    </w:p>
    <w:p w14:paraId="01E2B885">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市政数局</w:t>
      </w:r>
      <w:r>
        <w:rPr>
          <w:rFonts w:ascii="仿宋_GB2312" w:hAnsi="仿宋_GB2312" w:eastAsia="仿宋_GB2312" w:cs="仿宋_GB2312"/>
          <w:color w:val="000000"/>
          <w:sz w:val="32"/>
          <w:szCs w:val="32"/>
        </w:rPr>
        <w:t>负责统筹数据整合归集、牵头建立健全</w:t>
      </w:r>
      <w:r>
        <w:rPr>
          <w:rFonts w:hint="eastAsia" w:ascii="仿宋_GB2312" w:hAnsi="仿宋_GB2312" w:eastAsia="仿宋_GB2312" w:cs="仿宋_GB2312"/>
          <w:color w:val="000000"/>
          <w:sz w:val="32"/>
          <w:szCs w:val="32"/>
          <w:lang w:eastAsia="zh-CN"/>
        </w:rPr>
        <w:t>公共数据资源授权运营</w:t>
      </w:r>
      <w:r>
        <w:rPr>
          <w:rFonts w:ascii="仿宋_GB2312" w:hAnsi="仿宋_GB2312" w:eastAsia="仿宋_GB2312" w:cs="仿宋_GB2312"/>
          <w:color w:val="000000"/>
          <w:sz w:val="32"/>
          <w:szCs w:val="32"/>
        </w:rPr>
        <w:t>制度，督促相关部门按照职责做好公共数据</w:t>
      </w:r>
      <w:r>
        <w:rPr>
          <w:rFonts w:hint="eastAsia" w:ascii="仿宋_GB2312" w:hAnsi="仿宋_GB2312" w:eastAsia="仿宋_GB2312" w:cs="仿宋_GB2312"/>
          <w:color w:val="000000"/>
          <w:sz w:val="32"/>
          <w:szCs w:val="32"/>
          <w:lang w:eastAsia="zh-CN"/>
        </w:rPr>
        <w:t>资源</w:t>
      </w:r>
      <w:r>
        <w:rPr>
          <w:rFonts w:ascii="仿宋_GB2312" w:hAnsi="仿宋_GB2312" w:eastAsia="仿宋_GB2312" w:cs="仿宋_GB2312"/>
          <w:color w:val="000000"/>
          <w:sz w:val="32"/>
          <w:szCs w:val="32"/>
        </w:rPr>
        <w:t>授权运营工作，统筹公共数据</w:t>
      </w:r>
      <w:r>
        <w:rPr>
          <w:rFonts w:hint="eastAsia" w:ascii="仿宋_GB2312" w:hAnsi="仿宋_GB2312" w:eastAsia="仿宋_GB2312" w:cs="仿宋_GB2312"/>
          <w:color w:val="000000"/>
          <w:sz w:val="32"/>
          <w:szCs w:val="32"/>
          <w:lang w:eastAsia="zh-CN"/>
        </w:rPr>
        <w:t>资源</w:t>
      </w:r>
      <w:r>
        <w:rPr>
          <w:rFonts w:ascii="仿宋_GB2312" w:hAnsi="仿宋_GB2312" w:eastAsia="仿宋_GB2312" w:cs="仿宋_GB2312"/>
          <w:color w:val="000000"/>
          <w:sz w:val="32"/>
          <w:szCs w:val="32"/>
        </w:rPr>
        <w:t>授权运营平台的建设。</w:t>
      </w:r>
      <w:r>
        <w:rPr>
          <w:rFonts w:hint="eastAsia" w:ascii="仿宋_GB2312" w:hAnsi="仿宋_GB2312" w:eastAsia="仿宋_GB2312" w:cs="仿宋_GB2312"/>
          <w:color w:val="000000"/>
          <w:sz w:val="32"/>
          <w:szCs w:val="32"/>
          <w:lang w:eastAsia="zh-CN"/>
        </w:rPr>
        <w:t>会同数源部门对运营机构的用数申请进行审核批准，按需组织专家评审。会同市财政局、各数源部门共同协商确定具体收益分配方式。</w:t>
      </w:r>
    </w:p>
    <w:p w14:paraId="2A9E84A9">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各行业主管部门负责本系统本行业公共数据资源供给和数据质量管理，按照要求进行数据登记，参与开展数据应用场景规划建设，推进数据应用创新，协同推动涉及本系统本行业的公共数据资源授权运营。</w:t>
      </w:r>
    </w:p>
    <w:p w14:paraId="7480306E">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财政局负责对本地区行政事业单位数据资产实行综合监管，建立健全数据资产全生命周期管理制度，并负责组织实施和监督检查，与数据部门协同配合，做好数据资产与数据资源管理的有效衔接。主管部门应切实履行本部门数据资产监督管理职责，指导所属单位开展数据资产管理工作。各部门所属单位应落实本单位数据资产具体管理职责，负责本单位数据资产清查、确认、登记、入账、使用、处置、收益上缴等工作。</w:t>
      </w:r>
    </w:p>
    <w:p w14:paraId="2ABE3A82">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市发改委</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市市监局、市税务局</w:t>
      </w:r>
      <w:r>
        <w:rPr>
          <w:rFonts w:ascii="仿宋_GB2312" w:hAnsi="仿宋_GB2312" w:eastAsia="仿宋_GB2312" w:cs="仿宋_GB2312"/>
          <w:color w:val="000000"/>
          <w:sz w:val="32"/>
          <w:szCs w:val="32"/>
        </w:rPr>
        <w:t>等部门按照各自职责，</w:t>
      </w:r>
      <w:r>
        <w:rPr>
          <w:rFonts w:hint="eastAsia" w:ascii="仿宋_GB2312" w:hAnsi="仿宋_GB2312" w:eastAsia="仿宋_GB2312" w:cs="仿宋_GB2312"/>
          <w:sz w:val="32"/>
          <w:szCs w:val="32"/>
        </w:rPr>
        <w:t>做好公共数据资源授权运营的相关业务监管工作。</w:t>
      </w:r>
    </w:p>
    <w:p w14:paraId="2A368962">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市委网信办</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市公安局、市国家安全局、市保密局等部门</w:t>
      </w:r>
      <w:r>
        <w:rPr>
          <w:rFonts w:ascii="仿宋_GB2312" w:hAnsi="仿宋_GB2312" w:eastAsia="仿宋_GB2312" w:cs="仿宋_GB2312"/>
          <w:color w:val="000000"/>
          <w:sz w:val="32"/>
          <w:szCs w:val="32"/>
        </w:rPr>
        <w:t>按照各自职责，做好公共数据</w:t>
      </w:r>
      <w:r>
        <w:rPr>
          <w:rFonts w:hint="eastAsia" w:ascii="仿宋_GB2312" w:hAnsi="仿宋_GB2312" w:eastAsia="仿宋_GB2312" w:cs="仿宋_GB2312"/>
          <w:color w:val="000000"/>
          <w:sz w:val="32"/>
          <w:szCs w:val="32"/>
          <w:lang w:eastAsia="zh-CN"/>
        </w:rPr>
        <w:t>资源</w:t>
      </w:r>
      <w:r>
        <w:rPr>
          <w:rFonts w:ascii="仿宋_GB2312" w:hAnsi="仿宋_GB2312" w:eastAsia="仿宋_GB2312" w:cs="仿宋_GB2312"/>
          <w:color w:val="000000"/>
          <w:sz w:val="32"/>
          <w:szCs w:val="32"/>
        </w:rPr>
        <w:t>授权运营的安全监管工作。</w:t>
      </w:r>
    </w:p>
    <w:p w14:paraId="35378E1A">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运营机构负责</w:t>
      </w:r>
      <w:r>
        <w:rPr>
          <w:rFonts w:hint="eastAsia" w:ascii="仿宋_GB2312" w:hAnsi="仿宋_GB2312" w:eastAsia="仿宋_GB2312" w:cs="仿宋_GB2312"/>
          <w:color w:val="000000"/>
          <w:sz w:val="32"/>
          <w:szCs w:val="32"/>
          <w:lang w:val="en-US" w:eastAsia="zh-CN"/>
        </w:rPr>
        <w:t>挖掘数据应用场景以及</w:t>
      </w:r>
      <w:r>
        <w:rPr>
          <w:rFonts w:hint="default" w:ascii="仿宋_GB2312" w:hAnsi="仿宋_GB2312" w:eastAsia="仿宋_GB2312" w:cs="仿宋_GB2312"/>
          <w:color w:val="000000"/>
          <w:sz w:val="32"/>
          <w:szCs w:val="32"/>
          <w:lang w:val="en-US" w:eastAsia="zh-CN"/>
        </w:rPr>
        <w:t>为授权范围内的公共数据资源加工、运营提供管理和技术服务，符合国家数据安全保护要求，履行数据安全主体责任，不得超授权范围使用公共数据资源，定期向</w:t>
      </w:r>
      <w:r>
        <w:rPr>
          <w:rFonts w:hint="eastAsia" w:ascii="仿宋_GB2312" w:hAnsi="仿宋_GB2312" w:eastAsia="仿宋_GB2312" w:cs="仿宋_GB2312"/>
          <w:color w:val="000000"/>
          <w:sz w:val="32"/>
          <w:szCs w:val="32"/>
          <w:lang w:val="en-US" w:eastAsia="zh-CN"/>
        </w:rPr>
        <w:t>数据数管部门提交</w:t>
      </w:r>
      <w:r>
        <w:rPr>
          <w:rFonts w:hint="default" w:ascii="仿宋_GB2312" w:hAnsi="仿宋_GB2312" w:eastAsia="仿宋_GB2312" w:cs="仿宋_GB2312"/>
          <w:color w:val="000000"/>
          <w:sz w:val="32"/>
          <w:szCs w:val="32"/>
          <w:lang w:val="en-US" w:eastAsia="zh-CN"/>
        </w:rPr>
        <w:t>公共数据资源使用情况，依法接受监督和审计。</w:t>
      </w:r>
    </w:p>
    <w:p w14:paraId="0C084750">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鼓励</w:t>
      </w:r>
      <w:r>
        <w:rPr>
          <w:rFonts w:hint="default" w:ascii="仿宋_GB2312" w:hAnsi="仿宋_GB2312" w:eastAsia="仿宋_GB2312" w:cs="仿宋_GB2312"/>
          <w:color w:val="000000"/>
          <w:sz w:val="32"/>
          <w:szCs w:val="32"/>
          <w:lang w:val="en-US" w:eastAsia="zh-CN"/>
        </w:rPr>
        <w:t>有条件的旗区结合自身优势与运营</w:t>
      </w:r>
      <w:r>
        <w:rPr>
          <w:rFonts w:hint="eastAsia" w:ascii="仿宋_GB2312" w:hAnsi="仿宋_GB2312" w:eastAsia="仿宋_GB2312" w:cs="仿宋_GB2312"/>
          <w:color w:val="000000"/>
          <w:sz w:val="32"/>
          <w:szCs w:val="32"/>
          <w:lang w:val="en-US" w:eastAsia="zh-CN"/>
        </w:rPr>
        <w:t>机构</w:t>
      </w:r>
      <w:r>
        <w:rPr>
          <w:rFonts w:hint="default" w:ascii="仿宋_GB2312" w:hAnsi="仿宋_GB2312" w:eastAsia="仿宋_GB2312" w:cs="仿宋_GB2312"/>
          <w:color w:val="000000"/>
          <w:sz w:val="32"/>
          <w:szCs w:val="32"/>
          <w:lang w:val="en-US" w:eastAsia="zh-CN"/>
        </w:rPr>
        <w:t>合作，探索数据要素应用场景创新</w:t>
      </w:r>
      <w:r>
        <w:rPr>
          <w:rFonts w:hint="eastAsia" w:ascii="仿宋_GB2312" w:hAnsi="仿宋_GB2312" w:eastAsia="仿宋_GB2312" w:cs="仿宋_GB2312"/>
          <w:color w:val="000000"/>
          <w:sz w:val="32"/>
          <w:szCs w:val="32"/>
          <w:lang w:val="en-US" w:eastAsia="zh-CN"/>
        </w:rPr>
        <w:t>。</w:t>
      </w:r>
    </w:p>
    <w:p w14:paraId="1904BA68">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方正黑体_GBK" w:hAnsi="方正黑体_GBK" w:eastAsia="方正黑体_GBK" w:cs="方正黑体_GBK"/>
          <w:color w:val="000000"/>
          <w:kern w:val="2"/>
          <w:sz w:val="32"/>
          <w:szCs w:val="24"/>
          <w:lang w:val="en-US" w:eastAsia="zh-CN" w:bidi="ar-SA"/>
        </w:rPr>
      </w:pPr>
      <w:r>
        <w:rPr>
          <w:rFonts w:hint="eastAsia" w:ascii="方正黑体_GBK" w:hAnsi="方正黑体_GBK" w:eastAsia="方正黑体_GBK" w:cs="方正黑体_GBK"/>
          <w:color w:val="000000"/>
          <w:kern w:val="2"/>
          <w:sz w:val="32"/>
          <w:szCs w:val="24"/>
          <w:lang w:val="en-US" w:eastAsia="zh-CN" w:bidi="ar-SA"/>
        </w:rPr>
        <w:t>四、保障措施</w:t>
      </w:r>
    </w:p>
    <w:p w14:paraId="774370D9">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坚持市委、市政府对全市公共数据资源授权运营工作的统筹领导，依托市政府职能转变和数字政府建设工作领导小组，研究解决公共数据资源授权运营工作中的重大问题。相关部门按照职责分工履职尽责，确保各项工作任务落到实处。鼓励和保护干部担当作为，营造鼓励创新、包容创新的干事创业氛围。</w:t>
      </w:r>
    </w:p>
    <w:p w14:paraId="3A18F040">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p>
    <w:p w14:paraId="6B4E574A">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附件1：银行信贷场景运营方案</w:t>
      </w:r>
    </w:p>
    <w:p w14:paraId="398A414D">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附件</w:t>
      </w:r>
      <w:r>
        <w:rPr>
          <w:rFonts w:hint="eastAsia" w:ascii="仿宋_GB2312" w:hAnsi="仿宋_GB2312" w:eastAsia="仿宋_GB2312" w:cs="仿宋_GB2312"/>
          <w:color w:val="000000"/>
          <w:sz w:val="32"/>
          <w:szCs w:val="32"/>
          <w:lang w:val="en-US" w:eastAsia="zh-CN"/>
        </w:rPr>
        <w:t>2</w:t>
      </w:r>
      <w:r>
        <w:rPr>
          <w:rFonts w:hint="default" w:ascii="仿宋_GB2312" w:hAnsi="仿宋_GB2312" w:eastAsia="仿宋_GB2312" w:cs="仿宋_GB2312"/>
          <w:color w:val="000000"/>
          <w:sz w:val="32"/>
          <w:szCs w:val="32"/>
          <w:lang w:val="en-US" w:eastAsia="zh-CN"/>
        </w:rPr>
        <w:t>：医疗商保场景运营方案</w:t>
      </w:r>
    </w:p>
    <w:p w14:paraId="78672847">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附件3：煤炭产业场景运营方案</w:t>
      </w:r>
    </w:p>
    <w:p w14:paraId="0A6270BA">
      <w:pP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br w:type="page"/>
      </w:r>
    </w:p>
    <w:p w14:paraId="2C3E3070">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p>
    <w:p w14:paraId="667985A5">
      <w:pPr>
        <w:keepNext w:val="0"/>
        <w:keepLines w:val="0"/>
        <w:pageBreakBefore w:val="0"/>
        <w:widowControl w:val="0"/>
        <w:kinsoku/>
        <w:wordWrap/>
        <w:overflowPunct/>
        <w:topLinePunct w:val="0"/>
        <w:autoSpaceDE/>
        <w:autoSpaceDN/>
        <w:bidi w:val="0"/>
        <w:adjustRightInd/>
        <w:snapToGrid/>
        <w:spacing w:line="579" w:lineRule="exact"/>
        <w:ind w:firstLine="420" w:firstLineChars="0"/>
        <w:jc w:val="center"/>
        <w:textAlignment w:val="auto"/>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44"/>
          <w:szCs w:val="44"/>
          <w:lang w:eastAsia="zh-CN"/>
        </w:rPr>
        <w:t>银行信贷场景运营方案</w:t>
      </w:r>
    </w:p>
    <w:p w14:paraId="5874007F">
      <w:pPr>
        <w:keepNext w:val="0"/>
        <w:keepLines w:val="0"/>
        <w:pageBreakBefore w:val="0"/>
        <w:widowControl w:val="0"/>
        <w:kinsoku/>
        <w:wordWrap/>
        <w:overflowPunct/>
        <w:topLinePunct w:val="0"/>
        <w:autoSpaceDE/>
        <w:autoSpaceDN/>
        <w:bidi w:val="0"/>
        <w:adjustRightInd/>
        <w:snapToGrid/>
        <w:spacing w:line="579" w:lineRule="exact"/>
        <w:ind w:firstLine="420" w:firstLineChars="0"/>
        <w:jc w:val="center"/>
        <w:textAlignment w:val="auto"/>
        <w:rPr>
          <w:rFonts w:hint="eastAsia" w:ascii="方正小标宋简体" w:hAnsi="方正小标宋简体" w:eastAsia="方正小标宋简体" w:cs="方正小标宋简体"/>
          <w:sz w:val="32"/>
          <w:szCs w:val="32"/>
          <w:lang w:eastAsia="zh-CN"/>
        </w:rPr>
      </w:pPr>
    </w:p>
    <w:p w14:paraId="518A12C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lang w:eastAsia="zh-CN"/>
        </w:rPr>
        <w:t>场景描述</w:t>
      </w:r>
    </w:p>
    <w:p w14:paraId="5D90548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商业银行在为企业提供贷款服务时，需要的企业财务报表、税务缴纳记录、工商注册信息、社保参保人数和公积金缴存状况等多维度数据分散在不同政府部门，这些数据的高效流通和授权运营是提升金融服务能力、降低信贷风险的关键手段。依托公共数据授权运营，汇聚多部门数据资源，构建精准用户画像，为用户信用评估提供坚实基础。结合企业行业地位、司法涉诉情况、过往信贷记录等多维度信息，开发智能化风险评估模型，量身定制贷款方案。通过持续监控用户的财务健康和信用变化，助力企业稳健发展。数据要素的高效利用能够显著提升金融服务的精准性和安全性，降低信贷风险，促进银企合作。一方面，银行可以借助多源数据的整合与分析，快速、准确地评估企业的信用状况，减少信息不对称带来的风险；另一方面，</w:t>
      </w:r>
      <w:bookmarkStart w:id="0" w:name="OLE_LINK9"/>
      <w:r>
        <w:rPr>
          <w:rFonts w:hint="eastAsia" w:ascii="仿宋_GB2312" w:hAnsi="仿宋_GB2312" w:eastAsia="仿宋_GB2312" w:cs="仿宋_GB2312"/>
          <w:sz w:val="32"/>
          <w:szCs w:val="32"/>
          <w:lang w:val="en-US" w:eastAsia="zh-CN"/>
        </w:rPr>
        <w:t>数据的高效利用</w:t>
      </w:r>
      <w:bookmarkEnd w:id="0"/>
      <w:r>
        <w:rPr>
          <w:rFonts w:hint="eastAsia" w:ascii="仿宋_GB2312" w:hAnsi="仿宋_GB2312" w:eastAsia="仿宋_GB2312" w:cs="仿宋_GB2312"/>
          <w:sz w:val="32"/>
          <w:szCs w:val="32"/>
          <w:lang w:val="en-US" w:eastAsia="zh-CN"/>
        </w:rPr>
        <w:t>能够推动金融产品的创新与优化，提升金融服务的质量和效率。</w:t>
      </w:r>
    </w:p>
    <w:p w14:paraId="3887EEC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二、数据需求</w:t>
      </w:r>
    </w:p>
    <w:tbl>
      <w:tblPr>
        <w:tblStyle w:val="7"/>
        <w:tblW w:w="8802"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56"/>
        <w:gridCol w:w="3716"/>
        <w:gridCol w:w="3330"/>
      </w:tblGrid>
      <w:tr w14:paraId="4DEC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756" w:type="dxa"/>
            <w:shd w:val="clear" w:color="auto" w:fill="auto"/>
            <w:noWrap/>
          </w:tcPr>
          <w:p w14:paraId="6DBC98A8">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表名</w:t>
            </w:r>
          </w:p>
        </w:tc>
        <w:tc>
          <w:tcPr>
            <w:tcW w:w="3716" w:type="dxa"/>
            <w:shd w:val="clear" w:color="auto" w:fill="auto"/>
          </w:tcPr>
          <w:p w14:paraId="2783A92F">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字段名</w:t>
            </w:r>
          </w:p>
        </w:tc>
        <w:tc>
          <w:tcPr>
            <w:tcW w:w="3330" w:type="dxa"/>
            <w:shd w:val="clear" w:color="auto" w:fill="auto"/>
          </w:tcPr>
          <w:p w14:paraId="4F1C4748">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更新频率</w:t>
            </w:r>
          </w:p>
        </w:tc>
      </w:tr>
      <w:tr w14:paraId="1DA7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756" w:type="dxa"/>
            <w:vMerge w:val="restart"/>
            <w:shd w:val="clear" w:color="auto" w:fill="auto"/>
            <w:noWrap/>
          </w:tcPr>
          <w:p w14:paraId="4906E7A6">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企业信息</w:t>
            </w:r>
          </w:p>
        </w:tc>
        <w:tc>
          <w:tcPr>
            <w:tcW w:w="3716" w:type="dxa"/>
            <w:shd w:val="clear" w:color="auto" w:fill="auto"/>
          </w:tcPr>
          <w:p w14:paraId="0D7A0D26">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1.企业工商登记信息</w:t>
            </w:r>
          </w:p>
        </w:tc>
        <w:tc>
          <w:tcPr>
            <w:tcW w:w="3330" w:type="dxa"/>
            <w:shd w:val="clear" w:color="auto" w:fill="auto"/>
          </w:tcPr>
          <w:p w14:paraId="4F858C5B">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8A9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756" w:type="dxa"/>
            <w:vMerge w:val="continue"/>
            <w:shd w:val="clear" w:color="auto" w:fill="auto"/>
            <w:noWrap/>
          </w:tcPr>
          <w:p w14:paraId="64686EC4">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p>
        </w:tc>
        <w:tc>
          <w:tcPr>
            <w:tcW w:w="3716" w:type="dxa"/>
            <w:shd w:val="clear" w:color="auto" w:fill="auto"/>
          </w:tcPr>
          <w:p w14:paraId="75C9088B">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2.企业股东信息</w:t>
            </w:r>
          </w:p>
        </w:tc>
        <w:tc>
          <w:tcPr>
            <w:tcW w:w="3330" w:type="dxa"/>
            <w:shd w:val="clear" w:color="auto" w:fill="auto"/>
          </w:tcPr>
          <w:p w14:paraId="4AA27156">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60E3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756" w:type="dxa"/>
            <w:vMerge w:val="continue"/>
            <w:shd w:val="clear" w:color="auto" w:fill="auto"/>
            <w:noWrap/>
          </w:tcPr>
          <w:p w14:paraId="7473B672">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p>
        </w:tc>
        <w:tc>
          <w:tcPr>
            <w:tcW w:w="3716" w:type="dxa"/>
            <w:shd w:val="clear" w:color="auto" w:fill="auto"/>
          </w:tcPr>
          <w:p w14:paraId="0812DDB1">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3.社保缴纳信息</w:t>
            </w:r>
          </w:p>
        </w:tc>
        <w:tc>
          <w:tcPr>
            <w:tcW w:w="3330" w:type="dxa"/>
            <w:shd w:val="clear" w:color="auto" w:fill="auto"/>
          </w:tcPr>
          <w:p w14:paraId="51F4CAF8">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按</w:t>
            </w:r>
            <w:r>
              <w:rPr>
                <w:rFonts w:hint="default" w:ascii="仿宋_GB2312" w:hAnsi="仿宋_GB2312" w:eastAsia="仿宋_GB2312" w:cs="仿宋_GB2312"/>
                <w:sz w:val="28"/>
                <w:szCs w:val="28"/>
                <w:lang w:val="en-US" w:eastAsia="zh-CN"/>
              </w:rPr>
              <w:t>月</w:t>
            </w:r>
            <w:r>
              <w:rPr>
                <w:rFonts w:hint="eastAsia" w:ascii="仿宋_GB2312" w:hAnsi="仿宋_GB2312" w:eastAsia="仿宋_GB2312" w:cs="仿宋_GB2312"/>
                <w:sz w:val="28"/>
                <w:szCs w:val="28"/>
                <w:lang w:val="en-US" w:eastAsia="zh-CN"/>
              </w:rPr>
              <w:t>更新</w:t>
            </w:r>
          </w:p>
        </w:tc>
      </w:tr>
      <w:tr w14:paraId="09EF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756" w:type="dxa"/>
            <w:vMerge w:val="continue"/>
            <w:shd w:val="clear" w:color="auto" w:fill="auto"/>
            <w:noWrap/>
          </w:tcPr>
          <w:p w14:paraId="2430337B">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p>
        </w:tc>
        <w:tc>
          <w:tcPr>
            <w:tcW w:w="3716" w:type="dxa"/>
            <w:shd w:val="clear" w:color="auto" w:fill="auto"/>
            <w:noWrap/>
          </w:tcPr>
          <w:p w14:paraId="1F6117CF">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4.纳税信息</w:t>
            </w:r>
          </w:p>
        </w:tc>
        <w:tc>
          <w:tcPr>
            <w:tcW w:w="3330" w:type="dxa"/>
            <w:shd w:val="clear" w:color="auto" w:fill="auto"/>
          </w:tcPr>
          <w:p w14:paraId="2D203A16">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198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756" w:type="dxa"/>
            <w:vMerge w:val="continue"/>
            <w:shd w:val="clear" w:color="auto" w:fill="auto"/>
            <w:noWrap/>
          </w:tcPr>
          <w:p w14:paraId="33ABA1A7">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p>
        </w:tc>
        <w:tc>
          <w:tcPr>
            <w:tcW w:w="3716" w:type="dxa"/>
            <w:shd w:val="clear" w:color="auto" w:fill="auto"/>
          </w:tcPr>
          <w:p w14:paraId="0F8B7134">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5.水电气暖缴费信息</w:t>
            </w:r>
          </w:p>
        </w:tc>
        <w:tc>
          <w:tcPr>
            <w:tcW w:w="3330" w:type="dxa"/>
            <w:shd w:val="clear" w:color="auto" w:fill="auto"/>
          </w:tcPr>
          <w:p w14:paraId="1243D7F8">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7173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756" w:type="dxa"/>
            <w:vMerge w:val="continue"/>
            <w:shd w:val="clear" w:color="auto" w:fill="auto"/>
            <w:noWrap/>
          </w:tcPr>
          <w:p w14:paraId="71EE529C">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p>
        </w:tc>
        <w:tc>
          <w:tcPr>
            <w:tcW w:w="3716" w:type="dxa"/>
            <w:shd w:val="clear" w:color="auto" w:fill="auto"/>
          </w:tcPr>
          <w:p w14:paraId="73816926">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6.不动产登记信息</w:t>
            </w:r>
          </w:p>
        </w:tc>
        <w:tc>
          <w:tcPr>
            <w:tcW w:w="3330" w:type="dxa"/>
            <w:shd w:val="clear" w:color="auto" w:fill="auto"/>
          </w:tcPr>
          <w:p w14:paraId="5031C917">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25A8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756" w:type="dxa"/>
            <w:vMerge w:val="continue"/>
            <w:shd w:val="clear" w:color="auto" w:fill="auto"/>
            <w:noWrap/>
          </w:tcPr>
          <w:p w14:paraId="47EBEDBB">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p>
        </w:tc>
        <w:tc>
          <w:tcPr>
            <w:tcW w:w="3716" w:type="dxa"/>
            <w:shd w:val="clear" w:color="auto" w:fill="auto"/>
          </w:tcPr>
          <w:p w14:paraId="37FD0987">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7.诉讼信息</w:t>
            </w:r>
          </w:p>
        </w:tc>
        <w:tc>
          <w:tcPr>
            <w:tcW w:w="3330" w:type="dxa"/>
            <w:shd w:val="clear" w:color="auto" w:fill="auto"/>
          </w:tcPr>
          <w:p w14:paraId="1C468B35">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28F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756" w:type="dxa"/>
            <w:vMerge w:val="continue"/>
            <w:shd w:val="clear" w:color="auto" w:fill="auto"/>
            <w:noWrap/>
          </w:tcPr>
          <w:p w14:paraId="03071B2E">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p>
        </w:tc>
        <w:tc>
          <w:tcPr>
            <w:tcW w:w="3716" w:type="dxa"/>
            <w:shd w:val="clear" w:color="auto" w:fill="auto"/>
          </w:tcPr>
          <w:p w14:paraId="4A7612AC">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8.名单信息。提供政府列入各类名单信息，如专精特新名单、政策支持类“白名单”客户，禁止类“黑名单”客户信息等。</w:t>
            </w:r>
          </w:p>
        </w:tc>
        <w:tc>
          <w:tcPr>
            <w:tcW w:w="3330" w:type="dxa"/>
            <w:shd w:val="clear" w:color="auto" w:fill="auto"/>
          </w:tcPr>
          <w:p w14:paraId="0E0C1ADD">
            <w:pPr>
              <w:keepNext w:val="0"/>
              <w:keepLines w:val="0"/>
              <w:pageBreakBefore w:val="0"/>
              <w:widowControl w:val="0"/>
              <w:kinsoku/>
              <w:wordWrap/>
              <w:overflowPunct/>
              <w:topLinePunct w:val="0"/>
              <w:autoSpaceDE/>
              <w:autoSpaceDN/>
              <w:bidi w:val="0"/>
              <w:adjustRightInd/>
              <w:snapToGrid/>
              <w:spacing w:line="579" w:lineRule="exact"/>
              <w:ind w:firstLine="0" w:firstLine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bl>
    <w:p w14:paraId="0BB1955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三、数据底数</w:t>
      </w:r>
    </w:p>
    <w:tbl>
      <w:tblPr>
        <w:tblStyle w:val="7"/>
        <w:tblW w:w="883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91"/>
        <w:gridCol w:w="1945"/>
        <w:gridCol w:w="3495"/>
        <w:gridCol w:w="1605"/>
      </w:tblGrid>
      <w:tr w14:paraId="29A4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8" w:hRule="atLeast"/>
        </w:trPr>
        <w:tc>
          <w:tcPr>
            <w:tcW w:w="1791" w:type="dxa"/>
            <w:shd w:val="clear" w:color="auto" w:fill="auto"/>
          </w:tcPr>
          <w:p w14:paraId="0D7722D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数源部门</w:t>
            </w:r>
          </w:p>
        </w:tc>
        <w:tc>
          <w:tcPr>
            <w:tcW w:w="1945" w:type="dxa"/>
            <w:shd w:val="clear" w:color="auto" w:fill="auto"/>
          </w:tcPr>
          <w:p w14:paraId="2D4C3F9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表名</w:t>
            </w:r>
          </w:p>
        </w:tc>
        <w:tc>
          <w:tcPr>
            <w:tcW w:w="3495" w:type="dxa"/>
            <w:shd w:val="clear" w:color="auto" w:fill="auto"/>
          </w:tcPr>
          <w:p w14:paraId="4123E40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字段名</w:t>
            </w:r>
          </w:p>
        </w:tc>
        <w:tc>
          <w:tcPr>
            <w:tcW w:w="1605" w:type="dxa"/>
            <w:shd w:val="clear" w:color="auto" w:fill="auto"/>
            <w:noWrap/>
          </w:tcPr>
          <w:p w14:paraId="63BEBD8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更新频率</w:t>
            </w:r>
          </w:p>
        </w:tc>
      </w:tr>
      <w:tr w14:paraId="5025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65" w:hRule="atLeast"/>
        </w:trPr>
        <w:tc>
          <w:tcPr>
            <w:tcW w:w="1791" w:type="dxa"/>
            <w:shd w:val="clear" w:color="auto" w:fill="auto"/>
            <w:noWrap/>
          </w:tcPr>
          <w:p w14:paraId="0CD3D1D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市自然资源局</w:t>
            </w:r>
          </w:p>
        </w:tc>
        <w:tc>
          <w:tcPr>
            <w:tcW w:w="1945" w:type="dxa"/>
            <w:shd w:val="clear" w:color="auto" w:fill="auto"/>
            <w:noWrap/>
          </w:tcPr>
          <w:p w14:paraId="316303F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不动产专题库</w:t>
            </w:r>
          </w:p>
        </w:tc>
        <w:tc>
          <w:tcPr>
            <w:tcW w:w="3495" w:type="dxa"/>
            <w:shd w:val="clear" w:color="auto" w:fill="auto"/>
          </w:tcPr>
          <w:p w14:paraId="364F4FD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证件类别、不动产证号、房屋权利性质、共有方式、房屋权利类型、坐落、登记时间、房屋用途、证书ID、房屋住建面积、权利人名称、使用期限、其他、证件号码、不动产单元号</w:t>
            </w:r>
          </w:p>
        </w:tc>
        <w:tc>
          <w:tcPr>
            <w:tcW w:w="1605" w:type="dxa"/>
            <w:shd w:val="clear" w:color="auto" w:fill="auto"/>
            <w:noWrap/>
          </w:tcPr>
          <w:p w14:paraId="2FE8680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71E3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5" w:hRule="atLeast"/>
        </w:trPr>
        <w:tc>
          <w:tcPr>
            <w:tcW w:w="1791" w:type="dxa"/>
            <w:shd w:val="clear" w:color="auto" w:fill="auto"/>
            <w:noWrap/>
          </w:tcPr>
          <w:p w14:paraId="60815F4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市市场监督管理局</w:t>
            </w:r>
          </w:p>
        </w:tc>
        <w:tc>
          <w:tcPr>
            <w:tcW w:w="1945" w:type="dxa"/>
            <w:shd w:val="clear" w:color="auto" w:fill="auto"/>
            <w:noWrap/>
          </w:tcPr>
          <w:p w14:paraId="599AB15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企业基本信息</w:t>
            </w:r>
          </w:p>
        </w:tc>
        <w:tc>
          <w:tcPr>
            <w:tcW w:w="3495" w:type="dxa"/>
            <w:shd w:val="clear" w:color="auto" w:fill="auto"/>
          </w:tcPr>
          <w:p w14:paraId="5D89D5A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登记机关、住所、经营（驻在）期限至、经营（驻在）期限自、注册资本（金）币种（中、文名称）、注册资本（金）万元、统一社会信用代码、注册资本（金）币种、注册号、登记机关（中文名称）、经营范围、行业门类、市场主体类型、成立日期、企业（机构）名称、数据汇总时间、表主键、登记状态</w:t>
            </w:r>
          </w:p>
        </w:tc>
        <w:tc>
          <w:tcPr>
            <w:tcW w:w="1605" w:type="dxa"/>
            <w:shd w:val="clear" w:color="auto" w:fill="auto"/>
            <w:noWrap/>
          </w:tcPr>
          <w:p w14:paraId="52A4386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E0F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791" w:type="dxa"/>
            <w:shd w:val="clear" w:color="auto" w:fill="auto"/>
            <w:noWrap/>
          </w:tcPr>
          <w:p w14:paraId="1B42747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市住房公积金管理中心</w:t>
            </w:r>
          </w:p>
        </w:tc>
        <w:tc>
          <w:tcPr>
            <w:tcW w:w="1945" w:type="dxa"/>
            <w:shd w:val="clear" w:color="auto" w:fill="auto"/>
            <w:noWrap/>
          </w:tcPr>
          <w:p w14:paraId="6CF15C8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缴存人账户信息</w:t>
            </w:r>
          </w:p>
        </w:tc>
        <w:tc>
          <w:tcPr>
            <w:tcW w:w="3495" w:type="dxa"/>
            <w:shd w:val="clear" w:color="auto" w:fill="auto"/>
          </w:tcPr>
          <w:p w14:paraId="49D49FD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第二季度活期利息、补缴累计、本年活期利息、缴存比例、审批操作员ID、个人账号、本年活期支取、销户原因、第一季度预提利息、约定托收日、启缴年月、汇缴累计、开户申请操作员、个人账户状态、年度结息活期积数、退回操作员ID、开户申请日期、记录唯一id、第三季度定期利息、个人存款账户号码、所属银行编码、上年度利息、本年汇缴、财政月补贴额、开户申请时间、开户申请操作员ID、本年预提利息合计、本年预提定期利息、业务流水ID、开户日期、个人客户号、本年定期支取、转入总利息、芝麻信用分数、第二季度预提利息、退回原因、当前冻结金额（0表示全部冻结）、个人账户余额、退回渠道、支付宝账号、流程实例ID、退回时间、个人查询密码、个人存款账户开户银行、银行名称、个人账户上年结转余额、单位账号、档案状态、管理机构代码、转入基本金、审批时间、第一季度活期利息、打印缴存证明表日期、本年预提活期利息、账户是否冻结、第一季度定期利息、销户日期、审批日期、个人存款账户开户银行、银行代码、第二季度定期利息、年度结息定期积数、开户申请渠道、第三季度活期利息、单位月缴存额、转入缴存额、个人存款账户号码、个人月缴存额、本年补缴、本年支取、最近一次汇补缴日期、审批操作员、审批渠道、上年结转、本年定期利息、本年利息合计、退回操作员、审批状态、账户类别编码、年度结息日期、第三季度预提利息、支取累计、退回日期、个人缴存基数、所属部门编码、个人账户当年归集余额、补充月缴存额、储蓄类型、应缴年月、业务流程ID</w:t>
            </w:r>
          </w:p>
        </w:tc>
        <w:tc>
          <w:tcPr>
            <w:tcW w:w="1605" w:type="dxa"/>
            <w:shd w:val="clear" w:color="auto" w:fill="auto"/>
            <w:noWrap/>
          </w:tcPr>
          <w:p w14:paraId="0E162E2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DC5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56" w:hRule="atLeast"/>
        </w:trPr>
        <w:tc>
          <w:tcPr>
            <w:tcW w:w="1791" w:type="dxa"/>
            <w:shd w:val="clear" w:color="auto" w:fill="auto"/>
          </w:tcPr>
          <w:p w14:paraId="460F2FA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市人力资源和社会保障局</w:t>
            </w:r>
          </w:p>
        </w:tc>
        <w:tc>
          <w:tcPr>
            <w:tcW w:w="1945" w:type="dxa"/>
            <w:shd w:val="clear" w:color="auto" w:fill="auto"/>
          </w:tcPr>
          <w:p w14:paraId="24535DA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鄂尔多斯市社保专题库社保参保数据</w:t>
            </w:r>
          </w:p>
        </w:tc>
        <w:tc>
          <w:tcPr>
            <w:tcW w:w="3495" w:type="dxa"/>
            <w:shd w:val="clear" w:color="auto" w:fill="auto"/>
          </w:tcPr>
          <w:p w14:paraId="67872C9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联系电话、姓名、序号、身份证号、险种类型、工作单位</w:t>
            </w:r>
          </w:p>
        </w:tc>
        <w:tc>
          <w:tcPr>
            <w:tcW w:w="1605" w:type="dxa"/>
            <w:shd w:val="clear" w:color="auto" w:fill="auto"/>
          </w:tcPr>
          <w:p w14:paraId="1E2D4E9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57A9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5" w:hRule="atLeast"/>
        </w:trPr>
        <w:tc>
          <w:tcPr>
            <w:tcW w:w="1791" w:type="dxa"/>
            <w:shd w:val="clear" w:color="auto" w:fill="auto"/>
            <w:noWrap/>
          </w:tcPr>
          <w:p w14:paraId="0DD15F9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燃气公司</w:t>
            </w:r>
          </w:p>
        </w:tc>
        <w:tc>
          <w:tcPr>
            <w:tcW w:w="1945" w:type="dxa"/>
            <w:shd w:val="clear" w:color="auto" w:fill="auto"/>
            <w:noWrap/>
          </w:tcPr>
          <w:p w14:paraId="588262B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鄂尔多斯市全市燃气数据</w:t>
            </w:r>
          </w:p>
        </w:tc>
        <w:tc>
          <w:tcPr>
            <w:tcW w:w="3495" w:type="dxa"/>
            <w:shd w:val="clear" w:color="auto" w:fill="auto"/>
            <w:noWrap/>
          </w:tcPr>
          <w:p w14:paraId="48A1C9D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点火时间、小区名称、用户状态、用户编号、状态、开户时间、支付时间、所属旗区、购气量、用户名称、序号、地址、订单号、街道名称、表具编号、表类型、缴费金额、支付方式、用气性质、手机号、所属营业厅、用户类型</w:t>
            </w:r>
          </w:p>
        </w:tc>
        <w:tc>
          <w:tcPr>
            <w:tcW w:w="1605" w:type="dxa"/>
            <w:shd w:val="clear" w:color="auto" w:fill="auto"/>
            <w:noWrap/>
          </w:tcPr>
          <w:p w14:paraId="51C3F4C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30EA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47" w:hRule="atLeast"/>
        </w:trPr>
        <w:tc>
          <w:tcPr>
            <w:tcW w:w="1791" w:type="dxa"/>
            <w:shd w:val="clear" w:color="auto" w:fill="auto"/>
            <w:noWrap/>
          </w:tcPr>
          <w:p w14:paraId="2E83817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市电业局</w:t>
            </w:r>
          </w:p>
        </w:tc>
        <w:tc>
          <w:tcPr>
            <w:tcW w:w="1945" w:type="dxa"/>
            <w:shd w:val="clear" w:color="auto" w:fill="auto"/>
            <w:noWrap/>
          </w:tcPr>
          <w:p w14:paraId="4204497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鄂尔多斯市电费数据</w:t>
            </w:r>
          </w:p>
        </w:tc>
        <w:tc>
          <w:tcPr>
            <w:tcW w:w="3495" w:type="dxa"/>
            <w:shd w:val="clear" w:color="auto" w:fill="auto"/>
          </w:tcPr>
          <w:p w14:paraId="2C894A1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统计基准日期、合同容量、地方编码、备注、事项编码、首次供电时间、数据报送类型、主体类别1、部门ID、事项名称、用电类型、主体名称、用户地址、用电账户状态、主键、近3个月月均用电金额、统计日期、主体类别、统一社会信用代码、用户名称、数据交换来源类型、近两年违约次数、电网户号、风险等级、运行容量、用户ID、地区地方名省级、地区地方名市级、目录ID、近一年月均用电金额、用户所属行政区编码、数据更新时间、价值等级、欠费金额、数据编码、是否删除、数据入库时间、当前是否欠费、近6个月月均用电金额、开户日期</w:t>
            </w:r>
          </w:p>
        </w:tc>
        <w:tc>
          <w:tcPr>
            <w:tcW w:w="1605" w:type="dxa"/>
            <w:shd w:val="clear" w:color="auto" w:fill="auto"/>
            <w:noWrap/>
          </w:tcPr>
          <w:p w14:paraId="5B0D67B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1662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63" w:hRule="atLeast"/>
        </w:trPr>
        <w:tc>
          <w:tcPr>
            <w:tcW w:w="1791" w:type="dxa"/>
            <w:shd w:val="clear" w:color="auto" w:fill="auto"/>
            <w:noWrap/>
          </w:tcPr>
          <w:p w14:paraId="532F922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水务公司</w:t>
            </w:r>
          </w:p>
        </w:tc>
        <w:tc>
          <w:tcPr>
            <w:tcW w:w="1945" w:type="dxa"/>
            <w:shd w:val="clear" w:color="auto" w:fill="auto"/>
            <w:noWrap/>
          </w:tcPr>
          <w:p w14:paraId="273F379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鄂尔多斯市水费数据</w:t>
            </w:r>
          </w:p>
        </w:tc>
        <w:tc>
          <w:tcPr>
            <w:tcW w:w="3495" w:type="dxa"/>
            <w:shd w:val="clear" w:color="auto" w:fill="auto"/>
          </w:tcPr>
          <w:p w14:paraId="3F6E948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数据更新时间、地方编码、用户ID、事项编码、数据交换来源类型、近3个月月均用水量、数据编码、主体类别1、缴纳水费明细、目录ID、当前是否欠费、用户名称、事项名称、数据编码1、备注、统一社会信用代码、主体类别、用户地址、主键、部门ID、是否一户一表、数据报送类型、统计日期、用户所属行政区编码、主体名称、近6个月月均用水量、是否删除、缴费所属期、开户日期、数据入库时间、用户信息户名户号、统计基准日期、预交金额、欠费金额</w:t>
            </w:r>
          </w:p>
        </w:tc>
        <w:tc>
          <w:tcPr>
            <w:tcW w:w="1605" w:type="dxa"/>
            <w:shd w:val="clear" w:color="auto" w:fill="auto"/>
            <w:noWrap/>
          </w:tcPr>
          <w:p w14:paraId="7C4DF7A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1FD4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7" w:hRule="atLeast"/>
        </w:trPr>
        <w:tc>
          <w:tcPr>
            <w:tcW w:w="1791" w:type="dxa"/>
            <w:shd w:val="clear" w:color="auto" w:fill="auto"/>
            <w:noWrap/>
          </w:tcPr>
          <w:p w14:paraId="5E5FB34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供暖公司</w:t>
            </w:r>
          </w:p>
        </w:tc>
        <w:tc>
          <w:tcPr>
            <w:tcW w:w="1945" w:type="dxa"/>
            <w:shd w:val="clear" w:color="auto" w:fill="auto"/>
            <w:noWrap/>
          </w:tcPr>
          <w:p w14:paraId="5269E55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鄂尔多斯市供暖数据</w:t>
            </w:r>
          </w:p>
        </w:tc>
        <w:tc>
          <w:tcPr>
            <w:tcW w:w="3495" w:type="dxa"/>
            <w:shd w:val="clear" w:color="auto" w:fill="auto"/>
          </w:tcPr>
          <w:p w14:paraId="40947E9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企业自用ID、是否固定测温、是否边户、用户类型、缴费情况、楼栋名称、固定测温设备编号、散热器类型、所属分区、单元、所属分公司、散热器改造情况、居民类型、是否一层、行政辖区、是否顶层、所属热源、所属总公司、序号、门牌号、建筑面积、缴费卡号、所在层、所属小区</w:t>
            </w:r>
          </w:p>
        </w:tc>
        <w:tc>
          <w:tcPr>
            <w:tcW w:w="1605" w:type="dxa"/>
            <w:shd w:val="clear" w:color="auto" w:fill="auto"/>
            <w:noWrap/>
          </w:tcPr>
          <w:p w14:paraId="7BC60EA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33E9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7" w:hRule="atLeast"/>
        </w:trPr>
        <w:tc>
          <w:tcPr>
            <w:tcW w:w="1791" w:type="dxa"/>
            <w:shd w:val="clear" w:color="auto" w:fill="auto"/>
            <w:noWrap/>
          </w:tcPr>
          <w:p w14:paraId="35F5D9C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市工信局</w:t>
            </w:r>
          </w:p>
        </w:tc>
        <w:tc>
          <w:tcPr>
            <w:tcW w:w="1945" w:type="dxa"/>
            <w:shd w:val="clear" w:color="auto" w:fill="auto"/>
            <w:noWrap/>
          </w:tcPr>
          <w:p w14:paraId="64917A6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专精特新小巨人企业</w:t>
            </w:r>
          </w:p>
        </w:tc>
        <w:tc>
          <w:tcPr>
            <w:tcW w:w="3495" w:type="dxa"/>
            <w:shd w:val="clear" w:color="auto" w:fill="auto"/>
          </w:tcPr>
          <w:p w14:paraId="352DFF3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类别、企业名称、层级、年度、备注、序号</w:t>
            </w:r>
          </w:p>
        </w:tc>
        <w:tc>
          <w:tcPr>
            <w:tcW w:w="1605" w:type="dxa"/>
            <w:shd w:val="clear" w:color="auto" w:fill="auto"/>
            <w:noWrap/>
          </w:tcPr>
          <w:p w14:paraId="7D1A24E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3EFC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0" w:hRule="atLeast"/>
        </w:trPr>
        <w:tc>
          <w:tcPr>
            <w:tcW w:w="1791" w:type="dxa"/>
            <w:vMerge w:val="restart"/>
            <w:shd w:val="clear" w:color="auto" w:fill="auto"/>
            <w:noWrap/>
          </w:tcPr>
          <w:p w14:paraId="756C8B8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市科技局</w:t>
            </w:r>
          </w:p>
        </w:tc>
        <w:tc>
          <w:tcPr>
            <w:tcW w:w="1945" w:type="dxa"/>
            <w:shd w:val="clear" w:color="auto" w:fill="auto"/>
            <w:noWrap/>
          </w:tcPr>
          <w:p w14:paraId="3EF6E62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鄂尔多斯市国家高新技术企业名单</w:t>
            </w:r>
          </w:p>
        </w:tc>
        <w:tc>
          <w:tcPr>
            <w:tcW w:w="3495" w:type="dxa"/>
            <w:shd w:val="clear" w:color="auto" w:fill="auto"/>
            <w:noWrap/>
          </w:tcPr>
          <w:p w14:paraId="595F73F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企业名称、认定时间、序号、年份、所属旗园区</w:t>
            </w:r>
          </w:p>
        </w:tc>
        <w:tc>
          <w:tcPr>
            <w:tcW w:w="1605" w:type="dxa"/>
            <w:shd w:val="clear" w:color="auto" w:fill="auto"/>
            <w:noWrap/>
          </w:tcPr>
          <w:p w14:paraId="6C5DA09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1F90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08" w:hRule="atLeast"/>
        </w:trPr>
        <w:tc>
          <w:tcPr>
            <w:tcW w:w="1791" w:type="dxa"/>
            <w:vMerge w:val="continue"/>
            <w:shd w:val="clear" w:color="auto" w:fill="auto"/>
            <w:noWrap/>
          </w:tcPr>
          <w:p w14:paraId="236CBB0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1945" w:type="dxa"/>
            <w:shd w:val="clear" w:color="auto" w:fill="auto"/>
            <w:noWrap/>
          </w:tcPr>
          <w:p w14:paraId="7B595D3F">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鄂尔多斯市入库科技型中小企业名单</w:t>
            </w:r>
          </w:p>
        </w:tc>
        <w:tc>
          <w:tcPr>
            <w:tcW w:w="3495" w:type="dxa"/>
            <w:shd w:val="clear" w:color="auto" w:fill="auto"/>
          </w:tcPr>
          <w:p w14:paraId="24FE32A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注册日期、企业名称、所属一级行业领域、入库登记编号、序号、所属旗区、年份、所属二级行业</w:t>
            </w:r>
          </w:p>
        </w:tc>
        <w:tc>
          <w:tcPr>
            <w:tcW w:w="1605" w:type="dxa"/>
            <w:shd w:val="clear" w:color="auto" w:fill="auto"/>
            <w:noWrap/>
          </w:tcPr>
          <w:p w14:paraId="2504EDF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bl>
    <w:p w14:paraId="7EA8A8B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四、工作任务</w:t>
      </w:r>
    </w:p>
    <w:p w14:paraId="5162619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ascii="Calibri" w:hAnsi="Calibri" w:eastAsia="宋体" w:cs="宋体"/>
        </w:rPr>
      </w:pPr>
      <w:r>
        <w:rPr>
          <w:rFonts w:hint="eastAsia" w:ascii="仿宋_GB2312" w:hAnsi="仿宋_GB2312" w:eastAsia="仿宋_GB2312" w:cs="仿宋_GB2312"/>
          <w:sz w:val="32"/>
          <w:szCs w:val="32"/>
          <w:lang w:val="en-US" w:eastAsia="zh-CN"/>
        </w:rPr>
        <w:t>各数源部门需加强数据供给，</w:t>
      </w:r>
      <w:r>
        <w:rPr>
          <w:rFonts w:hint="eastAsia" w:ascii="仿宋_GB2312" w:hAnsi="仿宋_GB2312" w:eastAsia="仿宋_GB2312" w:cs="仿宋_GB2312"/>
          <w:color w:val="auto"/>
          <w:sz w:val="32"/>
          <w:szCs w:val="32"/>
          <w:lang w:val="en-US" w:eastAsia="zh-CN"/>
        </w:rPr>
        <w:t>提高数据质量。目前税务等部门的数据集中于自治区级平台，由市政数局会同市税务局通过自治区政务数据共享平台向自治区税务局申请数据回流。</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lang w:val="en-US" w:eastAsia="zh-CN"/>
        </w:rPr>
        <w:t>所需的字段进行数据治理，制定统一的元数据标准及分级脱敏规则，确保数据在合规前提下可共享、可融合。遵循“原始数据不出域、可用不可见”原则，保障数据安全与隐私保护。运营机构聚焦用户信用画像构建，融合多源异构政务数据，运用联邦学习、隐私计算等技术，以API接口形式向商业</w:t>
      </w:r>
      <w:r>
        <w:rPr>
          <w:rFonts w:hint="eastAsia" w:ascii="仿宋_GB2312" w:hAnsi="仿宋_GB2312" w:eastAsia="仿宋_GB2312" w:cs="仿宋_GB2312"/>
          <w:sz w:val="32"/>
          <w:szCs w:val="32"/>
          <w:lang w:val="en-US" w:eastAsia="zh-CN"/>
        </w:rPr>
        <w:t>银行提供标准化、可审计的企业特征标签与风险评分。该产品具备可复制、可监管、可持续的运营能力，有效提升银行贷前审查效率与风控精准度，助力缓解用户融资难的问题。</w:t>
      </w:r>
    </w:p>
    <w:p w14:paraId="757644DC">
      <w:pPr>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br w:type="page"/>
      </w:r>
    </w:p>
    <w:p w14:paraId="3088689F">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2</w:t>
      </w:r>
    </w:p>
    <w:p w14:paraId="745DE564">
      <w:pPr>
        <w:keepNext w:val="0"/>
        <w:keepLines w:val="0"/>
        <w:pageBreakBefore w:val="0"/>
        <w:widowControl w:val="0"/>
        <w:kinsoku/>
        <w:wordWrap/>
        <w:overflowPunct/>
        <w:topLinePunct w:val="0"/>
        <w:autoSpaceDE/>
        <w:autoSpaceDN/>
        <w:bidi w:val="0"/>
        <w:adjustRightInd/>
        <w:snapToGrid/>
        <w:spacing w:line="579" w:lineRule="exact"/>
        <w:ind w:firstLine="420" w:firstLineChars="0"/>
        <w:jc w:val="center"/>
        <w:textAlignment w:val="auto"/>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44"/>
          <w:szCs w:val="44"/>
          <w:lang w:eastAsia="zh-CN"/>
        </w:rPr>
        <w:t>医疗商保场景运营方案</w:t>
      </w:r>
    </w:p>
    <w:p w14:paraId="6FD0F788">
      <w:pPr>
        <w:keepNext w:val="0"/>
        <w:keepLines w:val="0"/>
        <w:pageBreakBefore w:val="0"/>
        <w:widowControl w:val="0"/>
        <w:kinsoku/>
        <w:wordWrap/>
        <w:overflowPunct/>
        <w:topLinePunct w:val="0"/>
        <w:autoSpaceDE/>
        <w:autoSpaceDN/>
        <w:bidi w:val="0"/>
        <w:adjustRightInd/>
        <w:snapToGrid/>
        <w:spacing w:line="579" w:lineRule="exact"/>
        <w:ind w:firstLine="420" w:firstLineChars="0"/>
        <w:jc w:val="center"/>
        <w:textAlignment w:val="auto"/>
        <w:rPr>
          <w:rFonts w:hint="eastAsia" w:ascii="方正小标宋简体" w:hAnsi="方正小标宋简体" w:eastAsia="方正小标宋简体" w:cs="方正小标宋简体"/>
          <w:sz w:val="32"/>
          <w:szCs w:val="32"/>
          <w:lang w:eastAsia="zh-CN"/>
        </w:rPr>
      </w:pPr>
    </w:p>
    <w:p w14:paraId="5E24216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一、场景描述</w:t>
      </w:r>
    </w:p>
    <w:p w14:paraId="68250BB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保险公司在医疗商业保险核保和核赔过程中，依赖人工审核，效率低、成本高，且难以精准评估风险。通过数据要素的流通利用，汇聚电子病历、医疗影像等多维度健康数据，形成被保险人的健康画像。通过深度分析健康数据，结合保险行业的风控模型，实现自动化处理和分析，优化核保和核赔流程。提升保险行业的风控能力和服务效率，同时为医疗健康领域的数字化转型提供支持。一方面，保险公司可以借助多源数据的整合与分析，快速、精准地评估被保险人的健康状况，减少信息不对称带来的风险；另一方面，数据的高效利用能够推动保险产品的创新与优化，提升服务质量。</w:t>
      </w:r>
    </w:p>
    <w:p w14:paraId="12CF331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二、数据需求</w:t>
      </w:r>
    </w:p>
    <w:tbl>
      <w:tblPr>
        <w:tblStyle w:val="7"/>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5238"/>
        <w:gridCol w:w="1863"/>
      </w:tblGrid>
      <w:tr w14:paraId="71F8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387CC879">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表名</w:t>
            </w:r>
          </w:p>
        </w:tc>
        <w:tc>
          <w:tcPr>
            <w:tcW w:w="5238" w:type="dxa"/>
          </w:tcPr>
          <w:p w14:paraId="33D991C9">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字段名</w:t>
            </w:r>
          </w:p>
        </w:tc>
        <w:tc>
          <w:tcPr>
            <w:tcW w:w="1863" w:type="dxa"/>
          </w:tcPr>
          <w:p w14:paraId="11B7A563">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更新频率</w:t>
            </w:r>
          </w:p>
        </w:tc>
      </w:tr>
      <w:tr w14:paraId="2EF1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12D59C0B">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患者基本信息</w:t>
            </w:r>
          </w:p>
        </w:tc>
        <w:tc>
          <w:tcPr>
            <w:tcW w:w="5238" w:type="dxa"/>
          </w:tcPr>
          <w:p w14:paraId="70783CA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患者ID（脱敏）、年龄、性别、身高/体重、并发症、家族史、症状、医保信息、用药史、既往史、遗传史、吸烟史、治疗史、手术史</w:t>
            </w:r>
          </w:p>
        </w:tc>
        <w:tc>
          <w:tcPr>
            <w:tcW w:w="1863" w:type="dxa"/>
          </w:tcPr>
          <w:p w14:paraId="236EE4B3">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232D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427A02BC">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门诊数据</w:t>
            </w:r>
          </w:p>
        </w:tc>
        <w:tc>
          <w:tcPr>
            <w:tcW w:w="5238" w:type="dxa"/>
          </w:tcPr>
          <w:p w14:paraId="5B36450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患者ID（脱敏）、就诊日期、就诊科室、病人主诉、检查记录、疾病诊断名称、治疗方案名称、处方类型/名称、处方编号、医嘱内容、医保类型</w:t>
            </w:r>
          </w:p>
        </w:tc>
        <w:tc>
          <w:tcPr>
            <w:tcW w:w="1863" w:type="dxa"/>
          </w:tcPr>
          <w:p w14:paraId="7916BC4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FF2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43" w:type="dxa"/>
          </w:tcPr>
          <w:p w14:paraId="3A30DD50">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住院诊疗数据</w:t>
            </w:r>
          </w:p>
        </w:tc>
        <w:tc>
          <w:tcPr>
            <w:tcW w:w="5238" w:type="dxa"/>
          </w:tcPr>
          <w:p w14:paraId="19F10488">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病历号、入院/出院日期、出/入院科室、入院诊断结果、住院医嘱类型、医嘱内容、医嘱执行科室、医嘱执行/终止时间、住院医嘱药物名称、住院医嘱药物使用途径、住院医嘱药物剂量、剂型信息、住院天数、出院诊断时间、出院诊断结果、出院带药信息、离院医嘱信息</w:t>
            </w:r>
          </w:p>
        </w:tc>
        <w:tc>
          <w:tcPr>
            <w:tcW w:w="1863" w:type="dxa"/>
          </w:tcPr>
          <w:p w14:paraId="5765418D">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5385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5F09B254">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病案首页</w:t>
            </w:r>
          </w:p>
        </w:tc>
        <w:tc>
          <w:tcPr>
            <w:tcW w:w="5238" w:type="dxa"/>
          </w:tcPr>
          <w:p w14:paraId="3517CDB3">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医疗机构名称、病案号、医疗付费方式、入院途径、入院时间、入院科室、入院病情、出院时间、出院科室、住院天数、门诊诊断结果、门诊诊断疾病编码、出院诊断结果、出院诊断疾病编码、损伤/中毒外部原因、病理诊断结果、病理号、病理诊断疾病编码、药物过敏记录、血型</w:t>
            </w:r>
          </w:p>
        </w:tc>
        <w:tc>
          <w:tcPr>
            <w:tcW w:w="1863" w:type="dxa"/>
          </w:tcPr>
          <w:p w14:paraId="106BAE5B">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5894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0BE1AC6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病理检查记录</w:t>
            </w:r>
          </w:p>
        </w:tc>
        <w:tc>
          <w:tcPr>
            <w:tcW w:w="5238" w:type="dxa"/>
          </w:tcPr>
          <w:p w14:paraId="0D79B2C0">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患者ID（脱敏）、病理申请科室、病理检查项目类型、病理检查方法、病理检查日期、样本类型、病理检查结果、病理分型结果、肿瘤标志物检查结果</w:t>
            </w:r>
          </w:p>
        </w:tc>
        <w:tc>
          <w:tcPr>
            <w:tcW w:w="1863" w:type="dxa"/>
          </w:tcPr>
          <w:p w14:paraId="1ABBEE58">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7F44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35780B23">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实验室检查结果</w:t>
            </w:r>
          </w:p>
        </w:tc>
        <w:tc>
          <w:tcPr>
            <w:tcW w:w="5238" w:type="dxa"/>
          </w:tcPr>
          <w:p w14:paraId="412FED0F">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患者ID（脱敏）、检查编号、检查项目名称、检查方法、检查时间、检查结果、检查部位、结果值解释、分期结果、特定疾病检查记录/结果、异常值</w:t>
            </w:r>
          </w:p>
        </w:tc>
        <w:tc>
          <w:tcPr>
            <w:tcW w:w="1863" w:type="dxa"/>
          </w:tcPr>
          <w:p w14:paraId="4AF86974">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1688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43" w:type="dxa"/>
          </w:tcPr>
          <w:p w14:paraId="78373149">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影像数据</w:t>
            </w:r>
          </w:p>
        </w:tc>
        <w:tc>
          <w:tcPr>
            <w:tcW w:w="5238" w:type="dxa"/>
          </w:tcPr>
          <w:p w14:paraId="356E6A5B">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患者ID（脱敏）、检查申请科室、影像检查时间、影像检查名称、检查部位、特殊标志检查、检查结果、影像文本结论、诊断意见</w:t>
            </w:r>
          </w:p>
        </w:tc>
        <w:tc>
          <w:tcPr>
            <w:tcW w:w="1863" w:type="dxa"/>
          </w:tcPr>
          <w:p w14:paraId="1207696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25F3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58523ECD">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随访数据（如有）</w:t>
            </w:r>
          </w:p>
        </w:tc>
        <w:tc>
          <w:tcPr>
            <w:tcW w:w="5238" w:type="dxa"/>
          </w:tcPr>
          <w:p w14:paraId="3FE8096C">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患者ID（脱敏）、患者就诊医院/科室、随访时间、随访内容、检查时间、检查结果、不良事件记录、患者反馈、下次随访日期、生存状态、生存时间、死因</w:t>
            </w:r>
          </w:p>
        </w:tc>
        <w:tc>
          <w:tcPr>
            <w:tcW w:w="1863" w:type="dxa"/>
          </w:tcPr>
          <w:p w14:paraId="74E70AA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5511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7D53DDC4">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放化疗记录</w:t>
            </w:r>
          </w:p>
        </w:tc>
        <w:tc>
          <w:tcPr>
            <w:tcW w:w="5238" w:type="dxa"/>
          </w:tcPr>
          <w:p w14:paraId="2B5CA2F8">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患者ID（脱敏）、申请科室、执行时间、放疗记录、放疗明细、化疗记录、化疗用药明细、不良反应记录</w:t>
            </w:r>
          </w:p>
        </w:tc>
        <w:tc>
          <w:tcPr>
            <w:tcW w:w="1863" w:type="dxa"/>
          </w:tcPr>
          <w:p w14:paraId="58B74DB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6375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3" w:type="dxa"/>
          </w:tcPr>
          <w:p w14:paraId="6C8ED505">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手术</w:t>
            </w:r>
          </w:p>
        </w:tc>
        <w:tc>
          <w:tcPr>
            <w:tcW w:w="5238" w:type="dxa"/>
          </w:tcPr>
          <w:p w14:paraId="729D93E2">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患者ID（脱敏）、申请科室、手术时间、手术部位、麻醉记录、术中用药记录</w:t>
            </w:r>
          </w:p>
        </w:tc>
        <w:tc>
          <w:tcPr>
            <w:tcW w:w="1863" w:type="dxa"/>
          </w:tcPr>
          <w:p w14:paraId="592CFF6C">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18B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43" w:type="dxa"/>
          </w:tcPr>
          <w:p w14:paraId="39197118">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费用信息</w:t>
            </w:r>
          </w:p>
        </w:tc>
        <w:tc>
          <w:tcPr>
            <w:tcW w:w="5238" w:type="dxa"/>
          </w:tcPr>
          <w:p w14:paraId="7230AEA3">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ID（脱敏）、收费编号、费用来源（门诊、住院、检查、手术、放疗等）、费用类别（药品、检查、住院、耗材、床位、输血等）、费用发生时间、费用单价金额、费用总额、费用类型（医保/自费）、医保类型、医保支出金额、自费金额、自付金额</w:t>
            </w:r>
          </w:p>
        </w:tc>
        <w:tc>
          <w:tcPr>
            <w:tcW w:w="1863" w:type="dxa"/>
          </w:tcPr>
          <w:p w14:paraId="793708F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bl>
    <w:p w14:paraId="78D87B5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三、数据底数</w:t>
      </w:r>
    </w:p>
    <w:tbl>
      <w:tblPr>
        <w:tblStyle w:val="7"/>
        <w:tblW w:w="8745" w:type="dxa"/>
        <w:tblInd w:w="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2"/>
        <w:gridCol w:w="1363"/>
        <w:gridCol w:w="4528"/>
        <w:gridCol w:w="1382"/>
      </w:tblGrid>
      <w:tr w14:paraId="3B1A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2" w:type="dxa"/>
            <w:shd w:val="clear" w:color="auto" w:fill="auto"/>
          </w:tcPr>
          <w:p w14:paraId="46EA8A94">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数源部门</w:t>
            </w:r>
          </w:p>
        </w:tc>
        <w:tc>
          <w:tcPr>
            <w:tcW w:w="1363" w:type="dxa"/>
            <w:shd w:val="clear" w:color="auto" w:fill="auto"/>
          </w:tcPr>
          <w:p w14:paraId="03029658">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表名</w:t>
            </w:r>
          </w:p>
        </w:tc>
        <w:tc>
          <w:tcPr>
            <w:tcW w:w="4528" w:type="dxa"/>
            <w:shd w:val="clear" w:color="auto" w:fill="auto"/>
          </w:tcPr>
          <w:p w14:paraId="4784516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字段名</w:t>
            </w:r>
          </w:p>
        </w:tc>
        <w:tc>
          <w:tcPr>
            <w:tcW w:w="1382" w:type="dxa"/>
            <w:shd w:val="clear" w:color="auto" w:fill="auto"/>
          </w:tcPr>
          <w:p w14:paraId="32E377D8">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更新频率</w:t>
            </w:r>
          </w:p>
        </w:tc>
      </w:tr>
      <w:tr w14:paraId="27C5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472" w:type="dxa"/>
            <w:vMerge w:val="restart"/>
            <w:shd w:val="clear" w:color="auto" w:fill="auto"/>
          </w:tcPr>
          <w:p w14:paraId="5B557DEB">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市卫健委</w:t>
            </w:r>
          </w:p>
        </w:tc>
        <w:tc>
          <w:tcPr>
            <w:tcW w:w="1363" w:type="dxa"/>
            <w:shd w:val="clear" w:color="auto" w:fill="auto"/>
          </w:tcPr>
          <w:p w14:paraId="54EE33BF">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患者信息表</w:t>
            </w:r>
          </w:p>
        </w:tc>
        <w:tc>
          <w:tcPr>
            <w:tcW w:w="4528" w:type="dxa"/>
            <w:shd w:val="clear" w:color="auto" w:fill="auto"/>
          </w:tcPr>
          <w:p w14:paraId="204701A0">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手术并发症、医疗机构代码、是否择期手术、个人标识类型、手术Ⅱ助、术后深静脉血栓、手术及操作日期、麻醉方式、数据生成时间、修改标志、手术术者、是否发生术后猝死、是否术前0.5-2小时内、预防用抗菌药、术后生理/代谢紊乱、病案基本信息ID、入复苏室时间、出生地-县（区）、户口地址-县（区）、年龄（岁）、户口地址-乡（镇、街、道办事处）、居住地址-省（自治区直辖市）、出生地-省（自治区直辖市）、参加工作日期、联系人姓名、居住地址-村（街、路等）、国籍、电子邮件地址、居住地址-乡（镇、街、道办事处）、居住地址、联系人邮编、出生地、姓名、电话号码、年龄（月）、出生地-市（地区州）、民族、联系电话-类别、手机号码、户口地址邮编、联系人电话、居民健康卡卡号、工作单位名称、家庭地址-县（区）、户口地址-村（街、路等）、数据生成时间、患者类型、工作单位电话号码、修改标志、健康档案编号、居住地址</w:t>
            </w:r>
          </w:p>
        </w:tc>
        <w:tc>
          <w:tcPr>
            <w:tcW w:w="1382" w:type="dxa"/>
            <w:shd w:val="clear" w:color="auto" w:fill="auto"/>
          </w:tcPr>
          <w:p w14:paraId="4AF6CEDF">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52A6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02" w:hRule="atLeast"/>
        </w:trPr>
        <w:tc>
          <w:tcPr>
            <w:tcW w:w="1472" w:type="dxa"/>
            <w:vMerge w:val="continue"/>
            <w:shd w:val="clear" w:color="auto" w:fill="auto"/>
          </w:tcPr>
          <w:p w14:paraId="7A02338F">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13915BF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全市医疗卫生机构分布信息</w:t>
            </w:r>
          </w:p>
        </w:tc>
        <w:tc>
          <w:tcPr>
            <w:tcW w:w="4528" w:type="dxa"/>
            <w:shd w:val="clear" w:color="auto" w:fill="auto"/>
          </w:tcPr>
          <w:p w14:paraId="1A624B21">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注、乡镇卫生院数量、村卫生室、计划生育服务指导机构、公立医院数量、旗区、妇幼保健机构编制床、位、医疗卫生机构总数、民营医院数量、年度、社区卫生服务中心、乡镇卫生院实有床位、实有床位小计、民营医院编制床位、防治所、护理院、民营医院实有床位、门诊部、个体诊所含医务室卫生所、乡镇卫生院编制床位、妇幼保健机构数量、妇幼保健机构实有床位、卫生监督机构、编制床位小计、公立医院编制床位、疾病预防控制机构体检中心、社区卫生服务站</w:t>
            </w:r>
          </w:p>
        </w:tc>
        <w:tc>
          <w:tcPr>
            <w:tcW w:w="1382" w:type="dxa"/>
            <w:shd w:val="clear" w:color="auto" w:fill="auto"/>
          </w:tcPr>
          <w:p w14:paraId="293C5EE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26E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472" w:type="dxa"/>
            <w:vMerge w:val="continue"/>
            <w:shd w:val="clear" w:color="auto" w:fill="auto"/>
          </w:tcPr>
          <w:p w14:paraId="447849B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0EDD8B1D">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门诊诊断明细表</w:t>
            </w:r>
          </w:p>
        </w:tc>
        <w:tc>
          <w:tcPr>
            <w:tcW w:w="4528" w:type="dxa"/>
            <w:shd w:val="clear" w:color="auto" w:fill="auto"/>
          </w:tcPr>
          <w:p w14:paraId="03A83076">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诊断方法代码、个人标识号、诊断名称、撤销时间、编辑时间、诊断主次代码、诊断顺序、诊断代码、个人标识类型、诊断日期时间、病证区别代码、数据生成时间、记录时间、诊断类别代码、诊断标准代码、就诊流水号、出院情况代码、诊断类型、医疗机构代码、是否疑诊、修改标志、诊断ID</w:t>
            </w:r>
          </w:p>
        </w:tc>
        <w:tc>
          <w:tcPr>
            <w:tcW w:w="1382" w:type="dxa"/>
            <w:shd w:val="clear" w:color="auto" w:fill="auto"/>
          </w:tcPr>
          <w:p w14:paraId="1E77B72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270D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60" w:hRule="atLeast"/>
        </w:trPr>
        <w:tc>
          <w:tcPr>
            <w:tcW w:w="1472" w:type="dxa"/>
            <w:vMerge w:val="continue"/>
            <w:shd w:val="clear" w:color="auto" w:fill="auto"/>
          </w:tcPr>
          <w:p w14:paraId="5BB36C8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7E504196">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门诊结算支付方式明细表</w:t>
            </w:r>
          </w:p>
        </w:tc>
        <w:tc>
          <w:tcPr>
            <w:tcW w:w="4528" w:type="dxa"/>
            <w:shd w:val="clear" w:color="auto" w:fill="auto"/>
          </w:tcPr>
          <w:p w14:paraId="74ACAB95">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数据生成时间、记录收费状态、费用结算时间、结算记录ID、个人标识类型、支付窗口代码、结算人员编号、支付窗口名称、结算人员姓名、支付方式代码、支付金额、医疗机构代码、个人标识号、就诊流水号、支付方式记录ID、修改标志</w:t>
            </w:r>
          </w:p>
        </w:tc>
        <w:tc>
          <w:tcPr>
            <w:tcW w:w="1382" w:type="dxa"/>
            <w:shd w:val="clear" w:color="auto" w:fill="auto"/>
          </w:tcPr>
          <w:p w14:paraId="456B925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D33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42" w:hRule="atLeast"/>
        </w:trPr>
        <w:tc>
          <w:tcPr>
            <w:tcW w:w="1472" w:type="dxa"/>
            <w:vMerge w:val="continue"/>
            <w:shd w:val="clear" w:color="auto" w:fill="auto"/>
          </w:tcPr>
          <w:p w14:paraId="087E733B">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06EC0F35">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门诊结算明细表</w:t>
            </w:r>
          </w:p>
        </w:tc>
        <w:tc>
          <w:tcPr>
            <w:tcW w:w="4528" w:type="dxa"/>
            <w:shd w:val="clear" w:color="auto" w:fill="auto"/>
          </w:tcPr>
          <w:p w14:paraId="18DF2ED8">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医疗机构代码、记录收费状态、医保范围内总额、医疗付费方式代码、结算发票号、费用结算总金额、个人标识类型、结算人员姓名、患者来源属性、费用结算时间、就诊流水号、个人标识号、个人承担费用金额、医保基金支付、修改标志、收费场景代码、发票金额、医保范围内自付、结算人员编号、结算记录ID、数据生成时间</w:t>
            </w:r>
          </w:p>
        </w:tc>
        <w:tc>
          <w:tcPr>
            <w:tcW w:w="1382" w:type="dxa"/>
            <w:shd w:val="clear" w:color="auto" w:fill="auto"/>
          </w:tcPr>
          <w:p w14:paraId="34BFFA4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B18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472" w:type="dxa"/>
            <w:vMerge w:val="continue"/>
            <w:shd w:val="clear" w:color="auto" w:fill="auto"/>
          </w:tcPr>
          <w:p w14:paraId="175500BB">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7E3E1E7D">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门诊治疗记录报告用药记录表</w:t>
            </w:r>
          </w:p>
        </w:tc>
        <w:tc>
          <w:tcPr>
            <w:tcW w:w="4528" w:type="dxa"/>
            <w:shd w:val="clear" w:color="auto" w:fill="auto"/>
          </w:tcPr>
          <w:p w14:paraId="3629A31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就诊流水号、用法、备注、发病记录、个人标识类型、体格检查、个人标识号、药物使用剂量单位、修改标志、药物使用次剂量、医嘱使用备注、药物名称、药物剂型代码、药物使用频次代码、医嘱执行者签名、中药使用类别代码、医疗机构代码、药物使用总量、撤销时间、个人标识号、签名日期时间、药物用法、治疗报告ID、就诊流水号、编辑时间、个人标识类型、用药途径代码、记录时间</w:t>
            </w:r>
          </w:p>
        </w:tc>
        <w:tc>
          <w:tcPr>
            <w:tcW w:w="1382" w:type="dxa"/>
            <w:shd w:val="clear" w:color="auto" w:fill="auto"/>
          </w:tcPr>
          <w:p w14:paraId="1AFF6D36">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4EBDA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79" w:hRule="atLeast"/>
        </w:trPr>
        <w:tc>
          <w:tcPr>
            <w:tcW w:w="1472" w:type="dxa"/>
            <w:vMerge w:val="continue"/>
            <w:shd w:val="clear" w:color="auto" w:fill="auto"/>
          </w:tcPr>
          <w:p w14:paraId="3FC4660C">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423591E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门诊就诊明细表</w:t>
            </w:r>
          </w:p>
        </w:tc>
        <w:tc>
          <w:tcPr>
            <w:tcW w:w="4528" w:type="dxa"/>
            <w:shd w:val="clear" w:color="auto" w:fill="auto"/>
          </w:tcPr>
          <w:p w14:paraId="256805D3">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治则治法、门（急）诊号、患者性别代码、中药饮片用药方法、处方大类、患者年龄、医疗机构代码、就诊流水号、西医诊断代码、处方号码、文档保管的医疗机构、地址、中医证候名称、处方核对药剂师签名、收费标志、修改标志、中医病名名称、中医病名代码、处方主ID、个人标识类型、个人标识号、中医证候代码、数据生成时间、是否新生儿、是否复诊、户籍地址-村（嘎查等）、户籍地址-省（自治区、直辖市）、孕周、中医证候名称、是否孕产妇、主诊医生编号、症状持续时间、症状描述、孕次、中医证候代码、门诊就诊日期、辅助检查记录、过敏史描述、门诊诊断说明、门诊挂号类别、就诊科室名称、主诊医生姓名、收缩压、治疗方案、证型代码、文化程度代码、数据生成时间、就诊科室编码、留观观察、主要诊断疾病代码、户籍地址-市（盟）、体温、个人标识类型/脉率（次/分钟）、中医/西医诊断标志、患者姓名、主要诊断疾病名称、户籍地址-县（旗、区）、就诊类型、产次、心率（次/分钟）、医保卡号、证型名称、就诊卡号、个人意向、户籍地址、接诊时间、舒张压、首复诊标识、是否急诊、代码类型、末次月经、患者属性、治疗处理意见、医疗机构代码、完成就诊时间、密级、发病日期时间、就诊性质、就诊明细ID、外地标志、门（急）诊号、中医“四诊”等描述、体格检查记录、既往史描述、现病史描述、就诊流水号、医疗付费方式代码、治法名称、临床医学类型代码、户籍地址-乡（镇、街道办事处）、修改标志、个人标识号、主诉</w:t>
            </w:r>
          </w:p>
        </w:tc>
        <w:tc>
          <w:tcPr>
            <w:tcW w:w="1382" w:type="dxa"/>
            <w:shd w:val="clear" w:color="auto" w:fill="auto"/>
          </w:tcPr>
          <w:p w14:paraId="763A5814">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1AF4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trPr>
        <w:tc>
          <w:tcPr>
            <w:tcW w:w="1472" w:type="dxa"/>
            <w:vMerge w:val="continue"/>
            <w:shd w:val="clear" w:color="auto" w:fill="auto"/>
          </w:tcPr>
          <w:p w14:paraId="796E40FD">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1F450922">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门诊治疗记录报告主表</w:t>
            </w:r>
          </w:p>
        </w:tc>
        <w:tc>
          <w:tcPr>
            <w:tcW w:w="4528" w:type="dxa"/>
            <w:shd w:val="clear" w:color="auto" w:fill="auto"/>
          </w:tcPr>
          <w:p w14:paraId="61041F15">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治疗报告ID、撤销时间、编辑时间、患者体重、过敏史标志、处理及指导意见、过敏史、电子申请单编号、病床号、修改标志、患者姓名、个人标识类型、门急诊号、住院号、疾病诊断编码、有创诊疗操作标志、病房号、今后治疗方案、就诊流水号、随访方式代码、科室名称、记录时间、病区名称、性别代码、个人标识号、随访周期建议代码</w:t>
            </w:r>
          </w:p>
        </w:tc>
        <w:tc>
          <w:tcPr>
            <w:tcW w:w="1382" w:type="dxa"/>
            <w:shd w:val="clear" w:color="auto" w:fill="auto"/>
          </w:tcPr>
          <w:p w14:paraId="3FF8FCBB">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6133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472" w:type="dxa"/>
            <w:vMerge w:val="continue"/>
            <w:shd w:val="clear" w:color="auto" w:fill="auto"/>
          </w:tcPr>
          <w:p w14:paraId="5DE10DBF">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25D14989">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门诊治疗记录报告手术操作记录表</w:t>
            </w:r>
          </w:p>
        </w:tc>
        <w:tc>
          <w:tcPr>
            <w:tcW w:w="4528" w:type="dxa"/>
            <w:shd w:val="clear" w:color="auto" w:fill="auto"/>
          </w:tcPr>
          <w:p w14:paraId="65B93C69">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编辑时间、操作方法描述、记录时间、操作次数、医疗机构代码、个人标识号、个人标识类型、操作日期时间、修改标志、就诊流水号、介入物名称、操作编码、操作名称、撤销时间、操作目标部位名称、治疗报告ID</w:t>
            </w:r>
          </w:p>
        </w:tc>
        <w:tc>
          <w:tcPr>
            <w:tcW w:w="1382" w:type="dxa"/>
            <w:shd w:val="clear" w:color="auto" w:fill="auto"/>
          </w:tcPr>
          <w:p w14:paraId="122D6DC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7325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472" w:type="dxa"/>
            <w:vMerge w:val="continue"/>
            <w:shd w:val="clear" w:color="auto" w:fill="auto"/>
          </w:tcPr>
          <w:p w14:paraId="1127CB20">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4537969B">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住院病案诊断信息</w:t>
            </w:r>
          </w:p>
        </w:tc>
        <w:tc>
          <w:tcPr>
            <w:tcW w:w="4528" w:type="dxa"/>
            <w:shd w:val="clear" w:color="auto" w:fill="auto"/>
          </w:tcPr>
          <w:p w14:paraId="111E04E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诊断标准代码、数据生成时间、修改标志、诊断主次代码、诊断类别代码、住院就诊流水号、发病日期时间、入院时情况代码、诊断代码、入院病情代码、是否疑诊、入院时情况、诊断顺序、病案基本信息ID、病证区别代码、出院情况代码、分化程度名称、个人标识号、病对应证ID、症状代码、症状名称、诊断方法代码、个人标识类型、分化程度代码、医疗机构代码、诊断名称、最高诊断依据、诊断ID</w:t>
            </w:r>
          </w:p>
        </w:tc>
        <w:tc>
          <w:tcPr>
            <w:tcW w:w="1382" w:type="dxa"/>
            <w:shd w:val="clear" w:color="auto" w:fill="auto"/>
          </w:tcPr>
          <w:p w14:paraId="3BB97F09">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63FA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5" w:hRule="atLeast"/>
        </w:trPr>
        <w:tc>
          <w:tcPr>
            <w:tcW w:w="1472" w:type="dxa"/>
            <w:vMerge w:val="continue"/>
            <w:shd w:val="clear" w:color="auto" w:fill="auto"/>
          </w:tcPr>
          <w:p w14:paraId="1BD3F32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716E7CD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门急诊病历诊断信息</w:t>
            </w:r>
          </w:p>
        </w:tc>
        <w:tc>
          <w:tcPr>
            <w:tcW w:w="4528" w:type="dxa"/>
            <w:shd w:val="clear" w:color="auto" w:fill="auto"/>
          </w:tcPr>
          <w:p w14:paraId="7435B9A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检验医师编号、条码号、实时荧光RT-PCR试剂、厂家、检验报告备注、检验项目代码、电话号码、委托机构、档案保存机构代码、密级、标本状态、医疗机构代码、检验报告日期、实时荧光RT-PCR靶基因、诊断机构代码、检验项目名称、患者病区名称、检验标本号、数据生成时间、申请日期、门诊/住院标志、患者病床号、采样原因、检验技师编号、审核医师编号、标本名称、报告医师签名、标本代码、住院号、个人标识号、档案保存机构地址、报告科室名称、申请机构代码、诊断日期、记录医生编号、送检人姓名、个人标识类型、医师编号、初步诊断中医病名代码、主诉、体格检查、初步诊断西医诊断名称、现病史、初步诊断中医病名名称、就诊日期时间、就诊科室名称、撤销时间、就诊流水号、初步诊断中医证候名称、治则治法、个人标识号</w:t>
            </w:r>
          </w:p>
        </w:tc>
        <w:tc>
          <w:tcPr>
            <w:tcW w:w="1382" w:type="dxa"/>
            <w:shd w:val="clear" w:color="auto" w:fill="auto"/>
          </w:tcPr>
          <w:p w14:paraId="1FAB80C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0BE2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02" w:hRule="atLeast"/>
        </w:trPr>
        <w:tc>
          <w:tcPr>
            <w:tcW w:w="1472" w:type="dxa"/>
            <w:vMerge w:val="continue"/>
            <w:shd w:val="clear" w:color="auto" w:fill="auto"/>
          </w:tcPr>
          <w:p w14:paraId="68E28FC2">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497D5F50">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急诊留观病历诊断信息</w:t>
            </w:r>
          </w:p>
        </w:tc>
        <w:tc>
          <w:tcPr>
            <w:tcW w:w="4528" w:type="dxa"/>
            <w:shd w:val="clear" w:color="auto" w:fill="auto"/>
          </w:tcPr>
          <w:p w14:paraId="0E200C3D">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月经史、编辑时间、其他医学处置、患者类型代码、就诊日期时间、个人史、个人标识号、医疗机构代码、就诊流水号、传染病史、手术及操作代码、预防接种史、现病史、药物不良反应情况、过敏史、初步诊断中医证候名称、辅助检查项目、修改标志、初步诊断中医病名代码、主诉、医师编号、现病史、初步诊断西医诊断编码、就诊流水号、体格检查、就诊科室名称、收人观察室日期时间、医师签名、注意事项、初步诊断西医诊断名称、个人标识号、初步诊断中医证候代码、辩证依据、医疗机构代码、初步诊断中医病名名称、辅助检查结果、患者去向代码、就诊科室代码、编辑时间、就诊日期时间、门急诊号、急诊留观病程记录、中医四诊观察结果</w:t>
            </w:r>
          </w:p>
        </w:tc>
        <w:tc>
          <w:tcPr>
            <w:tcW w:w="1382" w:type="dxa"/>
            <w:shd w:val="clear" w:color="auto" w:fill="auto"/>
          </w:tcPr>
          <w:p w14:paraId="02B6E7DD">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不定期</w:t>
            </w:r>
          </w:p>
        </w:tc>
      </w:tr>
      <w:tr w14:paraId="20C1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20" w:hRule="atLeast"/>
        </w:trPr>
        <w:tc>
          <w:tcPr>
            <w:tcW w:w="1472" w:type="dxa"/>
            <w:vMerge w:val="continue"/>
            <w:shd w:val="clear" w:color="auto" w:fill="auto"/>
          </w:tcPr>
          <w:p w14:paraId="6DEF6B22">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59120EDC">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住院诊断明细表</w:t>
            </w:r>
          </w:p>
        </w:tc>
        <w:tc>
          <w:tcPr>
            <w:tcW w:w="4528" w:type="dxa"/>
            <w:shd w:val="clear" w:color="auto" w:fill="auto"/>
          </w:tcPr>
          <w:p w14:paraId="576F6FE0">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诊断ID、个人标识号、诊断日期时间、诊断方法代码、诊断顺序、诊断名称、出院情况代码、诊断类别名称、是否疑诊、病证区别代码、住院就诊流水号、证对应病ID、诊断类别代码住院者传染性标志、诊断类型、编辑时间、诊断标准代码、数据生成时间、个人标识类型、医疗机构代码、密级、诊断代码、记录状态、撤销时间、诊断主次代码、记录时间</w:t>
            </w:r>
          </w:p>
        </w:tc>
        <w:tc>
          <w:tcPr>
            <w:tcW w:w="1382" w:type="dxa"/>
            <w:shd w:val="clear" w:color="auto" w:fill="auto"/>
          </w:tcPr>
          <w:p w14:paraId="303D9D5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8D7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472" w:type="dxa"/>
            <w:vMerge w:val="continue"/>
            <w:shd w:val="clear" w:color="auto" w:fill="auto"/>
          </w:tcPr>
          <w:p w14:paraId="0AE8A03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1007913A">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门诊结算支付方式明细表</w:t>
            </w:r>
          </w:p>
        </w:tc>
        <w:tc>
          <w:tcPr>
            <w:tcW w:w="4528" w:type="dxa"/>
            <w:shd w:val="clear" w:color="auto" w:fill="auto"/>
          </w:tcPr>
          <w:p w14:paraId="3CC31E3D">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数据生成时间、记录收费状态、费用结算时间、结算记录ID、个人标识类型、支付窗口代码、结算人员编号、支付窗口名称、结算人员姓名、支付方式代码、支付金额、医疗机构代码、个人标识号、就诊流水号、支付方式记录ID、修改标志</w:t>
            </w:r>
          </w:p>
        </w:tc>
        <w:tc>
          <w:tcPr>
            <w:tcW w:w="1382" w:type="dxa"/>
            <w:shd w:val="clear" w:color="auto" w:fill="auto"/>
          </w:tcPr>
          <w:p w14:paraId="05CAC47C">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79D7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44" w:hRule="atLeast"/>
        </w:trPr>
        <w:tc>
          <w:tcPr>
            <w:tcW w:w="1472" w:type="dxa"/>
            <w:vMerge w:val="continue"/>
            <w:shd w:val="clear" w:color="auto" w:fill="auto"/>
          </w:tcPr>
          <w:p w14:paraId="5E15464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1E6DDDA5">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门诊结算明细表</w:t>
            </w:r>
          </w:p>
        </w:tc>
        <w:tc>
          <w:tcPr>
            <w:tcW w:w="4528" w:type="dxa"/>
            <w:shd w:val="clear" w:color="auto" w:fill="auto"/>
          </w:tcPr>
          <w:p w14:paraId="73A75AF8">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医疗机构代码、记录收费状态、医保范围内总额、医疗付费方式代码、结算发票号、费用结算总金额、个人标识类型、结算人员姓名、患者来源属性、费用结算时间、就诊流水号、个人标识号、个人承担费用金额、医保基金支付、修改标志、收费场景代码、发票金额、医保范围内自付、结算人员编号、结算记录ID、数据生成时间</w:t>
            </w:r>
          </w:p>
        </w:tc>
        <w:tc>
          <w:tcPr>
            <w:tcW w:w="1382" w:type="dxa"/>
            <w:shd w:val="clear" w:color="auto" w:fill="auto"/>
          </w:tcPr>
          <w:p w14:paraId="5BF71A04">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F19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80" w:hRule="atLeast"/>
        </w:trPr>
        <w:tc>
          <w:tcPr>
            <w:tcW w:w="1472" w:type="dxa"/>
            <w:vMerge w:val="continue"/>
            <w:shd w:val="clear" w:color="auto" w:fill="auto"/>
          </w:tcPr>
          <w:p w14:paraId="49381211">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1380A006">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住院结算明细表</w:t>
            </w:r>
          </w:p>
        </w:tc>
        <w:tc>
          <w:tcPr>
            <w:tcW w:w="4528" w:type="dxa"/>
            <w:shd w:val="clear" w:color="auto" w:fill="auto"/>
          </w:tcPr>
          <w:p w14:paraId="2CFB7209">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个人标识类型、医疗付费方式代码、结算人员编号、结算发票号、个人标识号、数据生成时间、患者来源属性、结算记录ID、费用结算总金额、住院就诊流水号、结算人员姓名、记录收费状态、修改标志、个人承担费用金额、医疗机构代码、医保范围内自付、医保范围内总额、费用结算时间、医保基金支付、结算场景代码</w:t>
            </w:r>
          </w:p>
        </w:tc>
        <w:tc>
          <w:tcPr>
            <w:tcW w:w="1382" w:type="dxa"/>
            <w:shd w:val="clear" w:color="auto" w:fill="auto"/>
          </w:tcPr>
          <w:p w14:paraId="0E5348A7">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A38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24" w:hRule="atLeast"/>
        </w:trPr>
        <w:tc>
          <w:tcPr>
            <w:tcW w:w="1472" w:type="dxa"/>
            <w:vMerge w:val="continue"/>
            <w:shd w:val="clear" w:color="auto" w:fill="auto"/>
          </w:tcPr>
          <w:p w14:paraId="5E398A5C">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p>
        </w:tc>
        <w:tc>
          <w:tcPr>
            <w:tcW w:w="1363" w:type="dxa"/>
            <w:shd w:val="clear" w:color="auto" w:fill="auto"/>
          </w:tcPr>
          <w:p w14:paraId="3958660E">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住院结算支付方式明细表</w:t>
            </w:r>
          </w:p>
        </w:tc>
        <w:tc>
          <w:tcPr>
            <w:tcW w:w="4528" w:type="dxa"/>
            <w:shd w:val="clear" w:color="auto" w:fill="auto"/>
          </w:tcPr>
          <w:p w14:paraId="2467C314">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支付金额、修改标志、结算人员编号、支付方式代码、结算记录ID、记录收费状态、住院就诊流水号、结算人员姓名、医疗机构代码、支付方式记录ID、个人标识类型、个人标识号、费用结算时间、数据生成时间</w:t>
            </w:r>
          </w:p>
        </w:tc>
        <w:tc>
          <w:tcPr>
            <w:tcW w:w="1382" w:type="dxa"/>
            <w:shd w:val="clear" w:color="auto" w:fill="auto"/>
          </w:tcPr>
          <w:p w14:paraId="35B59CCC">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bl>
    <w:p w14:paraId="45679EC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四、工作任务</w:t>
      </w:r>
    </w:p>
    <w:p w14:paraId="072BCA8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ascii="Calibri" w:hAnsi="Calibri" w:eastAsia="宋体" w:cs="宋体"/>
        </w:rPr>
      </w:pPr>
      <w:r>
        <w:rPr>
          <w:rFonts w:hint="eastAsia" w:ascii="仿宋_GB2312" w:hAnsi="仿宋_GB2312" w:eastAsia="仿宋_GB2312" w:cs="仿宋_GB2312"/>
          <w:sz w:val="32"/>
          <w:szCs w:val="32"/>
          <w:lang w:val="en-US" w:eastAsia="zh-CN"/>
        </w:rPr>
        <w:t>数据主要由市卫健委提供，涵盖住院病案首页、门诊诊断记录、医保结算明细等关键医疗数据资源。目前存在部分数据更新频率较低、数据缺失的问题，需加强数据归集，并明确各字段的脱敏规则、使用边界。基于高质量数据构建自动化核保与风险评估模型。通过隐私计算、安全沙箱等技术手段，在确保“数据不出域、可用不可见”的前提下，支持保险机构调用经用户授权的疾病诊断、手术记录、用药信息等结构化字段，训练并验证其风控模型的有效性，实现对投保人健康状况的精准识别与风险评估。产品以标准化API形式向保险公司提供，助力提升商业健康保险的核保、核赔效率。</w:t>
      </w:r>
    </w:p>
    <w:p w14:paraId="42DBBC4C">
      <w:pPr>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br w:type="page"/>
      </w:r>
    </w:p>
    <w:p w14:paraId="32C2B876">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3</w:t>
      </w:r>
    </w:p>
    <w:p w14:paraId="79EAC303">
      <w:pPr>
        <w:keepNext w:val="0"/>
        <w:keepLines w:val="0"/>
        <w:pageBreakBefore w:val="0"/>
        <w:widowControl w:val="0"/>
        <w:kinsoku/>
        <w:wordWrap/>
        <w:overflowPunct/>
        <w:topLinePunct w:val="0"/>
        <w:autoSpaceDE/>
        <w:autoSpaceDN/>
        <w:bidi w:val="0"/>
        <w:adjustRightInd/>
        <w:snapToGrid/>
        <w:spacing w:line="579" w:lineRule="exact"/>
        <w:ind w:firstLine="420" w:firstLineChars="0"/>
        <w:jc w:val="center"/>
        <w:textAlignment w:val="auto"/>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44"/>
          <w:szCs w:val="44"/>
          <w:lang w:eastAsia="zh-CN"/>
        </w:rPr>
        <w:t>煤炭产业场景运营方案</w:t>
      </w:r>
    </w:p>
    <w:p w14:paraId="72690974">
      <w:pPr>
        <w:keepNext w:val="0"/>
        <w:keepLines w:val="0"/>
        <w:pageBreakBefore w:val="0"/>
        <w:widowControl w:val="0"/>
        <w:kinsoku/>
        <w:wordWrap/>
        <w:overflowPunct/>
        <w:topLinePunct w:val="0"/>
        <w:autoSpaceDE/>
        <w:autoSpaceDN/>
        <w:bidi w:val="0"/>
        <w:adjustRightInd/>
        <w:snapToGrid/>
        <w:spacing w:line="579" w:lineRule="exact"/>
        <w:ind w:firstLine="420" w:firstLineChars="0"/>
        <w:jc w:val="center"/>
        <w:textAlignment w:val="auto"/>
        <w:rPr>
          <w:rFonts w:hint="eastAsia" w:ascii="方正小标宋简体" w:hAnsi="方正小标宋简体" w:eastAsia="方正小标宋简体" w:cs="方正小标宋简体"/>
          <w:sz w:val="32"/>
          <w:szCs w:val="32"/>
          <w:lang w:eastAsia="zh-CN"/>
        </w:rPr>
      </w:pPr>
    </w:p>
    <w:p w14:paraId="695C938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lang w:eastAsia="zh-CN"/>
        </w:rPr>
        <w:t>场景描述</w:t>
      </w:r>
    </w:p>
    <w:p w14:paraId="41069D4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调研我市煤炭行业有关企业，发现在煤炭产业中存在供应链上下游协同困难，库存积压或供应短缺的问题，缺乏对市场需求和价格波动的有效监测，企业面对市场变化时反应较慢，对煤炭产能、市场情况、煤炭运销等数据有迫切需求。我市能源局具有相关的煤炭产业数据，可以满足企业需求。该场景汇集能源、交通等相关部门的数据，通过整合煤炭生产、运输、仓储等环节的数据，实现煤炭供应链的可视化和协同化管理，使煤炭企业能够实时掌握煤炭的产量、库存、运输进度等信息，及时调整运输计划，优化库存管理，减少煤炭积压和缺货现象。通过整合煤炭市场需求数据、价格波动数据，进行数据监测和分析，及时发现市场风险，如市场供过于求，价格大幅下跌等，提前采取应对措施，降低煤炭企业经营风险。</w:t>
      </w:r>
    </w:p>
    <w:p w14:paraId="69DB1DB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二、数据需求</w:t>
      </w:r>
    </w:p>
    <w:tbl>
      <w:tblPr>
        <w:tblStyle w:val="7"/>
        <w:tblW w:w="896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048"/>
        <w:gridCol w:w="4550"/>
        <w:gridCol w:w="1370"/>
      </w:tblGrid>
      <w:tr w14:paraId="735D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shd w:val="clear" w:color="auto" w:fill="auto"/>
            <w:noWrap/>
            <w:vAlign w:val="center"/>
          </w:tcPr>
          <w:p w14:paraId="10F54B05">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表名</w:t>
            </w:r>
          </w:p>
        </w:tc>
        <w:tc>
          <w:tcPr>
            <w:tcW w:w="4550" w:type="dxa"/>
            <w:shd w:val="clear" w:color="auto" w:fill="auto"/>
            <w:noWrap/>
            <w:vAlign w:val="center"/>
          </w:tcPr>
          <w:p w14:paraId="08B2866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字段名</w:t>
            </w:r>
          </w:p>
        </w:tc>
        <w:tc>
          <w:tcPr>
            <w:tcW w:w="1370" w:type="dxa"/>
            <w:shd w:val="clear" w:color="auto" w:fill="auto"/>
            <w:noWrap/>
            <w:vAlign w:val="center"/>
          </w:tcPr>
          <w:p w14:paraId="598C866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更新频率</w:t>
            </w:r>
          </w:p>
        </w:tc>
      </w:tr>
      <w:tr w14:paraId="1076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restart"/>
            <w:shd w:val="clear" w:color="auto" w:fill="auto"/>
            <w:noWrap/>
            <w:vAlign w:val="center"/>
          </w:tcPr>
          <w:p w14:paraId="27ECA88F">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煤矿生产状态与产能</w:t>
            </w:r>
          </w:p>
        </w:tc>
        <w:tc>
          <w:tcPr>
            <w:tcW w:w="4550" w:type="dxa"/>
            <w:shd w:val="clear" w:color="auto" w:fill="auto"/>
            <w:noWrap/>
            <w:vAlign w:val="center"/>
          </w:tcPr>
          <w:p w14:paraId="435C678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煤矿名称</w:t>
            </w:r>
          </w:p>
        </w:tc>
        <w:tc>
          <w:tcPr>
            <w:tcW w:w="1370" w:type="dxa"/>
            <w:shd w:val="clear" w:color="auto" w:fill="auto"/>
            <w:noWrap/>
            <w:vAlign w:val="center"/>
          </w:tcPr>
          <w:p w14:paraId="4AE704C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201CC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3205F83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7E918B4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煤矿简介</w:t>
            </w:r>
          </w:p>
        </w:tc>
        <w:tc>
          <w:tcPr>
            <w:tcW w:w="1370" w:type="dxa"/>
            <w:shd w:val="clear" w:color="auto" w:fill="auto"/>
            <w:noWrap/>
            <w:vAlign w:val="center"/>
          </w:tcPr>
          <w:p w14:paraId="0C7DA52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5F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736AE9B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5371D2D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统一社会信用代码</w:t>
            </w:r>
          </w:p>
        </w:tc>
        <w:tc>
          <w:tcPr>
            <w:tcW w:w="1370" w:type="dxa"/>
            <w:shd w:val="clear" w:color="auto" w:fill="auto"/>
            <w:noWrap/>
            <w:vAlign w:val="center"/>
          </w:tcPr>
          <w:p w14:paraId="51B147D5">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6815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47351D8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1BCA2A13">
            <w:pPr>
              <w:keepNext w:val="0"/>
              <w:keepLines w:val="0"/>
              <w:pageBreakBefore w:val="0"/>
              <w:widowControl w:val="0"/>
              <w:kinsoku/>
              <w:wordWrap/>
              <w:overflowPunct/>
              <w:topLinePunct w:val="0"/>
              <w:autoSpaceDE/>
              <w:autoSpaceDN/>
              <w:bidi w:val="0"/>
              <w:adjustRightInd/>
              <w:snapToGrid/>
              <w:spacing w:line="579"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当前生产状态</w:t>
            </w:r>
          </w:p>
        </w:tc>
        <w:tc>
          <w:tcPr>
            <w:tcW w:w="1370" w:type="dxa"/>
            <w:shd w:val="clear" w:color="auto" w:fill="auto"/>
            <w:noWrap/>
            <w:vAlign w:val="center"/>
          </w:tcPr>
          <w:p w14:paraId="0DACEFD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0E5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5C3B13A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36E6687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最新煤价（坑口价）</w:t>
            </w:r>
          </w:p>
        </w:tc>
        <w:tc>
          <w:tcPr>
            <w:tcW w:w="1370" w:type="dxa"/>
            <w:shd w:val="clear" w:color="auto" w:fill="auto"/>
            <w:noWrap/>
            <w:vAlign w:val="center"/>
          </w:tcPr>
          <w:p w14:paraId="7A98643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329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5B78000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2E1ED43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月度实际产量</w:t>
            </w:r>
          </w:p>
        </w:tc>
        <w:tc>
          <w:tcPr>
            <w:tcW w:w="1370" w:type="dxa"/>
            <w:shd w:val="clear" w:color="auto" w:fill="auto"/>
            <w:noWrap/>
            <w:vAlign w:val="center"/>
          </w:tcPr>
          <w:p w14:paraId="610C606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月更新</w:t>
            </w:r>
          </w:p>
        </w:tc>
      </w:tr>
      <w:tr w14:paraId="480A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31E1774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42415F4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神华外购价巴图塔</w:t>
            </w:r>
          </w:p>
        </w:tc>
        <w:tc>
          <w:tcPr>
            <w:tcW w:w="1370" w:type="dxa"/>
            <w:shd w:val="clear" w:color="auto" w:fill="auto"/>
            <w:noWrap/>
            <w:vAlign w:val="center"/>
          </w:tcPr>
          <w:p w14:paraId="1385360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8F7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74A2F11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190EB5A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年度核定产能</w:t>
            </w:r>
          </w:p>
        </w:tc>
        <w:tc>
          <w:tcPr>
            <w:tcW w:w="1370" w:type="dxa"/>
            <w:shd w:val="clear" w:color="auto" w:fill="auto"/>
            <w:noWrap/>
            <w:vAlign w:val="center"/>
          </w:tcPr>
          <w:p w14:paraId="385899F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A10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3A27434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000CF5A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煤矿位置（经纬）</w:t>
            </w:r>
          </w:p>
        </w:tc>
        <w:tc>
          <w:tcPr>
            <w:tcW w:w="1370" w:type="dxa"/>
            <w:shd w:val="clear" w:color="auto" w:fill="auto"/>
            <w:noWrap/>
            <w:vAlign w:val="center"/>
          </w:tcPr>
          <w:p w14:paraId="716AF6B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4D6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18C3DAC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6B33C58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地区当日开工率</w:t>
            </w:r>
          </w:p>
        </w:tc>
        <w:tc>
          <w:tcPr>
            <w:tcW w:w="1370" w:type="dxa"/>
            <w:shd w:val="clear" w:color="auto" w:fill="auto"/>
            <w:noWrap/>
            <w:vAlign w:val="center"/>
          </w:tcPr>
          <w:p w14:paraId="16B7D74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1FC5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restart"/>
            <w:shd w:val="clear" w:color="auto" w:fill="auto"/>
            <w:noWrap/>
            <w:vAlign w:val="center"/>
          </w:tcPr>
          <w:p w14:paraId="2745CA8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煤矿库存与煤质</w:t>
            </w:r>
          </w:p>
        </w:tc>
        <w:tc>
          <w:tcPr>
            <w:tcW w:w="4550" w:type="dxa"/>
            <w:shd w:val="clear" w:color="auto" w:fill="auto"/>
            <w:noWrap/>
            <w:vAlign w:val="center"/>
          </w:tcPr>
          <w:p w14:paraId="1C8DF3B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煤矿场地库存量</w:t>
            </w:r>
          </w:p>
        </w:tc>
        <w:tc>
          <w:tcPr>
            <w:tcW w:w="1370" w:type="dxa"/>
            <w:shd w:val="clear" w:color="auto" w:fill="auto"/>
            <w:noWrap/>
            <w:vAlign w:val="center"/>
          </w:tcPr>
          <w:p w14:paraId="77A2389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591B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3434928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116A7E1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库存煤种</w:t>
            </w:r>
          </w:p>
        </w:tc>
        <w:tc>
          <w:tcPr>
            <w:tcW w:w="1370" w:type="dxa"/>
            <w:shd w:val="clear" w:color="auto" w:fill="auto"/>
            <w:noWrap/>
            <w:vAlign w:val="center"/>
          </w:tcPr>
          <w:p w14:paraId="2B062B6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62B8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4D6E2A9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7393FCF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近期煤质检验报告</w:t>
            </w:r>
          </w:p>
        </w:tc>
        <w:tc>
          <w:tcPr>
            <w:tcW w:w="1370" w:type="dxa"/>
            <w:shd w:val="clear" w:color="auto" w:fill="auto"/>
            <w:noWrap/>
            <w:vAlign w:val="center"/>
          </w:tcPr>
          <w:p w14:paraId="267E5B3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75D9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restart"/>
            <w:shd w:val="clear" w:color="auto" w:fill="auto"/>
            <w:noWrap/>
            <w:vAlign w:val="center"/>
          </w:tcPr>
          <w:p w14:paraId="7525AEB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安检与环保动态</w:t>
            </w:r>
          </w:p>
        </w:tc>
        <w:tc>
          <w:tcPr>
            <w:tcW w:w="4550" w:type="dxa"/>
            <w:shd w:val="clear" w:color="auto" w:fill="auto"/>
            <w:noWrap/>
            <w:vAlign w:val="center"/>
          </w:tcPr>
          <w:p w14:paraId="0BE4A59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具体停产/限产原因</w:t>
            </w:r>
          </w:p>
        </w:tc>
        <w:tc>
          <w:tcPr>
            <w:tcW w:w="1370" w:type="dxa"/>
            <w:shd w:val="clear" w:color="auto" w:fill="auto"/>
            <w:noWrap/>
            <w:vAlign w:val="center"/>
          </w:tcPr>
          <w:p w14:paraId="57B1280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2FE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28C59D3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33A2A34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预计复工时间</w:t>
            </w:r>
          </w:p>
        </w:tc>
        <w:tc>
          <w:tcPr>
            <w:tcW w:w="1370" w:type="dxa"/>
            <w:shd w:val="clear" w:color="auto" w:fill="auto"/>
            <w:noWrap/>
            <w:vAlign w:val="center"/>
          </w:tcPr>
          <w:p w14:paraId="30A0606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55B9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1871925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4B4D1F0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重大安全隐患清单</w:t>
            </w:r>
          </w:p>
        </w:tc>
        <w:tc>
          <w:tcPr>
            <w:tcW w:w="1370" w:type="dxa"/>
            <w:shd w:val="clear" w:color="auto" w:fill="auto"/>
            <w:noWrap/>
            <w:vAlign w:val="center"/>
          </w:tcPr>
          <w:p w14:paraId="1259AED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1442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restart"/>
            <w:shd w:val="clear" w:color="auto" w:fill="auto"/>
            <w:noWrap/>
            <w:vAlign w:val="center"/>
          </w:tcPr>
          <w:p w14:paraId="35E847F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关键通道运力</w:t>
            </w:r>
          </w:p>
        </w:tc>
        <w:tc>
          <w:tcPr>
            <w:tcW w:w="4550" w:type="dxa"/>
            <w:shd w:val="clear" w:color="auto" w:fill="auto"/>
            <w:noWrap/>
            <w:vAlign w:val="center"/>
          </w:tcPr>
          <w:p w14:paraId="0D68C1D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铁路局月度请车数据</w:t>
            </w:r>
          </w:p>
        </w:tc>
        <w:tc>
          <w:tcPr>
            <w:tcW w:w="1370" w:type="dxa"/>
            <w:shd w:val="clear" w:color="auto" w:fill="auto"/>
            <w:noWrap/>
            <w:vAlign w:val="center"/>
          </w:tcPr>
          <w:p w14:paraId="28B7634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D4B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4C1B096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303FFFB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铁路局实际批车数据（分流向）</w:t>
            </w:r>
          </w:p>
        </w:tc>
        <w:tc>
          <w:tcPr>
            <w:tcW w:w="1370" w:type="dxa"/>
            <w:shd w:val="clear" w:color="auto" w:fill="auto"/>
            <w:noWrap/>
            <w:vAlign w:val="center"/>
          </w:tcPr>
          <w:p w14:paraId="08595C1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7FE7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10285D5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50F5F59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重点路线日发运量</w:t>
            </w:r>
          </w:p>
        </w:tc>
        <w:tc>
          <w:tcPr>
            <w:tcW w:w="1370" w:type="dxa"/>
            <w:shd w:val="clear" w:color="auto" w:fill="auto"/>
            <w:noWrap/>
            <w:vAlign w:val="center"/>
          </w:tcPr>
          <w:p w14:paraId="4248DD2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0AE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29CC59A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34543F4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高速公路煤炭运输货车当日/当周流量数据（分出入口）</w:t>
            </w:r>
          </w:p>
        </w:tc>
        <w:tc>
          <w:tcPr>
            <w:tcW w:w="1370" w:type="dxa"/>
            <w:shd w:val="clear" w:color="auto" w:fill="auto"/>
            <w:noWrap/>
            <w:vAlign w:val="center"/>
          </w:tcPr>
          <w:p w14:paraId="13CD973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73198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restart"/>
            <w:shd w:val="clear" w:color="auto" w:fill="auto"/>
            <w:noWrap/>
            <w:vAlign w:val="center"/>
          </w:tcPr>
          <w:p w14:paraId="122EC11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站台与港口库存</w:t>
            </w:r>
          </w:p>
        </w:tc>
        <w:tc>
          <w:tcPr>
            <w:tcW w:w="4550" w:type="dxa"/>
            <w:shd w:val="clear" w:color="auto" w:fill="auto"/>
            <w:noWrap/>
            <w:vAlign w:val="center"/>
          </w:tcPr>
          <w:p w14:paraId="7C3B758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主要煤炭发运站台库存</w:t>
            </w:r>
          </w:p>
        </w:tc>
        <w:tc>
          <w:tcPr>
            <w:tcW w:w="1370" w:type="dxa"/>
            <w:shd w:val="clear" w:color="auto" w:fill="auto"/>
            <w:noWrap/>
            <w:vAlign w:val="center"/>
          </w:tcPr>
          <w:p w14:paraId="7F5DB28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BFB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248D50A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041A148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环渤海港口场存</w:t>
            </w:r>
          </w:p>
        </w:tc>
        <w:tc>
          <w:tcPr>
            <w:tcW w:w="1370" w:type="dxa"/>
            <w:shd w:val="clear" w:color="auto" w:fill="auto"/>
            <w:noWrap/>
            <w:vAlign w:val="center"/>
          </w:tcPr>
          <w:p w14:paraId="45FA941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6355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5AF652B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7F551A9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广州港等接卸港库存</w:t>
            </w:r>
          </w:p>
        </w:tc>
        <w:tc>
          <w:tcPr>
            <w:tcW w:w="1370" w:type="dxa"/>
            <w:shd w:val="clear" w:color="auto" w:fill="auto"/>
            <w:noWrap/>
            <w:vAlign w:val="center"/>
          </w:tcPr>
          <w:p w14:paraId="12D5D48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FBB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18FA11A5">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7FC0B6F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港口平仓价</w:t>
            </w:r>
          </w:p>
        </w:tc>
        <w:tc>
          <w:tcPr>
            <w:tcW w:w="1370" w:type="dxa"/>
            <w:shd w:val="clear" w:color="auto" w:fill="auto"/>
            <w:noWrap/>
            <w:vAlign w:val="center"/>
          </w:tcPr>
          <w:p w14:paraId="4BAF7BD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6F6A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5492E06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4D02BF2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进口煤量</w:t>
            </w:r>
          </w:p>
        </w:tc>
        <w:tc>
          <w:tcPr>
            <w:tcW w:w="1370" w:type="dxa"/>
            <w:shd w:val="clear" w:color="auto" w:fill="auto"/>
            <w:noWrap/>
            <w:vAlign w:val="center"/>
          </w:tcPr>
          <w:p w14:paraId="649D33F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113E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6CC4B4B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5C8F3F2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进口煤价</w:t>
            </w:r>
          </w:p>
        </w:tc>
        <w:tc>
          <w:tcPr>
            <w:tcW w:w="1370" w:type="dxa"/>
            <w:shd w:val="clear" w:color="auto" w:fill="auto"/>
            <w:noWrap/>
            <w:vAlign w:val="center"/>
          </w:tcPr>
          <w:p w14:paraId="7B572E2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63BE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6D4440E5">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6AE8853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神华外购价黄骅港</w:t>
            </w:r>
          </w:p>
        </w:tc>
        <w:tc>
          <w:tcPr>
            <w:tcW w:w="1370" w:type="dxa"/>
            <w:shd w:val="clear" w:color="auto" w:fill="auto"/>
            <w:noWrap/>
            <w:vAlign w:val="center"/>
          </w:tcPr>
          <w:p w14:paraId="3A07FF8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DFF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1251E91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12C7D5E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船舶待港数量</w:t>
            </w:r>
          </w:p>
        </w:tc>
        <w:tc>
          <w:tcPr>
            <w:tcW w:w="1370" w:type="dxa"/>
            <w:shd w:val="clear" w:color="auto" w:fill="auto"/>
            <w:noWrap/>
            <w:vAlign w:val="center"/>
          </w:tcPr>
          <w:p w14:paraId="49E4EBB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3C9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59E3FA4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40FF7FD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海运煤炭运价</w:t>
            </w:r>
          </w:p>
        </w:tc>
        <w:tc>
          <w:tcPr>
            <w:tcW w:w="1370" w:type="dxa"/>
            <w:shd w:val="clear" w:color="auto" w:fill="auto"/>
            <w:noWrap/>
            <w:vAlign w:val="center"/>
          </w:tcPr>
          <w:p w14:paraId="5BD46B6F">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522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restart"/>
            <w:shd w:val="clear" w:color="auto" w:fill="auto"/>
            <w:noWrap/>
            <w:vAlign w:val="center"/>
          </w:tcPr>
          <w:p w14:paraId="5F47A48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实时运输轨迹</w:t>
            </w:r>
          </w:p>
        </w:tc>
        <w:tc>
          <w:tcPr>
            <w:tcW w:w="4550" w:type="dxa"/>
            <w:shd w:val="clear" w:color="auto" w:fill="auto"/>
            <w:noWrap/>
            <w:vAlign w:val="center"/>
          </w:tcPr>
          <w:p w14:paraId="0B5EEBE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重点煤矿/洗煤厂运输车辆的电子榜单数据</w:t>
            </w:r>
          </w:p>
        </w:tc>
        <w:tc>
          <w:tcPr>
            <w:tcW w:w="1370" w:type="dxa"/>
            <w:shd w:val="clear" w:color="auto" w:fill="auto"/>
            <w:noWrap/>
            <w:vAlign w:val="center"/>
          </w:tcPr>
          <w:p w14:paraId="162B982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4CF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050B26DF">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53F02C1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主要运煤通道的拥堵指数</w:t>
            </w:r>
          </w:p>
        </w:tc>
        <w:tc>
          <w:tcPr>
            <w:tcW w:w="1370" w:type="dxa"/>
            <w:shd w:val="clear" w:color="auto" w:fill="auto"/>
            <w:noWrap/>
            <w:vAlign w:val="center"/>
          </w:tcPr>
          <w:p w14:paraId="632F5E2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7D63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restart"/>
            <w:shd w:val="clear" w:color="auto" w:fill="auto"/>
            <w:noWrap/>
            <w:vAlign w:val="center"/>
          </w:tcPr>
          <w:p w14:paraId="059C3D2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重点用煤企业</w:t>
            </w:r>
          </w:p>
        </w:tc>
        <w:tc>
          <w:tcPr>
            <w:tcW w:w="4550" w:type="dxa"/>
            <w:shd w:val="clear" w:color="auto" w:fill="auto"/>
            <w:noWrap/>
            <w:vAlign w:val="center"/>
          </w:tcPr>
          <w:p w14:paraId="69610AC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电力、建材、化工等企业的煤炭入库量</w:t>
            </w:r>
          </w:p>
        </w:tc>
        <w:tc>
          <w:tcPr>
            <w:tcW w:w="1370" w:type="dxa"/>
            <w:shd w:val="clear" w:color="auto" w:fill="auto"/>
            <w:noWrap/>
            <w:vAlign w:val="center"/>
          </w:tcPr>
          <w:p w14:paraId="2A622C1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AFF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1FF3065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5C3BA72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日/周消耗量</w:t>
            </w:r>
          </w:p>
        </w:tc>
        <w:tc>
          <w:tcPr>
            <w:tcW w:w="1370" w:type="dxa"/>
            <w:shd w:val="clear" w:color="auto" w:fill="auto"/>
            <w:noWrap/>
            <w:vAlign w:val="center"/>
          </w:tcPr>
          <w:p w14:paraId="0AEA223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45A5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75D82AF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6D9622F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可用天数（库存/日耗）</w:t>
            </w:r>
          </w:p>
        </w:tc>
        <w:tc>
          <w:tcPr>
            <w:tcW w:w="1370" w:type="dxa"/>
            <w:shd w:val="clear" w:color="auto" w:fill="auto"/>
            <w:noWrap/>
            <w:vAlign w:val="center"/>
          </w:tcPr>
          <w:p w14:paraId="43A42E1F">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5587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3048" w:type="dxa"/>
            <w:vMerge w:val="continue"/>
            <w:shd w:val="clear" w:color="auto" w:fill="auto"/>
            <w:noWrap/>
            <w:vAlign w:val="center"/>
          </w:tcPr>
          <w:p w14:paraId="79EEB87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4550" w:type="dxa"/>
            <w:shd w:val="clear" w:color="auto" w:fill="auto"/>
            <w:noWrap/>
            <w:vAlign w:val="center"/>
          </w:tcPr>
          <w:p w14:paraId="7D2E4F4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电负荷数据</w:t>
            </w:r>
          </w:p>
        </w:tc>
        <w:tc>
          <w:tcPr>
            <w:tcW w:w="1370" w:type="dxa"/>
            <w:shd w:val="clear" w:color="auto" w:fill="auto"/>
            <w:noWrap/>
            <w:vAlign w:val="center"/>
          </w:tcPr>
          <w:p w14:paraId="07EC787F">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bl>
    <w:p w14:paraId="0453A01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三、数据底数</w:t>
      </w:r>
    </w:p>
    <w:tbl>
      <w:tblPr>
        <w:tblStyle w:val="7"/>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198"/>
        <w:gridCol w:w="2110"/>
        <w:gridCol w:w="3273"/>
        <w:gridCol w:w="1384"/>
      </w:tblGrid>
      <w:tr w14:paraId="753C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trPr>
        <w:tc>
          <w:tcPr>
            <w:tcW w:w="2198" w:type="dxa"/>
            <w:shd w:val="clear" w:color="auto" w:fill="auto"/>
            <w:vAlign w:val="center"/>
          </w:tcPr>
          <w:p w14:paraId="11B38E6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数源部门</w:t>
            </w:r>
          </w:p>
        </w:tc>
        <w:tc>
          <w:tcPr>
            <w:tcW w:w="2110" w:type="dxa"/>
            <w:shd w:val="clear" w:color="auto" w:fill="auto"/>
            <w:vAlign w:val="center"/>
          </w:tcPr>
          <w:p w14:paraId="05C476C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表名</w:t>
            </w:r>
          </w:p>
        </w:tc>
        <w:tc>
          <w:tcPr>
            <w:tcW w:w="3273" w:type="dxa"/>
            <w:shd w:val="clear" w:color="auto" w:fill="auto"/>
            <w:vAlign w:val="center"/>
          </w:tcPr>
          <w:p w14:paraId="7002CF5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字段名</w:t>
            </w:r>
          </w:p>
        </w:tc>
        <w:tc>
          <w:tcPr>
            <w:tcW w:w="1384" w:type="dxa"/>
            <w:shd w:val="clear" w:color="auto" w:fill="auto"/>
            <w:vAlign w:val="center"/>
          </w:tcPr>
          <w:p w14:paraId="5601A4C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更新频率</w:t>
            </w:r>
          </w:p>
        </w:tc>
      </w:tr>
      <w:tr w14:paraId="70B6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4" w:hRule="atLeast"/>
        </w:trPr>
        <w:tc>
          <w:tcPr>
            <w:tcW w:w="2198" w:type="dxa"/>
            <w:vMerge w:val="restart"/>
            <w:shd w:val="clear" w:color="auto" w:fill="auto"/>
            <w:vAlign w:val="center"/>
          </w:tcPr>
          <w:p w14:paraId="4291269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市能源局</w:t>
            </w:r>
          </w:p>
        </w:tc>
        <w:tc>
          <w:tcPr>
            <w:tcW w:w="2110" w:type="dxa"/>
            <w:shd w:val="clear" w:color="auto" w:fill="auto"/>
            <w:vAlign w:val="center"/>
          </w:tcPr>
          <w:p w14:paraId="739DDDC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煤矿运销信息</w:t>
            </w:r>
          </w:p>
        </w:tc>
        <w:tc>
          <w:tcPr>
            <w:tcW w:w="3273" w:type="dxa"/>
            <w:shd w:val="clear" w:color="auto" w:fill="auto"/>
            <w:vAlign w:val="center"/>
          </w:tcPr>
          <w:p w14:paraId="4CAFB90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行政区划、企业名称、净重、过空时间、过重时间、客户名称、毛重、单价、总价、运往地、销售编号、皮重、煤种名称、车牌号、按月、季度、年等统计量</w:t>
            </w:r>
          </w:p>
        </w:tc>
        <w:tc>
          <w:tcPr>
            <w:tcW w:w="1384" w:type="dxa"/>
            <w:shd w:val="clear" w:color="auto" w:fill="auto"/>
            <w:vAlign w:val="center"/>
          </w:tcPr>
          <w:p w14:paraId="4E2B082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583A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25" w:hRule="atLeast"/>
        </w:trPr>
        <w:tc>
          <w:tcPr>
            <w:tcW w:w="2198" w:type="dxa"/>
            <w:vMerge w:val="continue"/>
            <w:shd w:val="clear" w:color="auto" w:fill="auto"/>
            <w:vAlign w:val="center"/>
          </w:tcPr>
          <w:p w14:paraId="1034BB6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2110" w:type="dxa"/>
            <w:shd w:val="clear" w:color="auto" w:fill="auto"/>
            <w:vAlign w:val="center"/>
          </w:tcPr>
          <w:p w14:paraId="6F7E016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煤炭经营企业信息</w:t>
            </w:r>
          </w:p>
        </w:tc>
        <w:tc>
          <w:tcPr>
            <w:tcW w:w="3273" w:type="dxa"/>
            <w:shd w:val="clear" w:color="auto" w:fill="auto"/>
            <w:vAlign w:val="center"/>
          </w:tcPr>
          <w:p w14:paraId="1CFE71C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行政区划、企业类型、企业名称、联系人、法人代表、移动电话、经营状态</w:t>
            </w:r>
          </w:p>
        </w:tc>
        <w:tc>
          <w:tcPr>
            <w:tcW w:w="1384" w:type="dxa"/>
            <w:shd w:val="clear" w:color="auto" w:fill="auto"/>
            <w:vAlign w:val="center"/>
          </w:tcPr>
          <w:p w14:paraId="2E229C4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15F1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52" w:hRule="atLeast"/>
        </w:trPr>
        <w:tc>
          <w:tcPr>
            <w:tcW w:w="2198" w:type="dxa"/>
            <w:vMerge w:val="continue"/>
            <w:shd w:val="clear" w:color="auto" w:fill="auto"/>
            <w:vAlign w:val="center"/>
          </w:tcPr>
          <w:p w14:paraId="79A827F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2110" w:type="dxa"/>
            <w:shd w:val="clear" w:color="auto" w:fill="auto"/>
            <w:vAlign w:val="center"/>
          </w:tcPr>
          <w:p w14:paraId="66A9B01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不同类型煤炭产量</w:t>
            </w:r>
          </w:p>
        </w:tc>
        <w:tc>
          <w:tcPr>
            <w:tcW w:w="3273" w:type="dxa"/>
            <w:shd w:val="clear" w:color="auto" w:fill="auto"/>
            <w:vAlign w:val="center"/>
          </w:tcPr>
          <w:p w14:paraId="08C27B9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煤炭产量、序号、煤炭种类、年份</w:t>
            </w:r>
          </w:p>
        </w:tc>
        <w:tc>
          <w:tcPr>
            <w:tcW w:w="1384" w:type="dxa"/>
            <w:shd w:val="clear" w:color="auto" w:fill="auto"/>
            <w:vAlign w:val="center"/>
          </w:tcPr>
          <w:p w14:paraId="16A03A8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9D9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0" w:hRule="atLeast"/>
        </w:trPr>
        <w:tc>
          <w:tcPr>
            <w:tcW w:w="2198" w:type="dxa"/>
            <w:vMerge w:val="continue"/>
            <w:shd w:val="clear" w:color="auto" w:fill="auto"/>
            <w:vAlign w:val="center"/>
          </w:tcPr>
          <w:p w14:paraId="06923C4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2110" w:type="dxa"/>
            <w:shd w:val="clear" w:color="auto" w:fill="auto"/>
            <w:vAlign w:val="center"/>
          </w:tcPr>
          <w:p w14:paraId="4DDC1F8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煤矿基本信息</w:t>
            </w:r>
          </w:p>
        </w:tc>
        <w:tc>
          <w:tcPr>
            <w:tcW w:w="3273" w:type="dxa"/>
            <w:shd w:val="clear" w:color="auto" w:fill="auto"/>
            <w:vAlign w:val="center"/>
          </w:tcPr>
          <w:p w14:paraId="2B82B98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经营状态、煤矿简称、开采方式、外部运输条件、验收单位、操作类型、联系电话、煤矿简介、井田开拓方式、煤炭保有储量、操作时间、行政区划、设计生产能力、企业名称、原煤低位发热量、矿区位置、设计单位、井田面积平方公里、设计服务年限、煤炭可采储量、矿长移动电话、矿长姓名、承建单位名称、煤矿名称</w:t>
            </w:r>
          </w:p>
        </w:tc>
        <w:tc>
          <w:tcPr>
            <w:tcW w:w="1384" w:type="dxa"/>
            <w:shd w:val="clear" w:color="auto" w:fill="auto"/>
            <w:vAlign w:val="center"/>
          </w:tcPr>
          <w:p w14:paraId="758BCC4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23E7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30" w:hRule="atLeast"/>
        </w:trPr>
        <w:tc>
          <w:tcPr>
            <w:tcW w:w="2198" w:type="dxa"/>
            <w:vMerge w:val="continue"/>
            <w:shd w:val="clear" w:color="auto" w:fill="auto"/>
            <w:vAlign w:val="center"/>
          </w:tcPr>
          <w:p w14:paraId="0CBC1C9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2110" w:type="dxa"/>
            <w:vMerge w:val="restart"/>
            <w:shd w:val="clear" w:color="auto" w:fill="auto"/>
            <w:vAlign w:val="center"/>
          </w:tcPr>
          <w:p w14:paraId="30AE30F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全市煤场运销信息</w:t>
            </w:r>
          </w:p>
        </w:tc>
        <w:tc>
          <w:tcPr>
            <w:tcW w:w="3273" w:type="dxa"/>
            <w:shd w:val="clear" w:color="auto" w:fill="auto"/>
            <w:vAlign w:val="center"/>
          </w:tcPr>
          <w:p w14:paraId="522662D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单价、车牌号、煤类、皮重</w:t>
            </w:r>
          </w:p>
        </w:tc>
        <w:tc>
          <w:tcPr>
            <w:tcW w:w="1384" w:type="dxa"/>
            <w:vMerge w:val="restart"/>
            <w:shd w:val="clear" w:color="auto" w:fill="auto"/>
            <w:vAlign w:val="center"/>
          </w:tcPr>
          <w:p w14:paraId="7D895C7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3E6B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59" w:hRule="atLeast"/>
        </w:trPr>
        <w:tc>
          <w:tcPr>
            <w:tcW w:w="2198" w:type="dxa"/>
            <w:vMerge w:val="continue"/>
            <w:shd w:val="clear" w:color="auto" w:fill="auto"/>
            <w:vAlign w:val="center"/>
          </w:tcPr>
          <w:p w14:paraId="7FD20F85">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2110" w:type="dxa"/>
            <w:vMerge w:val="continue"/>
            <w:shd w:val="clear" w:color="auto" w:fill="auto"/>
            <w:vAlign w:val="center"/>
          </w:tcPr>
          <w:p w14:paraId="358D6E7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3273" w:type="dxa"/>
            <w:shd w:val="clear" w:color="auto" w:fill="auto"/>
            <w:vAlign w:val="center"/>
          </w:tcPr>
          <w:p w14:paraId="109E9EA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入矿时间、净重、行政区划、客户名称、毛重、出矿时间、提供企业名称、煤种、发热量、运往地</w:t>
            </w:r>
          </w:p>
        </w:tc>
        <w:tc>
          <w:tcPr>
            <w:tcW w:w="1384" w:type="dxa"/>
            <w:vMerge w:val="continue"/>
            <w:shd w:val="clear" w:color="auto" w:fill="auto"/>
            <w:vAlign w:val="center"/>
          </w:tcPr>
          <w:p w14:paraId="48C4278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r>
      <w:tr w14:paraId="1EFE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5" w:hRule="atLeast"/>
        </w:trPr>
        <w:tc>
          <w:tcPr>
            <w:tcW w:w="2198" w:type="dxa"/>
            <w:vMerge w:val="continue"/>
            <w:shd w:val="clear" w:color="auto" w:fill="auto"/>
            <w:vAlign w:val="center"/>
          </w:tcPr>
          <w:p w14:paraId="03EB3A8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2110" w:type="dxa"/>
            <w:shd w:val="clear" w:color="auto" w:fill="auto"/>
            <w:vAlign w:val="center"/>
          </w:tcPr>
          <w:p w14:paraId="07F5B79F">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煤炭每年价格</w:t>
            </w:r>
          </w:p>
        </w:tc>
        <w:tc>
          <w:tcPr>
            <w:tcW w:w="3273" w:type="dxa"/>
            <w:shd w:val="clear" w:color="auto" w:fill="auto"/>
            <w:vAlign w:val="center"/>
          </w:tcPr>
          <w:p w14:paraId="6127949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价格、月份、年份</w:t>
            </w:r>
          </w:p>
        </w:tc>
        <w:tc>
          <w:tcPr>
            <w:tcW w:w="1384" w:type="dxa"/>
            <w:shd w:val="clear" w:color="auto" w:fill="auto"/>
            <w:vAlign w:val="center"/>
          </w:tcPr>
          <w:p w14:paraId="096E62F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1AD9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50" w:hRule="atLeast"/>
        </w:trPr>
        <w:tc>
          <w:tcPr>
            <w:tcW w:w="2198" w:type="dxa"/>
            <w:vMerge w:val="continue"/>
            <w:shd w:val="clear" w:color="auto" w:fill="auto"/>
            <w:vAlign w:val="center"/>
          </w:tcPr>
          <w:p w14:paraId="7345359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2110" w:type="dxa"/>
            <w:shd w:val="clear" w:color="auto" w:fill="auto"/>
            <w:vAlign w:val="center"/>
          </w:tcPr>
          <w:p w14:paraId="678475B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销售明细表</w:t>
            </w:r>
          </w:p>
        </w:tc>
        <w:tc>
          <w:tcPr>
            <w:tcW w:w="3273" w:type="dxa"/>
            <w:shd w:val="clear" w:color="auto" w:fill="auto"/>
            <w:vAlign w:val="center"/>
          </w:tcPr>
          <w:p w14:paraId="2FB788B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净重、过空时间、过重时间、客户名称、毛重、单价、总价、运往地、销售编号、皮重、所属机构、煤种名称、车牌号</w:t>
            </w:r>
          </w:p>
        </w:tc>
        <w:tc>
          <w:tcPr>
            <w:tcW w:w="1384" w:type="dxa"/>
            <w:shd w:val="clear" w:color="auto" w:fill="auto"/>
            <w:vAlign w:val="center"/>
          </w:tcPr>
          <w:p w14:paraId="5DEA9C4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r w14:paraId="0707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90" w:hRule="atLeast"/>
        </w:trPr>
        <w:tc>
          <w:tcPr>
            <w:tcW w:w="2198" w:type="dxa"/>
            <w:vMerge w:val="restart"/>
            <w:shd w:val="clear" w:color="auto" w:fill="auto"/>
            <w:vAlign w:val="center"/>
          </w:tcPr>
          <w:p w14:paraId="600C80D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市交通运输局</w:t>
            </w:r>
          </w:p>
        </w:tc>
        <w:tc>
          <w:tcPr>
            <w:tcW w:w="2110" w:type="dxa"/>
            <w:shd w:val="clear" w:color="auto" w:fill="auto"/>
            <w:vAlign w:val="center"/>
          </w:tcPr>
          <w:p w14:paraId="71A7A9A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全市铁路运输情况2025年统计表</w:t>
            </w:r>
          </w:p>
        </w:tc>
        <w:tc>
          <w:tcPr>
            <w:tcW w:w="3273" w:type="dxa"/>
            <w:shd w:val="clear" w:color="auto" w:fill="auto"/>
            <w:vAlign w:val="center"/>
          </w:tcPr>
          <w:p w14:paraId="5A22A76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序号、境内铁路、月份、煤炭、其它、合计、发运旅客人数、备注</w:t>
            </w:r>
          </w:p>
        </w:tc>
        <w:tc>
          <w:tcPr>
            <w:tcW w:w="1384" w:type="dxa"/>
            <w:shd w:val="clear" w:color="auto" w:fill="auto"/>
            <w:vAlign w:val="center"/>
          </w:tcPr>
          <w:p w14:paraId="610BE94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月更新</w:t>
            </w:r>
          </w:p>
        </w:tc>
      </w:tr>
      <w:tr w14:paraId="5FCC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89" w:hRule="atLeast"/>
        </w:trPr>
        <w:tc>
          <w:tcPr>
            <w:tcW w:w="2198" w:type="dxa"/>
            <w:vMerge w:val="continue"/>
            <w:shd w:val="clear" w:color="auto" w:fill="auto"/>
            <w:vAlign w:val="center"/>
          </w:tcPr>
          <w:p w14:paraId="7165C53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p>
        </w:tc>
        <w:tc>
          <w:tcPr>
            <w:tcW w:w="2110" w:type="dxa"/>
            <w:shd w:val="clear" w:color="auto" w:fill="auto"/>
            <w:vAlign w:val="center"/>
          </w:tcPr>
          <w:p w14:paraId="6184D0A3">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全市铁路运输情况2025年累计完成量</w:t>
            </w:r>
          </w:p>
        </w:tc>
        <w:tc>
          <w:tcPr>
            <w:tcW w:w="3273" w:type="dxa"/>
            <w:shd w:val="clear" w:color="auto" w:fill="auto"/>
            <w:vAlign w:val="center"/>
          </w:tcPr>
          <w:p w14:paraId="51088D5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序号、境内铁路、煤炭、其它、合计、发运旅客人数、备注</w:t>
            </w:r>
          </w:p>
        </w:tc>
        <w:tc>
          <w:tcPr>
            <w:tcW w:w="1384" w:type="dxa"/>
            <w:shd w:val="clear" w:color="auto" w:fill="auto"/>
            <w:vAlign w:val="center"/>
          </w:tcPr>
          <w:p w14:paraId="0981B28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月更新</w:t>
            </w:r>
          </w:p>
        </w:tc>
      </w:tr>
      <w:tr w14:paraId="3E4A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9" w:hRule="atLeast"/>
        </w:trPr>
        <w:tc>
          <w:tcPr>
            <w:tcW w:w="2198" w:type="dxa"/>
            <w:shd w:val="clear" w:color="auto" w:fill="auto"/>
            <w:vAlign w:val="center"/>
          </w:tcPr>
          <w:p w14:paraId="570EF47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市市场监管局</w:t>
            </w:r>
          </w:p>
        </w:tc>
        <w:tc>
          <w:tcPr>
            <w:tcW w:w="2110" w:type="dxa"/>
            <w:shd w:val="clear" w:color="auto" w:fill="auto"/>
            <w:vAlign w:val="center"/>
          </w:tcPr>
          <w:p w14:paraId="2606008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企业基本信息</w:t>
            </w:r>
          </w:p>
        </w:tc>
        <w:tc>
          <w:tcPr>
            <w:tcW w:w="3273" w:type="dxa"/>
            <w:shd w:val="clear" w:color="auto" w:fill="auto"/>
            <w:vAlign w:val="center"/>
          </w:tcPr>
          <w:p w14:paraId="1B1E0225">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登记机关、住所、经营（驻在）期限至、经营（驻在）期限自、注册资本（金）币种（中文名称）、注册资本（金）万元、统一社会信用代码、注册资本（金）币种、注册号、登记机关（中文名称）、经营范围、行业门类、市场主体类型、成立日期、企业（机构）名称、数据汇总时间、表主键、登记状态</w:t>
            </w:r>
          </w:p>
        </w:tc>
        <w:tc>
          <w:tcPr>
            <w:tcW w:w="1384" w:type="dxa"/>
            <w:shd w:val="clear" w:color="auto" w:fill="auto"/>
            <w:vAlign w:val="center"/>
          </w:tcPr>
          <w:p w14:paraId="132253B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实时</w:t>
            </w:r>
          </w:p>
        </w:tc>
      </w:tr>
    </w:tbl>
    <w:p w14:paraId="672EEC4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四、工作任务</w:t>
      </w:r>
    </w:p>
    <w:p w14:paraId="5C6DE7F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lang w:val="en-US" w:eastAsia="zh-CN"/>
        </w:rPr>
        <w:t>汇聚市能源局、市交通局等多方公共数据资源，融合煤炭运输、用煤单位等下游信息，归集短缺的需求数据，明确煤矿基本信息、煤炭产量、运输、销售、库存、市场价格等核心数据的脱敏规则与使用边界。提升数据质量，加强数据治理与整合，制定煤炭数据在产业链协同、市场风险评估等场景下的最小必要使用清单，严禁原始数据出域。通过构建供应链协同、生产决策优化等算法模型，预测煤炭交易量、成交价格、产量。根据现有煤炭产能与市场动态，利用隐私计算或安全沙箱方式调用经授权的数据，形成数据分析结果，并以统计图表的形式对分析结果进行可视化展现，为企业推送相应的日报、周报、月报、年报。交付的产品为以API接口形式实时提供。</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icrosoft YaHei">
    <w:panose1 w:val="020B0503020204020204"/>
    <w:charset w:val="86"/>
    <w:family w:val="auto"/>
    <w:pitch w:val="default"/>
    <w:sig w:usb0="80000287" w:usb1="2A0F3C52" w:usb2="00000016" w:usb3="00000000" w:csb0="0004001F" w:csb1="00000000"/>
  </w:font>
  <w:font w:name="Tahoma">
    <w:altName w:val="noto sans tha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BC02B">
    <w:pPr>
      <w:pStyle w:val="3"/>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DF159B1">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0DF159B1">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04174"/>
    <w:rsid w:val="01D60B10"/>
    <w:rsid w:val="113849FC"/>
    <w:rsid w:val="15F9A753"/>
    <w:rsid w:val="1BEF17F7"/>
    <w:rsid w:val="1FC57DA2"/>
    <w:rsid w:val="2A785E42"/>
    <w:rsid w:val="2E76A3B2"/>
    <w:rsid w:val="34BE568D"/>
    <w:rsid w:val="364D0D4A"/>
    <w:rsid w:val="36FD2FCB"/>
    <w:rsid w:val="37FFEA12"/>
    <w:rsid w:val="3F97F931"/>
    <w:rsid w:val="3FBE83F2"/>
    <w:rsid w:val="406C60A3"/>
    <w:rsid w:val="4E5F96E2"/>
    <w:rsid w:val="53AD7D9F"/>
    <w:rsid w:val="59421775"/>
    <w:rsid w:val="5A201C2E"/>
    <w:rsid w:val="5FE75454"/>
    <w:rsid w:val="5FF7A164"/>
    <w:rsid w:val="6AF719A2"/>
    <w:rsid w:val="6DF56856"/>
    <w:rsid w:val="6EBE4A41"/>
    <w:rsid w:val="6F7F3C9E"/>
    <w:rsid w:val="6FD395F2"/>
    <w:rsid w:val="6FDF96E4"/>
    <w:rsid w:val="70677638"/>
    <w:rsid w:val="70837F61"/>
    <w:rsid w:val="77FECCC2"/>
    <w:rsid w:val="79BF7C59"/>
    <w:rsid w:val="7BFB5E10"/>
    <w:rsid w:val="7EF3D469"/>
    <w:rsid w:val="7F4BF715"/>
    <w:rsid w:val="7F7A2F8F"/>
    <w:rsid w:val="7FB86604"/>
    <w:rsid w:val="7FD7FCEE"/>
    <w:rsid w:val="95BF65DE"/>
    <w:rsid w:val="A6FFDC6A"/>
    <w:rsid w:val="B7B8E834"/>
    <w:rsid w:val="BC3A7F0D"/>
    <w:rsid w:val="BDD5626C"/>
    <w:rsid w:val="D75F5397"/>
    <w:rsid w:val="DEC9CF76"/>
    <w:rsid w:val="E7DBB921"/>
    <w:rsid w:val="EEBA751D"/>
    <w:rsid w:val="EEEBE9F1"/>
    <w:rsid w:val="EFFD5E0A"/>
    <w:rsid w:val="F2B99E95"/>
    <w:rsid w:val="F5FE8C2E"/>
    <w:rsid w:val="F75F7EEB"/>
    <w:rsid w:val="F935968C"/>
    <w:rsid w:val="FB9F51AF"/>
    <w:rsid w:val="FBFB1298"/>
    <w:rsid w:val="FDB5A52C"/>
    <w:rsid w:val="FDBD5C4A"/>
    <w:rsid w:val="FDBF1D7F"/>
    <w:rsid w:val="FE9A1419"/>
    <w:rsid w:val="FEBBD5CA"/>
    <w:rsid w:val="FEFF8F59"/>
    <w:rsid w:val="FF7B2280"/>
    <w:rsid w:val="FFA68ED8"/>
    <w:rsid w:val="FFBF9001"/>
    <w:rsid w:val="FFFD0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6">
    <w:name w:val="Normal (Web)"/>
    <w:basedOn w:val="1"/>
    <w:qFormat/>
    <w:uiPriority w:val="0"/>
    <w:pPr>
      <w:spacing w:before="100" w:beforeAutospacing="1" w:after="100" w:afterAutospacing="1"/>
      <w:ind w:left="0" w:right="0"/>
      <w:jc w:val="left"/>
    </w:pPr>
    <w:rPr>
      <w:kern w:val="0"/>
      <w:sz w:val="24"/>
      <w:lang w:val="en-US" w:eastAsia="zh-CN"/>
    </w:rPr>
  </w:style>
  <w:style w:type="character" w:styleId="9">
    <w:name w:val="Strong"/>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13492</Words>
  <Characters>13607</Characters>
  <Paragraphs>532</Paragraphs>
  <TotalTime>7</TotalTime>
  <ScaleCrop>false</ScaleCrop>
  <LinksUpToDate>false</LinksUpToDate>
  <CharactersWithSpaces>13609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2026-01-18T19:21:00Z</dcterms:created>
  <dc:creator>梁帅</dc:creator>
  <cp:lastModifiedBy>hotchner</cp:lastModifiedBy>
  <cp:lastPrinted>2026-04-08T11:04:00Z</cp:lastPrinted>
  <dcterms:modified xsi:type="dcterms:W3CDTF">2026-06-30T09:47:18Z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CD32D1E8F2F5151501ABBB6983D2D1DA_43</vt:lpwstr>
  </property>
  <property fmtid="{D5CDD505-2E9C-101B-9397-08002B2CF9AE}" pid="4" name="KSOTemplateDocerSaveRecord">
    <vt:lpwstr>eyJoZGlkIjoiODMyYjQzZjQzZDA3ZGQyNzFhZGIzOGUwODFmM2JkNDEiLCJ1c2VySWQiOiI0MzkyMTkyNzQifQ==</vt:lpwstr>
  </property>
</Properties>
</file>