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spacing w:line="578" w:lineRule="exact"/>
        <w:rPr>
          <w:rFonts w:eastAsia="黑体"/>
          <w:kern w:val="0"/>
        </w:rPr>
      </w:pPr>
      <w:r>
        <w:rPr>
          <w:rFonts w:eastAsia="黑体"/>
          <w:kern w:val="0"/>
        </w:rPr>
        <w:t>附件3</w:t>
      </w:r>
      <w:bookmarkStart w:id="0" w:name="_GoBack"/>
      <w:bookmarkEnd w:id="0"/>
    </w:p>
    <w:p>
      <w:pPr>
        <w:autoSpaceDE w:val="0"/>
        <w:spacing w:line="578" w:lineRule="exact"/>
        <w:rPr>
          <w:kern w:val="0"/>
        </w:rPr>
      </w:pPr>
    </w:p>
    <w:p>
      <w:pPr>
        <w:autoSpaceDE w:val="0"/>
        <w:spacing w:line="578" w:lineRule="exact"/>
        <w:ind w:firstLine="200"/>
        <w:jc w:val="center"/>
        <w:rPr>
          <w:rFonts w:eastAsia="方正小标宋简体"/>
          <w:sz w:val="44"/>
          <w:szCs w:val="44"/>
        </w:rPr>
      </w:pPr>
      <w:r>
        <w:rPr>
          <w:rFonts w:eastAsia="方正小标宋简体"/>
          <w:sz w:val="44"/>
          <w:szCs w:val="44"/>
        </w:rPr>
        <w:t>相关解释及操作说明</w:t>
      </w:r>
    </w:p>
    <w:p>
      <w:pPr>
        <w:autoSpaceDE w:val="0"/>
        <w:spacing w:line="578" w:lineRule="exact"/>
        <w:rPr>
          <w:spacing w:val="8"/>
          <w:sz w:val="21"/>
          <w:szCs w:val="21"/>
        </w:rPr>
      </w:pPr>
    </w:p>
    <w:p>
      <w:pPr>
        <w:spacing w:line="578" w:lineRule="exact"/>
        <w:ind w:firstLine="632" w:firstLineChars="200"/>
        <w:rPr>
          <w:spacing w:val="-2"/>
        </w:rPr>
      </w:pPr>
      <w:r>
        <w:rPr>
          <w:spacing w:val="-2"/>
        </w:rPr>
        <w:t>一、成片果树种植密度每亩最多不超过112株。幼果树补偿分为四个等级，</w:t>
      </w:r>
      <w:r>
        <w:rPr>
          <w:rFonts w:hint="eastAsia"/>
          <w:color w:val="000000"/>
          <w:spacing w:val="-2"/>
          <w:lang w:eastAsia="zh-CN"/>
        </w:rPr>
        <w:t>树干</w:t>
      </w:r>
      <w:r>
        <w:rPr>
          <w:color w:val="000000"/>
          <w:spacing w:val="-2"/>
        </w:rPr>
        <w:t>直</w:t>
      </w:r>
      <w:r>
        <w:rPr>
          <w:spacing w:val="-2"/>
        </w:rPr>
        <w:t>径1-2厘米的按20元/株补偿，</w:t>
      </w:r>
      <w:r>
        <w:rPr>
          <w:rFonts w:hint="eastAsia"/>
          <w:spacing w:val="-2"/>
          <w:lang w:eastAsia="zh-CN"/>
        </w:rPr>
        <w:t>树干</w:t>
      </w:r>
      <w:r>
        <w:rPr>
          <w:spacing w:val="-2"/>
        </w:rPr>
        <w:t>直径2-3厘米的按40元/株补偿，</w:t>
      </w:r>
      <w:r>
        <w:rPr>
          <w:rFonts w:hint="eastAsia"/>
          <w:spacing w:val="-2"/>
          <w:lang w:eastAsia="zh-CN"/>
        </w:rPr>
        <w:t>树干</w:t>
      </w:r>
      <w:r>
        <w:rPr>
          <w:spacing w:val="-2"/>
        </w:rPr>
        <w:t>直径3-4厘米的按60元/株补偿，</w:t>
      </w:r>
      <w:r>
        <w:rPr>
          <w:rFonts w:hint="eastAsia"/>
          <w:spacing w:val="-2"/>
          <w:lang w:eastAsia="zh-CN"/>
        </w:rPr>
        <w:t>树干</w:t>
      </w:r>
      <w:r>
        <w:rPr>
          <w:spacing w:val="-2"/>
        </w:rPr>
        <w:t>直径4厘米以上或者树冠直径1.3-2米的按150元/株补偿；</w:t>
      </w:r>
    </w:p>
    <w:p>
      <w:pPr>
        <w:spacing w:line="578" w:lineRule="exact"/>
        <w:ind w:firstLine="632" w:firstLineChars="200"/>
        <w:rPr>
          <w:spacing w:val="-2"/>
        </w:rPr>
      </w:pPr>
      <w:r>
        <w:rPr>
          <w:spacing w:val="-2"/>
        </w:rPr>
        <w:t>超幼果树标准的以树冠直径分为四个等级，小果树直径2-2.5米，小挂果直径2.5-3.5米，中挂果直径3.5-4.5米，大挂果直径4.5米以上；</w:t>
      </w:r>
    </w:p>
    <w:p>
      <w:pPr>
        <w:spacing w:line="578" w:lineRule="exact"/>
        <w:ind w:firstLine="632" w:firstLineChars="200"/>
        <w:rPr>
          <w:spacing w:val="-2"/>
        </w:rPr>
      </w:pPr>
      <w:r>
        <w:rPr>
          <w:spacing w:val="-2"/>
        </w:rPr>
        <w:t>枣树补偿分为六个等级，胸径1厘米以下（含1厘米）按2-5元/株补偿，胸径1-2厘米（含2厘米）按10元/株补偿，胸径2-3厘米（含3厘米）按100元/株补偿，胸径3-4厘米（含4厘米）按200元/株补偿，胸径4-5厘米（含5厘米）按300元/株补偿，胸径5厘米以上按450元/株补偿。</w:t>
      </w:r>
    </w:p>
    <w:p>
      <w:pPr>
        <w:autoSpaceDE w:val="0"/>
        <w:spacing w:line="578" w:lineRule="exact"/>
        <w:ind w:firstLine="632" w:firstLineChars="200"/>
        <w:rPr>
          <w:spacing w:val="-2"/>
        </w:rPr>
      </w:pPr>
      <w:r>
        <w:rPr>
          <w:spacing w:val="-2"/>
        </w:rPr>
        <w:t>二、旱井按体积计价，计算方法为：</w:t>
      </w:r>
      <w:r>
        <w:rPr>
          <w:color w:val="000000"/>
          <w:spacing w:val="-2"/>
        </w:rPr>
        <w:t>平均半径的平方</w:t>
      </w:r>
      <w:r>
        <w:rPr>
          <w:spacing w:val="-2"/>
        </w:rPr>
        <w:t>×3.14×平均深度=旱井体积，由于旱井形状与锥形相似，宽度必须平均，最窄处按2米计算（旱井直径最宽处小于2米的按实际计算）。</w:t>
      </w:r>
    </w:p>
    <w:p>
      <w:pPr>
        <w:autoSpaceDE w:val="0"/>
        <w:spacing w:line="578" w:lineRule="exact"/>
        <w:rPr>
          <w:spacing w:val="-2"/>
        </w:rPr>
      </w:pPr>
      <w:r>
        <w:rPr>
          <w:spacing w:val="-2"/>
        </w:rPr>
        <w:t xml:space="preserve">    三、砖木结构井房装修指水泥地面、水泥抹面、塑料吊顶。</w:t>
      </w:r>
    </w:p>
    <w:p>
      <w:pPr>
        <w:autoSpaceDE w:val="0"/>
        <w:spacing w:line="578" w:lineRule="exact"/>
        <w:ind w:firstLine="632" w:firstLineChars="200"/>
        <w:rPr>
          <w:spacing w:val="-6"/>
        </w:rPr>
      </w:pPr>
      <w:r>
        <w:rPr>
          <w:spacing w:val="-2"/>
        </w:rPr>
        <w:t>四、</w:t>
      </w:r>
      <w:r>
        <w:rPr>
          <w:spacing w:val="-6"/>
        </w:rPr>
        <w:t>民用低压线标准划分：水泥杆高度不低于10米、间距不大于70米、导线直径不小于2.5毫米；三项四线标准：导线直径不小于5毫米、其它与民用低压线标准相同。达不到标准按50%补偿。</w:t>
      </w:r>
      <w:r>
        <w:rPr>
          <w:spacing w:val="-2"/>
        </w:rPr>
        <w:t>水泥杆有配套线路且能正常供电给予补偿。</w:t>
      </w:r>
    </w:p>
    <w:p>
      <w:pPr>
        <w:autoSpaceDE w:val="0"/>
        <w:spacing w:line="578" w:lineRule="exact"/>
        <w:ind w:firstLine="632" w:firstLineChars="200"/>
        <w:rPr>
          <w:spacing w:val="-2"/>
        </w:rPr>
      </w:pPr>
      <w:r>
        <w:rPr>
          <w:spacing w:val="-2"/>
        </w:rPr>
        <w:t>五、温室要求：钢架结构、钢架间距小于1.1米、墙体采用不低于24厘米砖墙加保温板修筑、后墙高度不低于2.5米、两侧有山墙、棚膜齐全。低于此标准要折合补偿。</w:t>
      </w:r>
    </w:p>
    <w:p>
      <w:pPr>
        <w:autoSpaceDE w:val="0"/>
        <w:spacing w:line="578" w:lineRule="exact"/>
        <w:ind w:firstLine="632" w:firstLineChars="200"/>
        <w:rPr>
          <w:spacing w:val="-2"/>
        </w:rPr>
      </w:pPr>
      <w:r>
        <w:rPr>
          <w:spacing w:val="-2"/>
        </w:rPr>
        <w:t>六、大棚要求：钢架结构、钢管间距小于1.2米、脊高高于2.7米以上。低于此标准要折合补偿。</w:t>
      </w:r>
    </w:p>
    <w:p>
      <w:pPr>
        <w:autoSpaceDE w:val="0"/>
        <w:spacing w:line="578" w:lineRule="exact"/>
        <w:ind w:firstLine="632" w:firstLineChars="200"/>
        <w:rPr>
          <w:spacing w:val="-2"/>
        </w:rPr>
      </w:pPr>
      <w:r>
        <w:rPr>
          <w:spacing w:val="-2"/>
        </w:rPr>
        <w:t>七、每户村民仅可有一口用于人畜饮水和农业灌溉的机井按标准补偿，其它用于农业灌溉的机井，有合法证件的按标准补偿，无合法证件的一律不予补偿。</w:t>
      </w:r>
    </w:p>
    <w:p>
      <w:pPr>
        <w:autoSpaceDE w:val="0"/>
        <w:spacing w:line="578" w:lineRule="exact"/>
        <w:ind w:firstLine="632" w:firstLineChars="200"/>
        <w:rPr>
          <w:spacing w:val="-2"/>
        </w:rPr>
      </w:pPr>
      <w:r>
        <w:rPr>
          <w:spacing w:val="-2"/>
        </w:rPr>
        <w:t>八、梅花井参照民用井标准执行。</w:t>
      </w:r>
    </w:p>
    <w:p>
      <w:pPr>
        <w:autoSpaceDE w:val="0"/>
        <w:spacing w:line="578" w:lineRule="exact"/>
        <w:ind w:firstLine="632" w:firstLineChars="200"/>
        <w:rPr>
          <w:spacing w:val="-2"/>
        </w:rPr>
      </w:pPr>
      <w:r>
        <w:rPr>
          <w:spacing w:val="-2"/>
        </w:rPr>
        <w:t>九、室内装潢的精装修是指具备以下全部必备项目和1项（包括1项）以上其它项目；简装修是指具备4项（包括4项）以上必备项目。</w:t>
      </w:r>
    </w:p>
    <w:p>
      <w:pPr>
        <w:autoSpaceDE w:val="0"/>
        <w:spacing w:line="578" w:lineRule="exact"/>
        <w:ind w:firstLine="632" w:firstLineChars="200"/>
        <w:rPr>
          <w:spacing w:val="-2"/>
        </w:rPr>
      </w:pPr>
      <w:r>
        <w:rPr>
          <w:spacing w:val="-2"/>
        </w:rPr>
        <w:t>必备项目：1.改水、电、暖；2.铺地砖、</w:t>
      </w:r>
      <w:r>
        <w:rPr>
          <w:color w:val="000000"/>
          <w:spacing w:val="-2"/>
        </w:rPr>
        <w:t>地角</w:t>
      </w:r>
      <w:r>
        <w:rPr>
          <w:spacing w:val="-2"/>
        </w:rPr>
        <w:t>线；3.套装门、吊顶；4.窗帘；5.内墙面粉刷。</w:t>
      </w:r>
    </w:p>
    <w:p>
      <w:pPr>
        <w:autoSpaceDE w:val="0"/>
        <w:spacing w:line="578" w:lineRule="exact"/>
        <w:ind w:firstLine="632" w:firstLineChars="200"/>
        <w:rPr>
          <w:spacing w:val="-2"/>
        </w:rPr>
      </w:pPr>
      <w:r>
        <w:rPr>
          <w:spacing w:val="-2"/>
        </w:rPr>
        <w:t>其它项目：1.包窗口、垭口；2.厨房推拉门及垭口；3.电视背景墙；4.沙发背景墙；5.卫生间扣板及吊顶。</w:t>
      </w:r>
    </w:p>
    <w:p>
      <w:pPr>
        <w:spacing w:line="578" w:lineRule="exact"/>
        <w:ind w:firstLine="640" w:firstLineChars="200"/>
      </w:pPr>
      <w:r>
        <w:t>十、矿区搬迁补偿工作组成员单位具体职责：</w:t>
      </w:r>
    </w:p>
    <w:p>
      <w:pPr>
        <w:pStyle w:val="2"/>
        <w:spacing w:line="578" w:lineRule="exact"/>
        <w:ind w:firstLine="640" w:firstLineChars="200"/>
        <w:jc w:val="both"/>
      </w:pPr>
      <w:r>
        <w:rPr>
          <w:rFonts w:hint="eastAsia" w:ascii="仿宋_GB2312"/>
        </w:rPr>
        <w:t>（一）苏木乡镇街道。</w:t>
      </w:r>
      <w:r>
        <w:t>工作组组长由属地苏木乡镇街道相关负责人担任。负责搬迁补偿工作的组织和协调；对搬迁补偿金分配与使用方案的制定进行指导，对宅基地使用情况和搬迁安置人口进行审核认定，协调解决搬迁补偿过程中的矛盾纠纷；</w:t>
      </w:r>
    </w:p>
    <w:p>
      <w:pPr>
        <w:spacing w:line="578" w:lineRule="exact"/>
        <w:ind w:firstLine="640" w:firstLineChars="200"/>
        <w:rPr>
          <w:spacing w:val="-8"/>
        </w:rPr>
      </w:pPr>
      <w:r>
        <w:rPr>
          <w:rFonts w:hint="eastAsia" w:ascii="仿宋_GB2312"/>
        </w:rPr>
        <w:t>（二）旗自然资源局。</w:t>
      </w:r>
      <w:r>
        <w:rPr>
          <w:spacing w:val="-8"/>
        </w:rPr>
        <w:t>负责土地面积丈量核实工作，补偿土地地类确认参照自然资源三调数据，在尊重历史事实的基础上由搬迁补偿工作组组织地类认定小组有关人员共同认定；</w:t>
      </w:r>
    </w:p>
    <w:p>
      <w:pPr>
        <w:spacing w:line="578" w:lineRule="exact"/>
        <w:ind w:firstLine="640" w:firstLineChars="200"/>
        <w:rPr>
          <w:spacing w:val="-8"/>
        </w:rPr>
      </w:pPr>
      <w:r>
        <w:rPr>
          <w:rFonts w:hint="eastAsia" w:ascii="仿宋_GB2312"/>
        </w:rPr>
        <w:t>（三）旗矿区事业发展中心。</w:t>
      </w:r>
      <w:r>
        <w:rPr>
          <w:spacing w:val="-8"/>
        </w:rPr>
        <w:t>负责搬迁补偿安置、房屋及地上附着物清点、丈量核实登记工作（委托第三方评估除外）；负责搬迁安置、土地和房屋及地上附着物补偿协议书的签订及补偿金兑付工作；负责矿区居民搬迁安置补偿相关政策解释工作等；</w:t>
      </w:r>
    </w:p>
    <w:p>
      <w:pPr>
        <w:spacing w:line="578" w:lineRule="exact"/>
        <w:ind w:firstLine="640" w:firstLineChars="200"/>
      </w:pPr>
      <w:r>
        <w:rPr>
          <w:rFonts w:hint="eastAsia" w:ascii="仿宋_GB2312"/>
        </w:rPr>
        <w:t>（四）村民委员会。</w:t>
      </w:r>
      <w:r>
        <w:t>负责组织召开村民大会或村民代表大会，讨论制定土地补偿金分配方案及土地补偿金的兑付工作；负责补偿土地权属界线指认，对指认结果负责；负责农村宅基地使用情况的审查确认；</w:t>
      </w:r>
    </w:p>
    <w:p>
      <w:pPr>
        <w:pStyle w:val="6"/>
        <w:widowControl w:val="0"/>
        <w:spacing w:before="0" w:beforeAutospacing="0" w:after="0" w:afterAutospacing="0" w:line="578" w:lineRule="exact"/>
        <w:ind w:firstLine="640" w:firstLineChars="200"/>
        <w:jc w:val="both"/>
        <w:rPr>
          <w:rFonts w:ascii="Times New Roman" w:hAnsi="Times New Roman" w:eastAsia="仿宋_GB2312" w:cs="Times New Roman"/>
          <w:sz w:val="32"/>
          <w:szCs w:val="32"/>
        </w:rPr>
      </w:pPr>
      <w:r>
        <w:rPr>
          <w:rFonts w:hint="eastAsia" w:ascii="仿宋_GB2312" w:hAnsi="Times New Roman" w:eastAsia="仿宋_GB2312" w:cs="Times New Roman"/>
          <w:kern w:val="2"/>
          <w:sz w:val="32"/>
          <w:szCs w:val="32"/>
        </w:rPr>
        <w:t>（五）煤炭企业。</w:t>
      </w:r>
      <w:r>
        <w:rPr>
          <w:rFonts w:ascii="Times New Roman" w:hAnsi="Times New Roman" w:eastAsia="仿宋_GB2312" w:cs="Times New Roman"/>
          <w:sz w:val="32"/>
          <w:szCs w:val="32"/>
        </w:rPr>
        <w:t>全程参与搬迁补偿各项工作，负责搬迁补偿资金的落实。做好井田范围内的安全隐患、私搭乱建及抢栽抢种等乱象等日常排查工作。</w:t>
      </w:r>
    </w:p>
    <w:p>
      <w:pPr>
        <w:pStyle w:val="6"/>
        <w:widowControl w:val="0"/>
        <w:autoSpaceDE w:val="0"/>
        <w:spacing w:before="0" w:beforeAutospacing="0" w:after="0" w:afterAutospacing="0" w:line="578" w:lineRule="exact"/>
        <w:ind w:firstLine="632" w:firstLineChars="200"/>
        <w:jc w:val="both"/>
        <w:rPr>
          <w:rFonts w:ascii="Times New Roman" w:hAnsi="Times New Roman" w:eastAsia="仿宋_GB2312" w:cs="Times New Roman"/>
          <w:sz w:val="32"/>
          <w:szCs w:val="32"/>
        </w:rPr>
      </w:pPr>
      <w:r>
        <w:rPr>
          <w:rFonts w:ascii="Times New Roman" w:hAnsi="Times New Roman" w:eastAsia="仿宋_GB2312" w:cs="Times New Roman"/>
          <w:spacing w:val="-2"/>
          <w:sz w:val="32"/>
          <w:szCs w:val="32"/>
        </w:rPr>
        <w:t>十一、本办法第十八条关于“一户一宅”按照以下方式认定。</w:t>
      </w:r>
    </w:p>
    <w:p>
      <w:pPr>
        <w:pStyle w:val="6"/>
        <w:widowControl w:val="0"/>
        <w:autoSpaceDE w:val="0"/>
        <w:spacing w:before="0" w:beforeAutospacing="0" w:after="0" w:afterAutospacing="0" w:line="578"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（一）能提供宅基地证的，以宅基地证作为补偿依据；</w:t>
      </w:r>
    </w:p>
    <w:p>
      <w:pPr>
        <w:pStyle w:val="6"/>
        <w:widowControl w:val="0"/>
        <w:autoSpaceDE w:val="0"/>
        <w:spacing w:before="0" w:beforeAutospacing="0" w:after="0" w:afterAutospacing="0" w:line="578"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（二）不能提供宅基地证或其他有效产权证明文件的，按照附件4申报审核。</w:t>
      </w:r>
    </w:p>
    <w:p>
      <w:pPr>
        <w:pStyle w:val="6"/>
        <w:widowControl w:val="0"/>
        <w:autoSpaceDE w:val="0"/>
        <w:spacing w:before="0" w:beforeAutospacing="0" w:after="0" w:afterAutospacing="0" w:line="578" w:lineRule="exact"/>
        <w:ind w:firstLine="640" w:firstLineChars="200"/>
        <w:jc w:val="both"/>
        <w:rPr>
          <w:rFonts w:ascii="Times New Roman" w:hAnsi="Times New Roman" w:eastAsia="仿宋_GB2312" w:cs="Times New Roman"/>
          <w:sz w:val="32"/>
          <w:szCs w:val="32"/>
        </w:rPr>
        <w:sectPr>
          <w:footerReference r:id="rId3" w:type="default"/>
          <w:footerReference r:id="rId4" w:type="even"/>
          <w:pgSz w:w="11906" w:h="16838"/>
          <w:pgMar w:top="2098" w:right="1474" w:bottom="1985" w:left="1588" w:header="851" w:footer="1474" w:gutter="0"/>
          <w:cols w:space="720" w:num="1"/>
          <w:docGrid w:type="lines" w:linePitch="435" w:charSpace="0"/>
        </w:sectPr>
      </w:pPr>
    </w:p>
    <w:p/>
    <w:sectPr>
      <w:headerReference r:id="rId5" w:type="default"/>
      <w:footerReference r:id="rId7" w:type="default"/>
      <w:headerReference r:id="rId6" w:type="even"/>
      <w:footerReference r:id="rId8" w:type="even"/>
      <w:pgSz w:w="11906" w:h="16838"/>
      <w:pgMar w:top="2098" w:right="1474" w:bottom="1985" w:left="1588" w:header="851" w:footer="1474" w:gutter="0"/>
      <w:cols w:space="720" w:num="1"/>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altName w:val="微软雅黑"/>
    <w:panose1 w:val="00000000000000000000"/>
    <w:charset w:val="86"/>
    <w:family w:val="script"/>
    <w:pitch w:val="default"/>
    <w:sig w:usb0="00000000" w:usb1="00000000" w:usb2="00000010" w:usb3="00000000" w:csb0="00040000" w:csb1="00000000"/>
  </w:font>
  <w:font w:name="方正小标宋简体">
    <w:altName w:val="黑体"/>
    <w:panose1 w:val="02000000000000000000"/>
    <w:charset w:val="86"/>
    <w:family w:val="script"/>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280" w:firstLineChars="100"/>
    </w:pP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firstLine="280" w:firstLineChars="100"/>
      <w:jc w:val="right"/>
    </w:pP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23</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r>
      <w:rPr>
        <w:rFonts w:hint="eastAsia" w:ascii="宋体" w:hAnsi="宋体" w:eastAsia="宋体"/>
        <w:sz w:val="28"/>
        <w:szCs w:val="2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234" w:rightChars="73" w:firstLine="266" w:firstLineChars="95"/>
      <w:jc w:val="both"/>
      <w:rPr>
        <w:rFonts w:hint="eastAsia"/>
        <w:sz w:val="28"/>
        <w:szCs w:val="28"/>
      </w:rPr>
    </w:pP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24</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0ZjI1ZGE1NTJiMmIxNzQ2NGQzNmVjZmFiNDZlN2MifQ=="/>
  </w:docVars>
  <w:rsids>
    <w:rsidRoot w:val="114A3EDC"/>
    <w:rsid w:val="114A3EDC"/>
    <w:rsid w:val="6B8C0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autoRedefine/>
    <w:unhideWhenUsed/>
    <w:qFormat/>
    <w:uiPriority w:val="99"/>
    <w:pPr>
      <w:jc w:val="left"/>
    </w:pPr>
  </w:style>
  <w:style w:type="paragraph" w:styleId="3">
    <w:name w:val="Block Text"/>
    <w:basedOn w:val="1"/>
    <w:autoRedefine/>
    <w:uiPriority w:val="0"/>
    <w:pPr>
      <w:wordWrap w:val="0"/>
      <w:spacing w:line="500" w:lineRule="exact"/>
      <w:ind w:left="1185" w:leftChars="99" w:right="467" w:rightChars="148" w:hanging="872" w:hangingChars="276"/>
    </w:pPr>
    <w:rPr>
      <w:rFonts w:eastAsia="方正仿宋简体"/>
      <w:kern w:val="32"/>
    </w:rPr>
  </w:style>
  <w:style w:type="paragraph" w:styleId="4">
    <w:name w:val="footer"/>
    <w:basedOn w:val="1"/>
    <w:qFormat/>
    <w:uiPriority w:val="0"/>
    <w:pPr>
      <w:widowControl/>
      <w:tabs>
        <w:tab w:val="center" w:pos="4153"/>
        <w:tab w:val="right" w:pos="8306"/>
      </w:tabs>
      <w:snapToGrid w:val="0"/>
      <w:spacing w:line="240" w:lineRule="atLeast"/>
      <w:jc w:val="left"/>
      <w:textAlignment w:val="baseline"/>
    </w:pPr>
    <w:rPr>
      <w:rFonts w:eastAsia="方正仿宋简体"/>
      <w:color w:val="000000"/>
      <w:kern w:val="0"/>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2023-11-24T08:20:00Z</dcterms:created>
  <dc:creator>赵晓娟</dc:creator>
  <cp:lastModifiedBy>WPS_1535080285</cp:lastModifiedBy>
  <dcterms:modified xsi:type="dcterms:W3CDTF">2024-04-02T08:17:07Z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03725EB23CC0415AB78A05B952BA8AA7_11</vt:lpwstr>
  </property>
</Properties>
</file>