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7" w:lineRule="auto"/>
      </w:pPr>
    </w:p>
    <w:p>
      <w:pPr>
        <w:spacing w:before="114" w:line="224" w:lineRule="auto"/>
        <w:ind w:left="305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17"/>
          <w:sz w:val="35"/>
          <w:szCs w:val="35"/>
        </w:rPr>
        <w:t>达政发〔2023〕67号</w:t>
      </w:r>
    </w:p>
    <w:p>
      <w:pPr>
        <w:spacing w:before="171" w:line="60" w:lineRule="exact"/>
        <w:ind w:firstLine="140"/>
      </w:pPr>
      <w:r>
        <w:rPr>
          <w:position w:val="-1"/>
        </w:rPr>
        <w:drawing>
          <wp:inline distT="0" distB="0" distL="0" distR="0">
            <wp:extent cx="5600700" cy="3746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00720" cy="3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82" w:line="226" w:lineRule="auto"/>
        <w:ind w:left="2015" w:right="91" w:hanging="1880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b/>
          <w:bCs/>
          <w:spacing w:val="-48"/>
          <w:sz w:val="46"/>
          <w:szCs w:val="46"/>
        </w:rPr>
        <w:t>达拉特旗人民政府关于印发《达拉特旗国有资本</w:t>
      </w:r>
      <w:r>
        <w:rPr>
          <w:rFonts w:ascii="宋体" w:hAnsi="宋体" w:eastAsia="宋体" w:cs="宋体"/>
          <w:spacing w:val="13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40"/>
          <w:sz w:val="46"/>
          <w:szCs w:val="46"/>
        </w:rPr>
        <w:t>经营预算管理办法》的通知</w:t>
      </w:r>
    </w:p>
    <w:p>
      <w:pPr>
        <w:pStyle w:val="2"/>
        <w:spacing w:line="262" w:lineRule="auto"/>
      </w:pPr>
    </w:p>
    <w:p>
      <w:pPr>
        <w:pStyle w:val="2"/>
        <w:spacing w:line="262" w:lineRule="auto"/>
      </w:pPr>
    </w:p>
    <w:p>
      <w:pPr>
        <w:spacing w:before="115" w:line="570" w:lineRule="exact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18"/>
          <w:position w:val="15"/>
          <w:sz w:val="35"/>
          <w:szCs w:val="35"/>
        </w:rPr>
        <w:t>各苏木镇人民政府，各街道办事处，各开发区(园区)管</w:t>
      </w:r>
      <w:r>
        <w:rPr>
          <w:rFonts w:ascii="仿宋" w:hAnsi="仿宋" w:eastAsia="仿宋" w:cs="仿宋"/>
          <w:spacing w:val="-19"/>
          <w:position w:val="15"/>
          <w:sz w:val="35"/>
          <w:szCs w:val="35"/>
        </w:rPr>
        <w:t>委会，</w:t>
      </w:r>
    </w:p>
    <w:p>
      <w:pPr>
        <w:spacing w:before="1" w:line="221" w:lineRule="auto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1"/>
          <w:sz w:val="35"/>
          <w:szCs w:val="35"/>
        </w:rPr>
        <w:t>旗直各部门，各人民团体，各旗属国有企业：</w:t>
      </w:r>
    </w:p>
    <w:p>
      <w:pPr>
        <w:spacing w:before="149" w:line="288" w:lineRule="auto"/>
        <w:ind w:right="32" w:firstLine="625"/>
        <w:jc w:val="both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18"/>
          <w:sz w:val="35"/>
          <w:szCs w:val="35"/>
        </w:rPr>
        <w:t>《达拉特旗国有资本经营预算管理办法》已经旗人民政府</w:t>
      </w:r>
      <w:r>
        <w:rPr>
          <w:rFonts w:ascii="仿宋" w:hAnsi="仿宋" w:eastAsia="仿宋" w:cs="仿宋"/>
          <w:spacing w:val="14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22"/>
          <w:sz w:val="35"/>
          <w:szCs w:val="35"/>
        </w:rPr>
        <w:t>2023年第9次政府常务会议审议通过，现印发给你们，</w:t>
      </w:r>
      <w:r>
        <w:rPr>
          <w:rFonts w:ascii="仿宋" w:hAnsi="仿宋" w:eastAsia="仿宋" w:cs="仿宋"/>
          <w:spacing w:val="-23"/>
          <w:sz w:val="35"/>
          <w:szCs w:val="35"/>
        </w:rPr>
        <w:t>请认真组</w:t>
      </w:r>
    </w:p>
    <w:p>
      <w:pPr>
        <w:spacing w:before="1" w:line="222" w:lineRule="auto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0"/>
          <w:sz w:val="35"/>
          <w:szCs w:val="35"/>
        </w:rPr>
        <w:t>织实施。</w:t>
      </w:r>
    </w:p>
    <w:p>
      <w:pPr>
        <w:pStyle w:val="2"/>
        <w:spacing w:line="303" w:lineRule="auto"/>
      </w:pPr>
    </w:p>
    <w:p>
      <w:pPr>
        <w:pStyle w:val="2"/>
        <w:spacing w:line="303" w:lineRule="auto"/>
      </w:pPr>
    </w:p>
    <w:p>
      <w:pPr>
        <w:spacing w:before="121" w:line="539" w:lineRule="exact"/>
        <w:ind w:left="5020"/>
        <w:rPr>
          <w:rFonts w:ascii="仿宋" w:hAnsi="仿宋" w:eastAsia="仿宋" w:cs="仿宋"/>
          <w:sz w:val="37"/>
          <w:szCs w:val="37"/>
        </w:rPr>
      </w:pPr>
      <w:r>
        <w:rPr>
          <w:rFonts w:ascii="仿宋" w:hAnsi="仿宋" w:eastAsia="仿宋" w:cs="仿宋"/>
          <w:spacing w:val="-41"/>
          <w:position w:val="11"/>
          <w:sz w:val="37"/>
          <w:szCs w:val="37"/>
        </w:rPr>
        <w:t>达拉特旗人民政府</w:t>
      </w:r>
    </w:p>
    <w:p>
      <w:pPr>
        <w:spacing w:line="222" w:lineRule="auto"/>
        <w:ind w:left="4960"/>
        <w:rPr>
          <w:rFonts w:ascii="仿宋" w:hAnsi="仿宋" w:eastAsia="仿宋" w:cs="仿宋"/>
          <w:sz w:val="38"/>
          <w:szCs w:val="38"/>
        </w:rPr>
      </w:pPr>
      <w:r>
        <w:rPr>
          <w:rFonts w:ascii="仿宋" w:hAnsi="仿宋" w:eastAsia="仿宋" w:cs="仿宋"/>
          <w:spacing w:val="-2"/>
          <w:sz w:val="38"/>
          <w:szCs w:val="38"/>
        </w:rPr>
        <w:t>2023年10月23日</w:t>
      </w:r>
    </w:p>
    <w:p>
      <w:pPr>
        <w:spacing w:line="222" w:lineRule="auto"/>
        <w:rPr>
          <w:rFonts w:ascii="仿宋" w:hAnsi="仿宋" w:eastAsia="仿宋" w:cs="仿宋"/>
          <w:sz w:val="38"/>
          <w:szCs w:val="38"/>
        </w:rPr>
        <w:sectPr>
          <w:footerReference r:id="rId5" w:type="default"/>
          <w:pgSz w:w="12070" w:h="16940"/>
          <w:pgMar w:top="1439" w:right="1674" w:bottom="1482" w:left="1399" w:header="0" w:footer="1154" w:gutter="0"/>
          <w:cols w:space="720" w:num="1"/>
        </w:sectPr>
      </w:pPr>
    </w:p>
    <w:p>
      <w:pPr>
        <w:pStyle w:val="2"/>
        <w:spacing w:line="259" w:lineRule="auto"/>
      </w:pPr>
    </w:p>
    <w:p>
      <w:pPr>
        <w:pStyle w:val="2"/>
        <w:spacing w:line="260" w:lineRule="auto"/>
      </w:pPr>
    </w:p>
    <w:p>
      <w:pPr>
        <w:spacing w:before="143" w:line="219" w:lineRule="auto"/>
        <w:ind w:left="100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达拉特旗国有资本经营预算管理办法</w:t>
      </w:r>
    </w:p>
    <w:p>
      <w:pPr>
        <w:pStyle w:val="2"/>
        <w:spacing w:line="330" w:lineRule="auto"/>
      </w:pPr>
    </w:p>
    <w:p>
      <w:pPr>
        <w:pStyle w:val="2"/>
        <w:spacing w:line="330" w:lineRule="auto"/>
      </w:pPr>
    </w:p>
    <w:p>
      <w:pPr>
        <w:spacing w:before="101" w:line="222" w:lineRule="auto"/>
        <w:ind w:left="34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第一章</w:t>
      </w:r>
      <w:r>
        <w:rPr>
          <w:rFonts w:ascii="黑体" w:hAnsi="黑体" w:eastAsia="黑体" w:cs="黑体"/>
          <w:spacing w:val="-3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总</w:t>
      </w:r>
      <w:r>
        <w:rPr>
          <w:rFonts w:ascii="黑体" w:hAnsi="黑体" w:eastAsia="黑体" w:cs="黑体"/>
          <w:spacing w:val="16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则</w:t>
      </w:r>
    </w:p>
    <w:p>
      <w:pPr>
        <w:pStyle w:val="2"/>
        <w:spacing w:line="323" w:lineRule="auto"/>
      </w:pPr>
    </w:p>
    <w:p>
      <w:pPr>
        <w:pStyle w:val="2"/>
        <w:spacing w:line="323" w:lineRule="auto"/>
      </w:pPr>
    </w:p>
    <w:p>
      <w:pPr>
        <w:spacing w:before="101" w:line="346" w:lineRule="auto"/>
        <w:ind w:left="29" w:firstLine="63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第一条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为加强和规范我旗国有资本经营预算管理，优化国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有资本配置，根据《中华人民共和国预算法》《中华人民共和国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预算法实施条例》《内蒙古自治区人民政府关于试行国有资本经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营预算的实施意见》(内政发〔2008〕96号)《内蒙古</w:t>
      </w:r>
      <w:r>
        <w:rPr>
          <w:rFonts w:ascii="仿宋" w:hAnsi="仿宋" w:eastAsia="仿宋" w:cs="仿宋"/>
          <w:spacing w:val="6"/>
          <w:sz w:val="31"/>
          <w:szCs w:val="31"/>
        </w:rPr>
        <w:t>自治区人民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政府办公厅关于印发自治区直属企业国有资本收益收取管理办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法的通知》(内政办发〔2014〕78号)《内蒙古自治区人民政府办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公厅关于印发自治区本级国有资本经营预算支出管理办法的通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知》(内政办发〔2016〕198号)《鄂尔</w:t>
      </w:r>
      <w:r>
        <w:rPr>
          <w:rFonts w:ascii="仿宋" w:hAnsi="仿宋" w:eastAsia="仿宋" w:cs="仿宋"/>
          <w:spacing w:val="12"/>
          <w:sz w:val="31"/>
          <w:szCs w:val="31"/>
        </w:rPr>
        <w:t>多斯市人民政府关于试行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国有资本经营预算的实施意见》(鄂府发〔2014〕7号)等有关规</w:t>
      </w:r>
    </w:p>
    <w:p>
      <w:pPr>
        <w:spacing w:before="1" w:line="221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定，结合我旗实际，制定本办法。</w:t>
      </w:r>
    </w:p>
    <w:p>
      <w:pPr>
        <w:spacing w:before="236" w:line="340" w:lineRule="auto"/>
        <w:ind w:left="29" w:right="7" w:firstLine="63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0"/>
          <w:sz w:val="31"/>
          <w:szCs w:val="31"/>
        </w:rPr>
        <w:t>第二条</w:t>
      </w:r>
      <w:r>
        <w:rPr>
          <w:rFonts w:ascii="仿宋" w:hAnsi="仿宋" w:eastAsia="仿宋" w:cs="仿宋"/>
          <w:spacing w:val="20"/>
          <w:sz w:val="31"/>
          <w:szCs w:val="31"/>
        </w:rPr>
        <w:t xml:space="preserve">  旗国有资本经营预算是指旗人民政府以所有者身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份依法取得国有资本收益，并对所得收益作出支出安排的收支预</w:t>
      </w:r>
    </w:p>
    <w:p>
      <w:pPr>
        <w:spacing w:before="1" w:line="221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算，由预算收入和预算支出组成，是政府预算的重要组成部分。</w:t>
      </w:r>
    </w:p>
    <w:p>
      <w:pPr>
        <w:spacing w:before="194" w:line="346" w:lineRule="auto"/>
        <w:ind w:left="29" w:right="14" w:firstLine="63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第三条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8"/>
          <w:sz w:val="31"/>
          <w:szCs w:val="31"/>
        </w:rPr>
        <w:t>本办法适用于旗财政局、旗国有资本经营预算单位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(以下简称“国资预算单位”)和旗国有资本经营预算企业(以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下简称“国资预算企业”)编制、执行、调整</w:t>
      </w:r>
      <w:r>
        <w:rPr>
          <w:rFonts w:ascii="仿宋" w:hAnsi="仿宋" w:eastAsia="仿宋" w:cs="仿宋"/>
          <w:spacing w:val="13"/>
          <w:sz w:val="31"/>
          <w:szCs w:val="31"/>
        </w:rPr>
        <w:t>、绩效管理、监督</w:t>
      </w:r>
    </w:p>
    <w:p>
      <w:pPr>
        <w:spacing w:before="1" w:line="221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国有资本经营预算等事项。</w:t>
      </w:r>
    </w:p>
    <w:p>
      <w:pPr>
        <w:spacing w:before="206" w:line="221" w:lineRule="auto"/>
        <w:ind w:right="51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国资预算单位，是指代表旗人民政府履行出资人职责的机</w:t>
      </w:r>
    </w:p>
    <w:p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2130" w:h="16980"/>
          <w:pgMar w:top="1443" w:right="1619" w:bottom="1567" w:left="1540" w:header="0" w:footer="1260" w:gutter="0"/>
          <w:cols w:space="720" w:num="1"/>
        </w:sectPr>
      </w:pPr>
    </w:p>
    <w:p>
      <w:pPr>
        <w:pStyle w:val="2"/>
        <w:spacing w:line="252" w:lineRule="auto"/>
      </w:pPr>
    </w:p>
    <w:p>
      <w:pPr>
        <w:pStyle w:val="2"/>
        <w:spacing w:line="252" w:lineRule="auto"/>
      </w:pPr>
    </w:p>
    <w:p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构、部门。</w:t>
      </w:r>
    </w:p>
    <w:p>
      <w:pPr>
        <w:spacing w:before="228" w:line="345" w:lineRule="auto"/>
        <w:ind w:firstLine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国资预算企业，是指纳入我旗国有资本经营预算管理实施范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围的国有一级企业，包括国有独资企业、国有控股企业、国有参 </w:t>
      </w:r>
      <w:r>
        <w:rPr>
          <w:rFonts w:ascii="仿宋" w:hAnsi="仿宋" w:eastAsia="仿宋" w:cs="仿宋"/>
          <w:spacing w:val="10"/>
          <w:sz w:val="31"/>
          <w:szCs w:val="31"/>
        </w:rPr>
        <w:t>股企业。所有国有一级企业应全部纳入国有资本经营预算管理实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施范围，包括事业单位出资成立的企业。</w:t>
      </w:r>
    </w:p>
    <w:p>
      <w:pPr>
        <w:spacing w:before="246" w:line="222" w:lineRule="auto"/>
        <w:ind w:left="7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第四条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国有资本经营预算管理应遵循以下原则：</w:t>
      </w:r>
    </w:p>
    <w:p>
      <w:pPr>
        <w:spacing w:before="189" w:line="340" w:lineRule="auto"/>
        <w:ind w:right="87" w:firstLine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(一)统筹兼顾、适度集中。统筹兼顾国有企业自身积累和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发展、国有经济结构调整，以及国民经济宏观调控的需要，适度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集中国有资本收益。</w:t>
      </w:r>
    </w:p>
    <w:p>
      <w:pPr>
        <w:spacing w:before="237" w:line="578" w:lineRule="exact"/>
        <w:ind w:left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19"/>
          <w:sz w:val="31"/>
          <w:szCs w:val="31"/>
        </w:rPr>
        <w:t>(二)相对独立、相互衔接。既保持国有资本经营预算的完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整性和相对独立性，又保持与一般公共预算的相互衔接。</w:t>
      </w:r>
    </w:p>
    <w:p>
      <w:pPr>
        <w:spacing w:before="231" w:line="562" w:lineRule="exact"/>
        <w:ind w:left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18"/>
          <w:sz w:val="31"/>
          <w:szCs w:val="31"/>
        </w:rPr>
        <w:t>(三)量入为出、收支平衡。国有资本经营预算支出根据预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算收入情况，按照收支平衡的原则编制，不列赤字。</w:t>
      </w:r>
    </w:p>
    <w:p>
      <w:pPr>
        <w:spacing w:before="207" w:line="588" w:lineRule="exact"/>
        <w:ind w:right="87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20"/>
          <w:sz w:val="31"/>
          <w:szCs w:val="31"/>
        </w:rPr>
        <w:t>(四)讲求绩效、公开透明。国有资本经营预算实施绩效管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理，并按规定及时公开市本级国有资本经营预算收支情况。</w:t>
      </w:r>
    </w:p>
    <w:p>
      <w:pPr>
        <w:pStyle w:val="2"/>
        <w:spacing w:line="337" w:lineRule="auto"/>
      </w:pPr>
    </w:p>
    <w:p>
      <w:pPr>
        <w:pStyle w:val="2"/>
        <w:spacing w:line="337" w:lineRule="auto"/>
      </w:pPr>
    </w:p>
    <w:p>
      <w:pPr>
        <w:spacing w:before="101" w:line="221" w:lineRule="auto"/>
        <w:ind w:left="32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z w:val="31"/>
          <w:szCs w:val="31"/>
        </w:rPr>
        <w:t>第二章</w:t>
      </w:r>
      <w:r>
        <w:rPr>
          <w:rFonts w:ascii="黑体" w:hAnsi="黑体" w:eastAsia="黑体" w:cs="黑体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z w:val="31"/>
          <w:szCs w:val="31"/>
        </w:rPr>
        <w:t>管理职责</w:t>
      </w:r>
    </w:p>
    <w:p>
      <w:pPr>
        <w:pStyle w:val="2"/>
        <w:spacing w:line="347" w:lineRule="auto"/>
      </w:pPr>
    </w:p>
    <w:p>
      <w:pPr>
        <w:pStyle w:val="2"/>
        <w:spacing w:line="347" w:lineRule="auto"/>
      </w:pPr>
    </w:p>
    <w:p>
      <w:pPr>
        <w:spacing w:before="101" w:line="583" w:lineRule="exact"/>
        <w:ind w:left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9"/>
          <w:position w:val="20"/>
          <w:sz w:val="31"/>
          <w:szCs w:val="31"/>
        </w:rPr>
        <w:t>第五条</w:t>
      </w:r>
      <w:r>
        <w:rPr>
          <w:rFonts w:ascii="仿宋" w:hAnsi="仿宋" w:eastAsia="仿宋" w:cs="仿宋"/>
          <w:spacing w:val="9"/>
          <w:position w:val="20"/>
          <w:sz w:val="31"/>
          <w:szCs w:val="31"/>
        </w:rPr>
        <w:t xml:space="preserve">  国有资本经营预算管理由财政局、国资</w:t>
      </w:r>
      <w:r>
        <w:rPr>
          <w:rFonts w:ascii="仿宋" w:hAnsi="仿宋" w:eastAsia="仿宋" w:cs="仿宋"/>
          <w:spacing w:val="8"/>
          <w:position w:val="20"/>
          <w:sz w:val="31"/>
          <w:szCs w:val="31"/>
        </w:rPr>
        <w:t>预算单位和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国资预算企业各司其职，共同负责。</w:t>
      </w:r>
    </w:p>
    <w:p>
      <w:pPr>
        <w:spacing w:before="185" w:line="595" w:lineRule="exact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0"/>
          <w:position w:val="21"/>
          <w:sz w:val="31"/>
          <w:szCs w:val="31"/>
        </w:rPr>
        <w:t>第六条</w:t>
      </w:r>
      <w:r>
        <w:rPr>
          <w:rFonts w:ascii="仿宋" w:hAnsi="仿宋" w:eastAsia="仿宋" w:cs="仿宋"/>
          <w:spacing w:val="147"/>
          <w:position w:val="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position w:val="21"/>
          <w:sz w:val="31"/>
          <w:szCs w:val="31"/>
        </w:rPr>
        <w:t>财政局是国有资本经营预算的主管部</w:t>
      </w:r>
      <w:r>
        <w:rPr>
          <w:rFonts w:ascii="仿宋" w:hAnsi="仿宋" w:eastAsia="仿宋" w:cs="仿宋"/>
          <w:spacing w:val="9"/>
          <w:position w:val="21"/>
          <w:sz w:val="31"/>
          <w:szCs w:val="31"/>
        </w:rPr>
        <w:t>门，主要履行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以下职责：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900" w:h="16820"/>
          <w:pgMar w:top="1429" w:right="1468" w:bottom="1387" w:left="1370" w:header="0" w:footer="1079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spacing w:before="101" w:line="222" w:lineRule="auto"/>
        <w:ind w:left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(一)负责制订我旗国有资本经营预算管理制度。</w:t>
      </w:r>
    </w:p>
    <w:p>
      <w:pPr>
        <w:spacing w:before="207" w:line="222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(二)收取我旗国有资本经营预算收入。</w:t>
      </w:r>
    </w:p>
    <w:p>
      <w:pPr>
        <w:spacing w:before="208" w:line="587" w:lineRule="exact"/>
        <w:ind w:right="50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position w:val="20"/>
          <w:sz w:val="31"/>
          <w:szCs w:val="31"/>
        </w:rPr>
        <w:t>(三)负责审核和编制我旗国有资本经营预算、预算调整和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决算草案，并按规定报送审议。</w:t>
      </w:r>
    </w:p>
    <w:p>
      <w:pPr>
        <w:spacing w:before="201" w:line="601" w:lineRule="exact"/>
        <w:ind w:right="10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21"/>
          <w:sz w:val="31"/>
          <w:szCs w:val="31"/>
        </w:rPr>
        <w:t>(四)批复我旗国资预算单位国有资本经营预算、决算；按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规定公开我旗国有资本经营预算、决算。</w:t>
      </w:r>
    </w:p>
    <w:p>
      <w:pPr>
        <w:spacing w:before="167" w:line="608" w:lineRule="exact"/>
        <w:ind w:right="22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22"/>
          <w:sz w:val="31"/>
          <w:szCs w:val="31"/>
        </w:rPr>
        <w:t>(五)对我旗国资预算单位和国资预算企业的国有资本经营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预算编制、执行和绩效管理进行监督检查。</w:t>
      </w:r>
    </w:p>
    <w:p>
      <w:pPr>
        <w:spacing w:before="210" w:line="221" w:lineRule="auto"/>
        <w:ind w:left="6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z w:val="31"/>
          <w:szCs w:val="31"/>
        </w:rPr>
        <w:t>第七条</w:t>
      </w:r>
      <w:r>
        <w:rPr>
          <w:rFonts w:ascii="仿宋" w:hAnsi="仿宋" w:eastAsia="仿宋" w:cs="仿宋"/>
          <w:sz w:val="31"/>
          <w:szCs w:val="31"/>
        </w:rPr>
        <w:t xml:space="preserve">  国资预算单位主要履行以下职责：</w:t>
      </w:r>
    </w:p>
    <w:p>
      <w:pPr>
        <w:spacing w:before="202" w:line="222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(一)参与制订我旗国有资本经营预算有关管理制度。</w:t>
      </w:r>
    </w:p>
    <w:p>
      <w:pPr>
        <w:spacing w:before="205" w:line="584" w:lineRule="exact"/>
        <w:ind w:right="25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20"/>
          <w:sz w:val="31"/>
          <w:szCs w:val="31"/>
        </w:rPr>
        <w:t>(二)组织所监管企业编报国有资本经营收支预算并进</w:t>
      </w:r>
      <w:r>
        <w:rPr>
          <w:rFonts w:ascii="仿宋" w:hAnsi="仿宋" w:eastAsia="仿宋" w:cs="仿宋"/>
          <w:spacing w:val="14"/>
          <w:position w:val="20"/>
          <w:sz w:val="31"/>
          <w:szCs w:val="31"/>
        </w:rPr>
        <w:t>行审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核。</w:t>
      </w:r>
    </w:p>
    <w:p>
      <w:pPr>
        <w:spacing w:before="204" w:line="221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(三)编制本单位国有资本经营预算、决算草案。</w:t>
      </w:r>
    </w:p>
    <w:p>
      <w:pPr>
        <w:spacing w:before="210" w:line="222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(四)批复所监管企业国有资本经营预算、决</w:t>
      </w:r>
      <w:r>
        <w:rPr>
          <w:rFonts w:ascii="仿宋" w:hAnsi="仿宋" w:eastAsia="仿宋" w:cs="仿宋"/>
          <w:spacing w:val="12"/>
          <w:sz w:val="31"/>
          <w:szCs w:val="31"/>
        </w:rPr>
        <w:t>算。</w:t>
      </w:r>
    </w:p>
    <w:p>
      <w:pPr>
        <w:spacing w:before="206" w:line="221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(五)组织本单位国有资本经营预算的执行。</w:t>
      </w:r>
    </w:p>
    <w:p>
      <w:pPr>
        <w:spacing w:before="212" w:line="222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(六)组织和监督所监管企业及时上交国有资本收益。</w:t>
      </w:r>
    </w:p>
    <w:p>
      <w:pPr>
        <w:spacing w:before="205" w:line="578" w:lineRule="exact"/>
        <w:ind w:right="15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19"/>
          <w:sz w:val="31"/>
          <w:szCs w:val="31"/>
        </w:rPr>
        <w:t>(七)配合财政局对所监管企业的国有资本经营预算执行情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况实施绩效管理和监督检查。</w:t>
      </w:r>
    </w:p>
    <w:p>
      <w:pPr>
        <w:spacing w:before="199" w:line="221" w:lineRule="auto"/>
        <w:ind w:left="68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z w:val="31"/>
          <w:szCs w:val="31"/>
        </w:rPr>
        <w:t>第八条</w:t>
      </w:r>
      <w:r>
        <w:rPr>
          <w:rFonts w:ascii="仿宋" w:hAnsi="仿宋" w:eastAsia="仿宋" w:cs="仿宋"/>
          <w:sz w:val="31"/>
          <w:szCs w:val="31"/>
        </w:rPr>
        <w:t xml:space="preserve">  国资预算企业主要履行以下职责：</w:t>
      </w:r>
    </w:p>
    <w:p>
      <w:pPr>
        <w:spacing w:before="212" w:line="579" w:lineRule="exact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19"/>
          <w:sz w:val="31"/>
          <w:szCs w:val="31"/>
        </w:rPr>
        <w:t>(一)建立、健全内部国有资本经营预算的资金管理</w:t>
      </w:r>
      <w:r>
        <w:rPr>
          <w:rFonts w:ascii="仿宋" w:hAnsi="仿宋" w:eastAsia="仿宋" w:cs="仿宋"/>
          <w:spacing w:val="15"/>
          <w:position w:val="19"/>
          <w:sz w:val="31"/>
          <w:szCs w:val="31"/>
        </w:rPr>
        <w:t>制度和</w:t>
      </w:r>
    </w:p>
    <w:p>
      <w:pPr>
        <w:spacing w:before="2" w:line="220" w:lineRule="auto"/>
        <w:ind w:left="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审计制度，规范资金核算，确保资金按规定用途使用。</w:t>
      </w:r>
    </w:p>
    <w:p>
      <w:pPr>
        <w:spacing w:before="209" w:line="222" w:lineRule="auto"/>
        <w:ind w:left="7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(二)按照规定编报国有资本经营预算收入支出计划。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0" w:h="16820"/>
          <w:pgMar w:top="1429" w:right="1535" w:bottom="1487" w:left="1420" w:header="0" w:footer="1180" w:gutter="0"/>
          <w:cols w:space="720" w:num="1"/>
        </w:sectPr>
      </w:pPr>
    </w:p>
    <w:p>
      <w:pPr>
        <w:pStyle w:val="2"/>
        <w:spacing w:line="258" w:lineRule="auto"/>
      </w:pPr>
    </w:p>
    <w:p>
      <w:pPr>
        <w:pStyle w:val="2"/>
        <w:spacing w:line="259" w:lineRule="auto"/>
      </w:pPr>
    </w:p>
    <w:p>
      <w:pPr>
        <w:spacing w:before="100" w:line="222" w:lineRule="auto"/>
        <w:ind w:left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(三)按照规定申报、上交国有资本经营收益。</w:t>
      </w:r>
    </w:p>
    <w:p>
      <w:pPr>
        <w:spacing w:before="194" w:line="590" w:lineRule="exact"/>
        <w:ind w:right="22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20"/>
          <w:sz w:val="31"/>
          <w:szCs w:val="31"/>
        </w:rPr>
        <w:t>(四)根据国有资本经营预算批复安排支出，报告国有资本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经营预算执行、决算、绩效管理等情况，依法接受监</w:t>
      </w:r>
      <w:r>
        <w:rPr>
          <w:rFonts w:ascii="仿宋" w:hAnsi="仿宋" w:eastAsia="仿宋" w:cs="仿宋"/>
          <w:spacing w:val="6"/>
          <w:sz w:val="31"/>
          <w:szCs w:val="31"/>
        </w:rPr>
        <w:t>督。</w:t>
      </w:r>
    </w:p>
    <w:p>
      <w:pPr>
        <w:pStyle w:val="2"/>
        <w:spacing w:line="341" w:lineRule="auto"/>
      </w:pPr>
    </w:p>
    <w:p>
      <w:pPr>
        <w:pStyle w:val="2"/>
        <w:spacing w:line="341" w:lineRule="auto"/>
      </w:pPr>
    </w:p>
    <w:p>
      <w:pPr>
        <w:spacing w:before="101" w:line="222" w:lineRule="auto"/>
        <w:ind w:left="3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第三章</w:t>
      </w:r>
      <w:r>
        <w:rPr>
          <w:rFonts w:ascii="黑体" w:hAnsi="黑体" w:eastAsia="黑体" w:cs="黑体"/>
          <w:spacing w:val="2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预算收入</w:t>
      </w:r>
    </w:p>
    <w:p>
      <w:pPr>
        <w:pStyle w:val="2"/>
        <w:spacing w:line="350" w:lineRule="auto"/>
      </w:pPr>
    </w:p>
    <w:p>
      <w:pPr>
        <w:pStyle w:val="2"/>
        <w:spacing w:line="350" w:lineRule="auto"/>
      </w:pPr>
    </w:p>
    <w:p>
      <w:pPr>
        <w:spacing w:before="101" w:line="222" w:lineRule="auto"/>
        <w:ind w:left="7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第九条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 国有资本经营预算收入具体包括：</w:t>
      </w:r>
    </w:p>
    <w:p>
      <w:pPr>
        <w:spacing w:before="203" w:line="580" w:lineRule="exact"/>
        <w:ind w:right="19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19"/>
          <w:sz w:val="31"/>
          <w:szCs w:val="31"/>
        </w:rPr>
        <w:t>(一)应交利润，即国有独资企业按规定应当上交国家的税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后利润。</w:t>
      </w:r>
    </w:p>
    <w:p>
      <w:pPr>
        <w:spacing w:before="207" w:line="590" w:lineRule="exact"/>
        <w:ind w:right="1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20"/>
          <w:sz w:val="31"/>
          <w:szCs w:val="31"/>
        </w:rPr>
        <w:t>(二)国有股股利、股息，即国有控股、参股企业国有股权</w:t>
      </w:r>
    </w:p>
    <w:p>
      <w:pPr>
        <w:spacing w:line="222" w:lineRule="auto"/>
        <w:ind w:left="1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(股份)获得的股利、股息收入。</w:t>
      </w:r>
    </w:p>
    <w:p>
      <w:pPr>
        <w:spacing w:before="191" w:line="596" w:lineRule="exact"/>
        <w:ind w:left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position w:val="21"/>
          <w:sz w:val="31"/>
          <w:szCs w:val="31"/>
        </w:rPr>
        <w:t>(三)国有产权转让收入，即转让国有产权、股权(股份)</w:t>
      </w:r>
    </w:p>
    <w:p>
      <w:pPr>
        <w:spacing w:before="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获得的收入。</w:t>
      </w:r>
    </w:p>
    <w:p>
      <w:pPr>
        <w:spacing w:before="206" w:line="345" w:lineRule="auto"/>
        <w:ind w:right="17" w:firstLine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31"/>
          <w:szCs w:val="31"/>
        </w:rPr>
        <w:t>(四)企业清算收入，即国有独资企业清算收入(扣除清算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</w:rPr>
        <w:t>费用),国有控股、参股企业国有股权(股份)分享的公司清算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收入(扣除清算费用)。</w:t>
      </w:r>
    </w:p>
    <w:p>
      <w:pPr>
        <w:spacing w:before="208" w:line="222" w:lineRule="auto"/>
        <w:ind w:left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(五)其他国有资本收益。</w:t>
      </w:r>
    </w:p>
    <w:p>
      <w:pPr>
        <w:spacing w:before="193" w:line="353" w:lineRule="auto"/>
        <w:ind w:right="19" w:firstLine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第十条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 国资预算企业上交国有资本收益应当按规定</w:t>
      </w:r>
      <w:r>
        <w:rPr>
          <w:rFonts w:ascii="仿宋" w:hAnsi="仿宋" w:eastAsia="仿宋" w:cs="仿宋"/>
          <w:spacing w:val="5"/>
          <w:sz w:val="31"/>
          <w:szCs w:val="31"/>
        </w:rPr>
        <w:t>申报，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并如实填写国有资本收益申报表(详见附件1-4)。具体</w:t>
      </w:r>
      <w:r>
        <w:rPr>
          <w:rFonts w:ascii="仿宋" w:hAnsi="仿宋" w:eastAsia="仿宋" w:cs="仿宋"/>
          <w:spacing w:val="13"/>
          <w:sz w:val="31"/>
          <w:szCs w:val="31"/>
        </w:rPr>
        <w:t>申报时间</w:t>
      </w:r>
    </w:p>
    <w:p>
      <w:pPr>
        <w:spacing w:before="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及要求如下：</w:t>
      </w:r>
    </w:p>
    <w:p>
      <w:pPr>
        <w:spacing w:before="201" w:line="572" w:lineRule="exact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position w:val="19"/>
          <w:sz w:val="31"/>
          <w:szCs w:val="31"/>
        </w:rPr>
        <w:t>(一)应交利润，在每年年度终了后5个月内，由旗直属企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业一次性申报，并附送经依法审计的年度合并财</w:t>
      </w:r>
      <w:r>
        <w:rPr>
          <w:rFonts w:ascii="仿宋" w:hAnsi="仿宋" w:eastAsia="仿宋" w:cs="仿宋"/>
          <w:spacing w:val="6"/>
          <w:sz w:val="31"/>
          <w:szCs w:val="31"/>
        </w:rPr>
        <w:t>务会计报告。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9" w:type="default"/>
          <w:pgSz w:w="11900" w:h="16820"/>
          <w:pgMar w:top="1429" w:right="1558" w:bottom="1415" w:left="1380" w:header="0" w:footer="1109" w:gutter="0"/>
          <w:cols w:space="720" w:num="1"/>
        </w:sectPr>
      </w:pPr>
    </w:p>
    <w:p>
      <w:pPr>
        <w:pStyle w:val="2"/>
        <w:spacing w:line="463" w:lineRule="auto"/>
      </w:pPr>
    </w:p>
    <w:p>
      <w:pPr>
        <w:spacing w:before="101" w:line="346" w:lineRule="auto"/>
        <w:ind w:left="29" w:right="78" w:firstLine="7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(二)国有股股利、股息，在股东会或者股东大会(没有设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立股东会或者股东大会的为董事会，下同)表决日后30个工作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日内，由国有控股、参股企业据实申报，并附送股东会或者股东</w:t>
      </w:r>
    </w:p>
    <w:p>
      <w:pPr>
        <w:spacing w:line="222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大会的决议文件。</w:t>
      </w:r>
    </w:p>
    <w:p>
      <w:pPr>
        <w:spacing w:before="180" w:line="580" w:lineRule="exact"/>
        <w:ind w:right="84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6"/>
          <w:position w:val="20"/>
          <w:sz w:val="31"/>
          <w:szCs w:val="31"/>
        </w:rPr>
        <w:t>(三)国有产权转让收入，在签订产权转让合同后30个工</w:t>
      </w:r>
    </w:p>
    <w:p>
      <w:pPr>
        <w:spacing w:before="1" w:line="218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作日内，由企业据实申报，并附送产权转让合同和</w:t>
      </w:r>
      <w:r>
        <w:rPr>
          <w:rFonts w:ascii="仿宋" w:hAnsi="仿宋" w:eastAsia="仿宋" w:cs="仿宋"/>
          <w:spacing w:val="-1"/>
          <w:sz w:val="31"/>
          <w:szCs w:val="31"/>
        </w:rPr>
        <w:t>资产评估报告。</w:t>
      </w:r>
    </w:p>
    <w:p>
      <w:pPr>
        <w:spacing w:before="213" w:line="346" w:lineRule="auto"/>
        <w:ind w:left="29" w:right="83" w:firstLine="7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(四)企业清算收入，在清算组或管理人编制剩余财产分配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方案后30个工作日内，由清算组或管理人据实申报，并附</w:t>
      </w:r>
      <w:r>
        <w:rPr>
          <w:rFonts w:ascii="仿宋" w:hAnsi="仿宋" w:eastAsia="仿宋" w:cs="仿宋"/>
          <w:spacing w:val="18"/>
          <w:sz w:val="31"/>
          <w:szCs w:val="31"/>
        </w:rPr>
        <w:t>送经</w:t>
      </w:r>
    </w:p>
    <w:p>
      <w:pPr>
        <w:spacing w:line="220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依法审计的清算报告等相关资料。</w:t>
      </w:r>
    </w:p>
    <w:p>
      <w:pPr>
        <w:spacing w:before="208" w:line="346" w:lineRule="auto"/>
        <w:ind w:left="29" w:right="124" w:firstLine="7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(五)其他国有资本收益，在收益确定后30个工作日内，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由企业及有关单位申报，并附送有关经济事项发生和金额确认的</w:t>
      </w:r>
    </w:p>
    <w:p>
      <w:pPr>
        <w:spacing w:line="220" w:lineRule="auto"/>
        <w:ind w:left="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资料。</w:t>
      </w:r>
    </w:p>
    <w:p>
      <w:pPr>
        <w:spacing w:before="209" w:line="353" w:lineRule="auto"/>
        <w:ind w:left="29" w:right="63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第十一条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 国有独资企业拥有全资公司或者控股子公司、子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企业的，应当由集团公司以年度合并财务报表反映的归属于母公</w:t>
      </w:r>
    </w:p>
    <w:p>
      <w:pPr>
        <w:spacing w:before="1" w:line="222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司所有者的净利润为基础申报。</w:t>
      </w:r>
    </w:p>
    <w:p>
      <w:pPr>
        <w:spacing w:before="182" w:line="346" w:lineRule="auto"/>
        <w:ind w:left="29" w:right="66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第十二条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国有独资企业年度净利润按一定比</w:t>
      </w:r>
      <w:r>
        <w:rPr>
          <w:rFonts w:ascii="仿宋" w:hAnsi="仿宋" w:eastAsia="仿宋" w:cs="仿宋"/>
          <w:spacing w:val="6"/>
          <w:sz w:val="31"/>
          <w:szCs w:val="31"/>
        </w:rPr>
        <w:t>例上缴。国有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控股、参股企业国有股股利、股息收入，国有产权转让收入，国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有企业清算收入以及公司制企业清算时国有股权、</w:t>
      </w:r>
      <w:r>
        <w:rPr>
          <w:rFonts w:ascii="仿宋" w:hAnsi="仿宋" w:eastAsia="仿宋" w:cs="仿宋"/>
          <w:spacing w:val="7"/>
          <w:sz w:val="31"/>
          <w:szCs w:val="31"/>
        </w:rPr>
        <w:t>股份分享的清</w:t>
      </w:r>
    </w:p>
    <w:p>
      <w:pPr>
        <w:spacing w:before="1" w:line="221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算收入，按占有股权比例全额上缴。</w:t>
      </w:r>
    </w:p>
    <w:p>
      <w:pPr>
        <w:spacing w:before="201" w:line="345" w:lineRule="auto"/>
        <w:ind w:left="29" w:right="85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国有控股、参股企业应当依法分配年度净利润。当年不予分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配的，应当说明暂不分配的理由和依据，并出具股东会或者股东</w:t>
      </w:r>
    </w:p>
    <w:p>
      <w:pPr>
        <w:spacing w:line="222" w:lineRule="auto"/>
        <w:ind w:left="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大会的决议文件。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0" w:type="default"/>
          <w:pgSz w:w="11900" w:h="16820"/>
          <w:pgMar w:top="1429" w:right="1465" w:bottom="1555" w:left="1420" w:header="0" w:footer="1208" w:gutter="0"/>
          <w:cols w:space="720" w:num="1"/>
        </w:sectPr>
      </w:pPr>
    </w:p>
    <w:p>
      <w:pPr>
        <w:pStyle w:val="2"/>
        <w:spacing w:line="256" w:lineRule="auto"/>
      </w:pPr>
    </w:p>
    <w:p>
      <w:pPr>
        <w:pStyle w:val="2"/>
        <w:spacing w:line="256" w:lineRule="auto"/>
      </w:pPr>
    </w:p>
    <w:p>
      <w:pPr>
        <w:spacing w:before="100" w:line="567" w:lineRule="exact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9"/>
          <w:position w:val="18"/>
          <w:sz w:val="31"/>
          <w:szCs w:val="31"/>
        </w:rPr>
        <w:t>第十三条</w:t>
      </w:r>
      <w:r>
        <w:rPr>
          <w:rFonts w:ascii="仿宋" w:hAnsi="仿宋" w:eastAsia="仿宋" w:cs="仿宋"/>
          <w:spacing w:val="19"/>
          <w:position w:val="18"/>
          <w:sz w:val="31"/>
          <w:szCs w:val="31"/>
        </w:rPr>
        <w:t xml:space="preserve">  国有独资企业应交利润不足10万元的，免交当</w:t>
      </w:r>
    </w:p>
    <w:p>
      <w:pPr>
        <w:spacing w:line="219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3"/>
          <w:sz w:val="31"/>
          <w:szCs w:val="31"/>
        </w:rPr>
        <w:t>年应交利润。</w:t>
      </w:r>
    </w:p>
    <w:p>
      <w:pPr>
        <w:spacing w:before="226" w:line="346" w:lineRule="auto"/>
        <w:ind w:right="13" w:firstLine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国资预算企业根据国家政策进行重大调整，或因遭受重大自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然灾害等不可抗力因素造成巨大损失，需减免应交利润的，由企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业向国资预算单位提出申请，由国资预算单位提出初审意见，财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政局提出建议意见报旗人民政府批准。</w:t>
      </w:r>
    </w:p>
    <w:p>
      <w:pPr>
        <w:pStyle w:val="2"/>
        <w:spacing w:line="348" w:lineRule="auto"/>
      </w:pPr>
    </w:p>
    <w:p>
      <w:pPr>
        <w:pStyle w:val="2"/>
        <w:spacing w:line="349" w:lineRule="auto"/>
      </w:pPr>
    </w:p>
    <w:p>
      <w:pPr>
        <w:spacing w:before="101" w:line="222" w:lineRule="auto"/>
        <w:ind w:left="35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第四章</w:t>
      </w:r>
      <w:r>
        <w:rPr>
          <w:rFonts w:ascii="黑体" w:hAnsi="黑体" w:eastAsia="黑体" w:cs="黑体"/>
          <w:spacing w:val="3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预算支出</w:t>
      </w:r>
    </w:p>
    <w:p>
      <w:pPr>
        <w:pStyle w:val="2"/>
        <w:spacing w:line="336" w:lineRule="auto"/>
      </w:pPr>
    </w:p>
    <w:p>
      <w:pPr>
        <w:pStyle w:val="2"/>
        <w:spacing w:line="337" w:lineRule="auto"/>
      </w:pPr>
    </w:p>
    <w:p>
      <w:pPr>
        <w:spacing w:before="101" w:line="340" w:lineRule="auto"/>
        <w:ind w:right="32" w:firstLine="7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第十四条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国有资本经营预算支出，是指经旗人民代表大会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批准的国有资本经营预算安排的支出，包括资本性支出、费</w:t>
      </w:r>
      <w:r>
        <w:rPr>
          <w:rFonts w:ascii="仿宋" w:hAnsi="仿宋" w:eastAsia="仿宋" w:cs="仿宋"/>
          <w:spacing w:val="8"/>
          <w:sz w:val="31"/>
          <w:szCs w:val="31"/>
        </w:rPr>
        <w:t>用性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支出和其他支出。</w:t>
      </w:r>
    </w:p>
    <w:p>
      <w:pPr>
        <w:spacing w:before="238" w:line="345" w:lineRule="auto"/>
        <w:ind w:right="7" w:firstLine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(一)资本性支出。根据我旗产业发展规划、国有经</w:t>
      </w:r>
      <w:r>
        <w:rPr>
          <w:rFonts w:ascii="仿宋" w:hAnsi="仿宋" w:eastAsia="仿宋" w:cs="仿宋"/>
          <w:spacing w:val="16"/>
          <w:sz w:val="31"/>
          <w:szCs w:val="31"/>
        </w:rPr>
        <w:t>济布局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和结构调整、国有企业发展要求，以及经济发展需要安</w:t>
      </w:r>
      <w:r>
        <w:rPr>
          <w:rFonts w:ascii="仿宋" w:hAnsi="仿宋" w:eastAsia="仿宋" w:cs="仿宋"/>
          <w:spacing w:val="1"/>
          <w:sz w:val="31"/>
          <w:szCs w:val="31"/>
        </w:rPr>
        <w:t>排的支出。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即向新设立企业注入国有资本金，向现有企业增加资本性</w:t>
      </w:r>
      <w:r>
        <w:rPr>
          <w:rFonts w:ascii="仿宋" w:hAnsi="仿宋" w:eastAsia="仿宋" w:cs="仿宋"/>
          <w:spacing w:val="6"/>
          <w:sz w:val="31"/>
          <w:szCs w:val="31"/>
        </w:rPr>
        <w:t>投入、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向公司制企业认购股权、股份等方面的资本性支出。</w:t>
      </w:r>
    </w:p>
    <w:p>
      <w:pPr>
        <w:spacing w:before="220" w:line="570" w:lineRule="exact"/>
        <w:ind w:left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19"/>
          <w:sz w:val="31"/>
          <w:szCs w:val="31"/>
        </w:rPr>
        <w:t>(二)费用性支出：用于弥补国有企业改革成本性支出、解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决国有企业历史遗留问题以及对企业监管等方面的补助性支</w:t>
      </w:r>
      <w:r>
        <w:rPr>
          <w:rFonts w:ascii="仿宋" w:hAnsi="仿宋" w:eastAsia="仿宋" w:cs="仿宋"/>
          <w:spacing w:val="6"/>
          <w:sz w:val="31"/>
          <w:szCs w:val="31"/>
        </w:rPr>
        <w:t>出。</w:t>
      </w:r>
    </w:p>
    <w:p>
      <w:pPr>
        <w:spacing w:before="202" w:line="573" w:lineRule="exact"/>
        <w:ind w:left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19"/>
          <w:sz w:val="31"/>
          <w:szCs w:val="31"/>
        </w:rPr>
        <w:t>(三)其他支出：依据国家、自治区、市和我旗宏观经济政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策以及不同时期国有企业改革和发展任务，统筹安排确定。</w:t>
      </w:r>
    </w:p>
    <w:p>
      <w:pPr>
        <w:spacing w:before="222" w:line="602" w:lineRule="exact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8"/>
          <w:position w:val="21"/>
          <w:sz w:val="31"/>
          <w:szCs w:val="31"/>
        </w:rPr>
        <w:t>第十五条</w:t>
      </w:r>
      <w:r>
        <w:rPr>
          <w:rFonts w:ascii="仿宋" w:hAnsi="仿宋" w:eastAsia="仿宋" w:cs="仿宋"/>
          <w:spacing w:val="8"/>
          <w:position w:val="21"/>
          <w:sz w:val="31"/>
          <w:szCs w:val="31"/>
        </w:rPr>
        <w:t xml:space="preserve">  国有资本经营预算的支出项目，由企业申请，旗</w:t>
      </w:r>
    </w:p>
    <w:p>
      <w:pPr>
        <w:spacing w:before="2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国资预算单位根据旗政府对产业发展、国资国企改革</w:t>
      </w:r>
      <w:r>
        <w:rPr>
          <w:rFonts w:ascii="仿宋" w:hAnsi="仿宋" w:eastAsia="仿宋" w:cs="仿宋"/>
          <w:spacing w:val="8"/>
          <w:sz w:val="31"/>
          <w:szCs w:val="31"/>
        </w:rPr>
        <w:t>发展以及国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11" w:type="default"/>
          <w:pgSz w:w="11900" w:h="16820"/>
          <w:pgMar w:top="1429" w:right="1477" w:bottom="1405" w:left="1370" w:header="0" w:footer="1099" w:gutter="0"/>
          <w:cols w:space="720" w:num="1"/>
        </w:sectPr>
      </w:pPr>
    </w:p>
    <w:p>
      <w:pPr>
        <w:pStyle w:val="2"/>
        <w:spacing w:line="442" w:lineRule="auto"/>
      </w:pPr>
    </w:p>
    <w:p>
      <w:pPr>
        <w:spacing w:before="100" w:line="604" w:lineRule="exac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22"/>
          <w:sz w:val="31"/>
          <w:szCs w:val="31"/>
        </w:rPr>
        <w:t>资监管等要求和相关工作需要，在编制国有资本经营预算建议草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案时提出国有资本经营预算支出项目计划。</w:t>
      </w:r>
    </w:p>
    <w:p>
      <w:pPr>
        <w:spacing w:before="164" w:line="635" w:lineRule="exact"/>
        <w:ind w:left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0"/>
          <w:position w:val="24"/>
          <w:sz w:val="31"/>
          <w:szCs w:val="31"/>
        </w:rPr>
        <w:t>第十六条</w:t>
      </w:r>
      <w:r>
        <w:rPr>
          <w:rFonts w:ascii="仿宋" w:hAnsi="仿宋" w:eastAsia="仿宋" w:cs="仿宋"/>
          <w:spacing w:val="20"/>
          <w:position w:val="24"/>
          <w:sz w:val="31"/>
          <w:szCs w:val="31"/>
        </w:rPr>
        <w:t xml:space="preserve">  旗国资预算单位和预算企业申报的项目应当具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备以下条件：</w:t>
      </w:r>
    </w:p>
    <w:p>
      <w:pPr>
        <w:spacing w:before="154" w:line="221" w:lineRule="auto"/>
        <w:ind w:left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(一)符合国家、自治区和市委政府的方针政策。</w:t>
      </w:r>
    </w:p>
    <w:p>
      <w:pPr>
        <w:spacing w:before="229" w:line="221" w:lineRule="auto"/>
        <w:ind w:left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(二)符合国家产业导向或部门履行职能需要。</w:t>
      </w:r>
    </w:p>
    <w:p>
      <w:pPr>
        <w:spacing w:before="197" w:line="616" w:lineRule="exact"/>
        <w:ind w:left="7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position w:val="22"/>
          <w:sz w:val="31"/>
          <w:szCs w:val="31"/>
        </w:rPr>
        <w:t>(三)支出项目要有明确的绩效目标和实施计划，并经过充</w:t>
      </w:r>
    </w:p>
    <w:p>
      <w:pPr>
        <w:spacing w:before="1"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分论证。</w:t>
      </w:r>
    </w:p>
    <w:p>
      <w:pPr>
        <w:spacing w:before="167" w:line="358" w:lineRule="auto"/>
        <w:ind w:right="133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9"/>
          <w:sz w:val="31"/>
          <w:szCs w:val="31"/>
        </w:rPr>
        <w:t>第十七条</w:t>
      </w:r>
      <w:r>
        <w:rPr>
          <w:rFonts w:ascii="仿宋" w:hAnsi="仿宋" w:eastAsia="仿宋" w:cs="仿宋"/>
          <w:spacing w:val="1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旗国有资本经营预算的支出方向和重点，将根据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我旗经济发展需要以及不同时期国有企业改革</w:t>
      </w:r>
      <w:r>
        <w:rPr>
          <w:rFonts w:ascii="仿宋" w:hAnsi="仿宋" w:eastAsia="仿宋" w:cs="仿宋"/>
          <w:spacing w:val="20"/>
          <w:sz w:val="31"/>
          <w:szCs w:val="31"/>
        </w:rPr>
        <w:t>发展任务适时进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行调整。</w:t>
      </w:r>
    </w:p>
    <w:p>
      <w:pPr>
        <w:pStyle w:val="2"/>
        <w:spacing w:line="326" w:lineRule="auto"/>
      </w:pPr>
    </w:p>
    <w:p>
      <w:pPr>
        <w:pStyle w:val="2"/>
        <w:spacing w:line="326" w:lineRule="auto"/>
      </w:pPr>
    </w:p>
    <w:p>
      <w:pPr>
        <w:spacing w:before="101" w:line="221" w:lineRule="auto"/>
        <w:ind w:left="30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第五章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预算编制和批复</w:t>
      </w:r>
    </w:p>
    <w:p>
      <w:pPr>
        <w:pStyle w:val="2"/>
        <w:spacing w:line="337" w:lineRule="auto"/>
      </w:pPr>
    </w:p>
    <w:p>
      <w:pPr>
        <w:pStyle w:val="2"/>
        <w:spacing w:line="337" w:lineRule="auto"/>
      </w:pPr>
    </w:p>
    <w:p>
      <w:pPr>
        <w:spacing w:before="101" w:line="221" w:lineRule="auto"/>
        <w:ind w:left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第十八条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国有资本经营预算按年度单独编制，</w:t>
      </w:r>
      <w:r>
        <w:rPr>
          <w:rFonts w:ascii="仿宋" w:hAnsi="仿宋" w:eastAsia="仿宋" w:cs="仿宋"/>
          <w:spacing w:val="6"/>
          <w:sz w:val="31"/>
          <w:szCs w:val="31"/>
        </w:rPr>
        <w:t>具体编制程</w:t>
      </w:r>
    </w:p>
    <w:p>
      <w:pPr>
        <w:spacing w:before="254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序如下：</w:t>
      </w:r>
    </w:p>
    <w:p>
      <w:pPr>
        <w:spacing w:before="155" w:line="351" w:lineRule="auto"/>
        <w:ind w:firstLine="80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(一)布置下达。财政局结合编制年度部门预算的相关要求，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向国资预算单位下发编报下年度国有资本经营预算建议草</w:t>
      </w:r>
      <w:r>
        <w:rPr>
          <w:rFonts w:ascii="仿宋" w:hAnsi="仿宋" w:eastAsia="仿宋" w:cs="仿宋"/>
          <w:spacing w:val="22"/>
          <w:sz w:val="31"/>
          <w:szCs w:val="31"/>
        </w:rPr>
        <w:t>案的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通知；国资预算单位向所监管企业下发编报国有资本经营预算的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通知，并组织企业开展相关工作。</w:t>
      </w:r>
    </w:p>
    <w:p>
      <w:pPr>
        <w:spacing w:before="192" w:line="580" w:lineRule="exact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20"/>
          <w:sz w:val="31"/>
          <w:szCs w:val="31"/>
        </w:rPr>
        <w:t>(二)申报计划。国资预算企业根据编制要求，结合本企业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实际情况，向国资预算单位报送本企业国有资本经营</w:t>
      </w:r>
      <w:r>
        <w:rPr>
          <w:rFonts w:ascii="仿宋" w:hAnsi="仿宋" w:eastAsia="仿宋" w:cs="仿宋"/>
          <w:spacing w:val="5"/>
          <w:sz w:val="31"/>
          <w:szCs w:val="31"/>
        </w:rPr>
        <w:t>预算报表。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12" w:type="default"/>
          <w:pgSz w:w="11900" w:h="16820"/>
          <w:pgMar w:top="1429" w:right="1415" w:bottom="1525" w:left="1420" w:header="0" w:footer="1178" w:gutter="0"/>
          <w:cols w:space="720" w:num="1"/>
        </w:sectPr>
      </w:pPr>
    </w:p>
    <w:p>
      <w:pPr>
        <w:pStyle w:val="2"/>
        <w:spacing w:line="266" w:lineRule="auto"/>
      </w:pPr>
    </w:p>
    <w:p>
      <w:pPr>
        <w:pStyle w:val="2"/>
        <w:spacing w:line="266" w:lineRule="auto"/>
      </w:pPr>
    </w:p>
    <w:p>
      <w:pPr>
        <w:spacing w:before="104" w:line="334" w:lineRule="auto"/>
        <w:ind w:firstLine="8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</w:rPr>
        <w:t>(三)审核上报。国资预算单位根据所监管企业报送的国有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资本经营预算报表，编制本部门国有资本经营预算建议草案，报</w:t>
      </w:r>
    </w:p>
    <w:p>
      <w:pPr>
        <w:spacing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送财政局审核。财政局审核并汇总编制国有资本经营预算草案，</w:t>
      </w:r>
    </w:p>
    <w:p>
      <w:pPr>
        <w:spacing w:before="198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经旗人民政府审定通过后，提请旗人大审议。</w:t>
      </w:r>
    </w:p>
    <w:p>
      <w:pPr>
        <w:spacing w:before="186" w:line="336" w:lineRule="auto"/>
        <w:ind w:right="51" w:firstLine="66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"/>
          <w:sz w:val="32"/>
          <w:szCs w:val="32"/>
        </w:rPr>
        <w:t>第十九条</w:t>
      </w:r>
      <w:r>
        <w:rPr>
          <w:rFonts w:ascii="仿宋" w:hAnsi="仿宋" w:eastAsia="仿宋" w:cs="仿宋"/>
          <w:spacing w:val="-1"/>
          <w:sz w:val="32"/>
          <w:szCs w:val="32"/>
        </w:rPr>
        <w:t xml:space="preserve">  国有资本经营预算草案经旗人大批准后，财政局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1"/>
          <w:sz w:val="32"/>
          <w:szCs w:val="32"/>
        </w:rPr>
        <w:t>在20日内向国资预算单位批复预算。国资预算单位在接到财政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局批复之日起15</w:t>
      </w:r>
      <w:r>
        <w:rPr>
          <w:rFonts w:ascii="仿宋" w:hAnsi="仿宋" w:eastAsia="仿宋" w:cs="仿宋"/>
          <w:spacing w:val="-4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日内向所监管企业批复预算，并抄送</w:t>
      </w:r>
      <w:r>
        <w:rPr>
          <w:rFonts w:ascii="仿宋" w:hAnsi="仿宋" w:eastAsia="仿宋" w:cs="仿宋"/>
          <w:spacing w:val="6"/>
          <w:sz w:val="32"/>
          <w:szCs w:val="32"/>
        </w:rPr>
        <w:t>财政局备</w:t>
      </w:r>
    </w:p>
    <w:p>
      <w:pPr>
        <w:spacing w:line="223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案。</w:t>
      </w:r>
    </w:p>
    <w:p>
      <w:pPr>
        <w:spacing w:before="197" w:line="618" w:lineRule="exact"/>
        <w:ind w:right="5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"/>
          <w:position w:val="22"/>
          <w:sz w:val="32"/>
          <w:szCs w:val="32"/>
        </w:rPr>
        <w:t>第二十条</w:t>
      </w:r>
      <w:r>
        <w:rPr>
          <w:rFonts w:ascii="仿宋" w:hAnsi="仿宋" w:eastAsia="仿宋" w:cs="仿宋"/>
          <w:spacing w:val="-1"/>
          <w:position w:val="22"/>
          <w:sz w:val="32"/>
          <w:szCs w:val="32"/>
        </w:rPr>
        <w:t xml:space="preserve">  国有资本经营预算支出，按其功能分类应编制到</w:t>
      </w:r>
    </w:p>
    <w:p>
      <w:pPr>
        <w:spacing w:line="220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6"/>
          <w:sz w:val="32"/>
          <w:szCs w:val="32"/>
        </w:rPr>
        <w:t>项。</w:t>
      </w:r>
    </w:p>
    <w:p>
      <w:pPr>
        <w:pStyle w:val="2"/>
        <w:spacing w:line="330" w:lineRule="auto"/>
      </w:pPr>
    </w:p>
    <w:p>
      <w:pPr>
        <w:pStyle w:val="2"/>
        <w:spacing w:line="330" w:lineRule="auto"/>
      </w:pPr>
    </w:p>
    <w:p>
      <w:pPr>
        <w:spacing w:before="105" w:line="219" w:lineRule="auto"/>
        <w:ind w:left="35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6"/>
          <w:sz w:val="32"/>
          <w:szCs w:val="32"/>
        </w:rPr>
        <w:t>第六章</w:t>
      </w:r>
      <w:r>
        <w:rPr>
          <w:rFonts w:ascii="黑体" w:hAnsi="黑体" w:eastAsia="黑体" w:cs="黑体"/>
          <w:spacing w:val="-6"/>
          <w:sz w:val="32"/>
          <w:szCs w:val="32"/>
        </w:rPr>
        <w:t xml:space="preserve">  </w:t>
      </w:r>
      <w:r>
        <w:rPr>
          <w:rFonts w:ascii="黑体" w:hAnsi="黑体" w:eastAsia="黑体" w:cs="黑体"/>
          <w:b/>
          <w:bCs/>
          <w:spacing w:val="-6"/>
          <w:sz w:val="32"/>
          <w:szCs w:val="32"/>
        </w:rPr>
        <w:t>预算执行</w:t>
      </w:r>
    </w:p>
    <w:p>
      <w:pPr>
        <w:pStyle w:val="2"/>
        <w:spacing w:line="332" w:lineRule="auto"/>
      </w:pPr>
    </w:p>
    <w:p>
      <w:pPr>
        <w:pStyle w:val="2"/>
        <w:spacing w:line="332" w:lineRule="auto"/>
      </w:pPr>
    </w:p>
    <w:p>
      <w:pPr>
        <w:spacing w:before="104" w:line="592" w:lineRule="exact"/>
        <w:ind w:right="24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position w:val="20"/>
          <w:sz w:val="32"/>
          <w:szCs w:val="32"/>
        </w:rPr>
        <w:t>第二十一条</w:t>
      </w:r>
      <w:r>
        <w:rPr>
          <w:rFonts w:ascii="仿宋" w:hAnsi="仿宋" w:eastAsia="仿宋" w:cs="仿宋"/>
          <w:position w:val="20"/>
          <w:sz w:val="32"/>
          <w:szCs w:val="32"/>
        </w:rPr>
        <w:t xml:space="preserve">  国资预算企业上交国有资本经营收</w:t>
      </w:r>
      <w:r>
        <w:rPr>
          <w:rFonts w:ascii="仿宋" w:hAnsi="仿宋" w:eastAsia="仿宋" w:cs="仿宋"/>
          <w:spacing w:val="-1"/>
          <w:position w:val="20"/>
          <w:sz w:val="32"/>
          <w:szCs w:val="32"/>
        </w:rPr>
        <w:t>益，按照以</w:t>
      </w:r>
    </w:p>
    <w:p>
      <w:pPr>
        <w:spacing w:before="1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下程序执行：</w:t>
      </w:r>
    </w:p>
    <w:p>
      <w:pPr>
        <w:spacing w:before="198" w:line="334" w:lineRule="auto"/>
        <w:ind w:right="57" w:firstLine="7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</w:rPr>
        <w:t>(一)国资预算单位收到所监管企业上报的国有资本收益申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报表及相关资料后，在20个工作日内提出初审意见，报送财政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局复核。财政局根据企业上报的申报表及相关资料和国资预算单</w:t>
      </w:r>
    </w:p>
    <w:p>
      <w:pPr>
        <w:spacing w:before="1" w:line="219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5"/>
          <w:sz w:val="32"/>
          <w:szCs w:val="32"/>
        </w:rPr>
        <w:t>位的审核意见，在20个工作日内提出复核意见。</w:t>
      </w:r>
    </w:p>
    <w:p>
      <w:pPr>
        <w:spacing w:before="192" w:line="583" w:lineRule="exact"/>
        <w:ind w:left="7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position w:val="19"/>
          <w:sz w:val="32"/>
          <w:szCs w:val="32"/>
        </w:rPr>
        <w:t>(二)财政局根据复核意见向国资预算单位和国资预算企业</w:t>
      </w:r>
    </w:p>
    <w:p>
      <w:pPr>
        <w:spacing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下达国有资本经营收益上交通知；</w:t>
      </w:r>
    </w:p>
    <w:p>
      <w:pPr>
        <w:spacing w:before="193" w:line="222" w:lineRule="auto"/>
        <w:ind w:left="7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</w:rPr>
        <w:t>(三)企业按照通知要求将国有资本经营收益缴入</w:t>
      </w:r>
      <w:r>
        <w:rPr>
          <w:rFonts w:ascii="仿宋" w:hAnsi="仿宋" w:eastAsia="仿宋" w:cs="仿宋"/>
          <w:spacing w:val="6"/>
          <w:sz w:val="32"/>
          <w:szCs w:val="32"/>
        </w:rPr>
        <w:t>非税收入</w:t>
      </w:r>
    </w:p>
    <w:p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13" w:type="default"/>
          <w:pgSz w:w="12050" w:h="16930"/>
          <w:pgMar w:top="1439" w:right="1557" w:bottom="1504" w:left="1469" w:header="0" w:footer="1187" w:gutter="0"/>
          <w:cols w:space="720" w:num="1"/>
        </w:sectPr>
      </w:pPr>
    </w:p>
    <w:p>
      <w:pPr>
        <w:pStyle w:val="2"/>
        <w:spacing w:line="457" w:lineRule="auto"/>
      </w:pPr>
    </w:p>
    <w:p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专户，办理国有资本收益缴库手续。</w:t>
      </w:r>
    </w:p>
    <w:p>
      <w:pPr>
        <w:spacing w:before="162" w:line="359" w:lineRule="auto"/>
        <w:ind w:right="18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第二十二条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国资预算企业应当及时、足额上交国有资本经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营收益。任何部门和单位不得擅自减免、挪用国有资本经营预算</w:t>
      </w:r>
    </w:p>
    <w:p>
      <w:pPr>
        <w:spacing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收益。</w:t>
      </w:r>
    </w:p>
    <w:p>
      <w:pPr>
        <w:spacing w:before="159" w:line="632" w:lineRule="exact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0"/>
          <w:position w:val="24"/>
          <w:sz w:val="31"/>
          <w:szCs w:val="31"/>
        </w:rPr>
        <w:t>第二十三条</w:t>
      </w:r>
      <w:r>
        <w:rPr>
          <w:rFonts w:ascii="仿宋" w:hAnsi="仿宋" w:eastAsia="仿宋" w:cs="仿宋"/>
          <w:spacing w:val="20"/>
          <w:position w:val="24"/>
          <w:sz w:val="31"/>
          <w:szCs w:val="31"/>
        </w:rPr>
        <w:t xml:space="preserve">  国有资本经营预算支出应当按照经批复的预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算执行，未经批准不得擅自调剂。</w:t>
      </w:r>
    </w:p>
    <w:p>
      <w:pPr>
        <w:spacing w:before="157" w:line="602" w:lineRule="exact"/>
        <w:ind w:right="12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9"/>
          <w:position w:val="21"/>
          <w:sz w:val="31"/>
          <w:szCs w:val="31"/>
        </w:rPr>
        <w:t>第二十四条</w:t>
      </w:r>
      <w:r>
        <w:rPr>
          <w:rFonts w:ascii="仿宋" w:hAnsi="仿宋" w:eastAsia="仿宋" w:cs="仿宋"/>
          <w:spacing w:val="19"/>
          <w:position w:val="21"/>
          <w:sz w:val="31"/>
          <w:szCs w:val="31"/>
        </w:rPr>
        <w:t xml:space="preserve">  国有资本经营预算资金的收支按照财政国库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集中收付制度有关规定执行。</w:t>
      </w:r>
    </w:p>
    <w:p>
      <w:pPr>
        <w:spacing w:before="187" w:line="613" w:lineRule="exact"/>
        <w:ind w:right="16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9"/>
          <w:position w:val="22"/>
          <w:sz w:val="31"/>
          <w:szCs w:val="31"/>
        </w:rPr>
        <w:t>第二十五条</w:t>
      </w:r>
      <w:r>
        <w:rPr>
          <w:rFonts w:ascii="仿宋" w:hAnsi="仿宋" w:eastAsia="仿宋" w:cs="仿宋"/>
          <w:spacing w:val="19"/>
          <w:position w:val="22"/>
          <w:sz w:val="31"/>
          <w:szCs w:val="31"/>
        </w:rPr>
        <w:t xml:space="preserve">  国有资本经营预算结余资金应当在下一年度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预算编制中统筹考虑。</w:t>
      </w:r>
    </w:p>
    <w:p>
      <w:pPr>
        <w:pStyle w:val="2"/>
        <w:spacing w:line="330" w:lineRule="auto"/>
      </w:pPr>
    </w:p>
    <w:p>
      <w:pPr>
        <w:pStyle w:val="2"/>
        <w:spacing w:line="330" w:lineRule="auto"/>
      </w:pPr>
    </w:p>
    <w:p>
      <w:pPr>
        <w:spacing w:before="101" w:line="222" w:lineRule="auto"/>
        <w:ind w:left="3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第七章</w:t>
      </w:r>
      <w:r>
        <w:rPr>
          <w:rFonts w:ascii="黑体" w:hAnsi="黑体" w:eastAsia="黑体" w:cs="黑体"/>
          <w:spacing w:val="1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预算调整</w:t>
      </w:r>
    </w:p>
    <w:p>
      <w:pPr>
        <w:pStyle w:val="2"/>
        <w:spacing w:line="341" w:lineRule="auto"/>
      </w:pPr>
    </w:p>
    <w:p>
      <w:pPr>
        <w:pStyle w:val="2"/>
        <w:spacing w:line="341" w:lineRule="auto"/>
      </w:pPr>
    </w:p>
    <w:p>
      <w:pPr>
        <w:spacing w:before="101" w:line="219" w:lineRule="auto"/>
        <w:ind w:right="20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8"/>
          <w:sz w:val="31"/>
          <w:szCs w:val="31"/>
        </w:rPr>
        <w:t>第二十六条</w:t>
      </w:r>
      <w:r>
        <w:rPr>
          <w:rFonts w:ascii="仿宋" w:hAnsi="仿宋" w:eastAsia="仿宋" w:cs="仿宋"/>
          <w:spacing w:val="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经旗人代会批准的国有资本经营预算，在执行</w:t>
      </w:r>
    </w:p>
    <w:p>
      <w:pPr>
        <w:spacing w:before="224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中出现下列情况之一的，应当进行预算调整：</w:t>
      </w:r>
    </w:p>
    <w:p>
      <w:pPr>
        <w:spacing w:before="210" w:line="222" w:lineRule="auto"/>
        <w:ind w:left="8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(一)需要增加或者减少预算总支出的。</w:t>
      </w:r>
    </w:p>
    <w:p>
      <w:pPr>
        <w:spacing w:before="197" w:line="222" w:lineRule="auto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(二)需要调整预算安排的重点支出数额的。</w:t>
      </w:r>
    </w:p>
    <w:p>
      <w:pPr>
        <w:spacing w:before="187" w:line="358" w:lineRule="auto"/>
        <w:ind w:firstLine="63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财政局负责编制国有资本经营预算调整方案，说明</w:t>
      </w:r>
      <w:r>
        <w:rPr>
          <w:rFonts w:ascii="仿宋" w:hAnsi="仿宋" w:eastAsia="仿宋" w:cs="仿宋"/>
          <w:spacing w:val="8"/>
          <w:sz w:val="31"/>
          <w:szCs w:val="31"/>
        </w:rPr>
        <w:t>预算调整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的理由、项目和数额，按照规定程序，报送旗人代会常务委员会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审查和批准。</w:t>
      </w:r>
    </w:p>
    <w:p>
      <w:pPr>
        <w:spacing w:before="162" w:line="594" w:lineRule="exact"/>
        <w:ind w:right="9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position w:val="21"/>
          <w:sz w:val="31"/>
          <w:szCs w:val="31"/>
        </w:rPr>
        <w:t>第二十七条</w:t>
      </w:r>
      <w:r>
        <w:rPr>
          <w:rFonts w:ascii="仿宋" w:hAnsi="仿宋" w:eastAsia="仿宋" w:cs="仿宋"/>
          <w:spacing w:val="7"/>
          <w:position w:val="21"/>
          <w:sz w:val="31"/>
          <w:szCs w:val="31"/>
        </w:rPr>
        <w:t xml:space="preserve">  国资预算单位或企业因国家、自治区、市委和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市政府政策调整等特殊情况或其他调整因素需要调整预算的，应</w:t>
      </w:r>
    </w:p>
    <w:p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14" w:type="default"/>
          <w:pgSz w:w="11900" w:h="16820"/>
          <w:pgMar w:top="1429" w:right="1547" w:bottom="1528" w:left="1420" w:header="0" w:footer="1219" w:gutter="0"/>
          <w:cols w:space="720" w:num="1"/>
        </w:sectPr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spacing w:before="104" w:line="220" w:lineRule="auto"/>
        <w:ind w:left="1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以书面形式提出申请，报财政局审核。</w:t>
      </w:r>
    </w:p>
    <w:p>
      <w:pPr>
        <w:spacing w:before="198" w:line="351" w:lineRule="auto"/>
        <w:ind w:right="24" w:firstLine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第二十八条</w:t>
      </w:r>
      <w:r>
        <w:rPr>
          <w:rFonts w:ascii="仿宋" w:hAnsi="仿宋" w:eastAsia="仿宋" w:cs="仿宋"/>
          <w:spacing w:val="-3"/>
          <w:sz w:val="32"/>
          <w:szCs w:val="32"/>
        </w:rPr>
        <w:t xml:space="preserve">  年度国有资本经营预算确定后，企业改变产权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或财务隶属关系引起预算级次和关系变化的，应当同时办理预算</w:t>
      </w:r>
    </w:p>
    <w:p>
      <w:pPr>
        <w:spacing w:before="1" w:line="218" w:lineRule="auto"/>
        <w:ind w:left="199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13"/>
          <w:sz w:val="26"/>
          <w:szCs w:val="26"/>
        </w:rPr>
        <w:t>划转手续。</w:t>
      </w:r>
    </w:p>
    <w:p>
      <w:pPr>
        <w:pStyle w:val="2"/>
        <w:spacing w:line="352" w:lineRule="auto"/>
      </w:pPr>
    </w:p>
    <w:p>
      <w:pPr>
        <w:pStyle w:val="2"/>
        <w:spacing w:line="353" w:lineRule="auto"/>
      </w:pPr>
    </w:p>
    <w:p>
      <w:pPr>
        <w:spacing w:before="104" w:line="221" w:lineRule="auto"/>
        <w:ind w:left="350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第八章</w:t>
      </w:r>
      <w:r>
        <w:rPr>
          <w:rFonts w:ascii="黑体" w:hAnsi="黑体" w:eastAsia="黑体" w:cs="黑体"/>
          <w:spacing w:val="-9"/>
          <w:sz w:val="32"/>
          <w:szCs w:val="32"/>
        </w:rPr>
        <w:t xml:space="preserve">  </w:t>
      </w: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绩效管理</w:t>
      </w:r>
    </w:p>
    <w:p>
      <w:pPr>
        <w:pStyle w:val="2"/>
        <w:spacing w:line="333" w:lineRule="auto"/>
      </w:pPr>
    </w:p>
    <w:p>
      <w:pPr>
        <w:pStyle w:val="2"/>
        <w:spacing w:line="334" w:lineRule="auto"/>
      </w:pPr>
    </w:p>
    <w:p>
      <w:pPr>
        <w:spacing w:before="104" w:line="336" w:lineRule="auto"/>
        <w:ind w:right="8" w:firstLine="65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第二十九条</w:t>
      </w:r>
      <w:r>
        <w:rPr>
          <w:rFonts w:ascii="仿宋" w:hAnsi="仿宋" w:eastAsia="仿宋" w:cs="仿宋"/>
          <w:spacing w:val="16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建立国有资本经营预算资金绩效评价制度。国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资预算单位申请使用国有资本经营预算资金时，应按规定确定资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金使用的绩效目标，作为开展绩效自评和重点项目绩效评价的依</w:t>
      </w:r>
    </w:p>
    <w:p>
      <w:pPr>
        <w:spacing w:line="223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据。</w:t>
      </w:r>
    </w:p>
    <w:p>
      <w:pPr>
        <w:spacing w:before="188" w:line="336" w:lineRule="auto"/>
        <w:ind w:firstLine="65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12"/>
          <w:sz w:val="32"/>
          <w:szCs w:val="32"/>
        </w:rPr>
        <w:t>第三十条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12"/>
          <w:sz w:val="32"/>
          <w:szCs w:val="32"/>
        </w:rPr>
        <w:t>财政局对国有资本经营预算资金开展重点项目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1"/>
          <w:sz w:val="32"/>
          <w:szCs w:val="32"/>
        </w:rPr>
        <w:t>绩效评价，评价结果作为下一年度编制资金支出</w:t>
      </w:r>
      <w:r>
        <w:rPr>
          <w:rFonts w:ascii="仿宋" w:hAnsi="仿宋" w:eastAsia="仿宋" w:cs="仿宋"/>
          <w:spacing w:val="10"/>
          <w:sz w:val="32"/>
          <w:szCs w:val="32"/>
        </w:rPr>
        <w:t>计划的重要依</w:t>
      </w:r>
    </w:p>
    <w:p>
      <w:pPr>
        <w:spacing w:before="1" w:line="223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据。</w:t>
      </w:r>
    </w:p>
    <w:p>
      <w:pPr>
        <w:spacing w:before="197" w:line="585" w:lineRule="exact"/>
        <w:ind w:right="27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10"/>
          <w:position w:val="19"/>
          <w:sz w:val="32"/>
          <w:szCs w:val="32"/>
        </w:rPr>
        <w:t>第三十一条</w:t>
      </w:r>
      <w:r>
        <w:rPr>
          <w:rFonts w:ascii="仿宋" w:hAnsi="仿宋" w:eastAsia="仿宋" w:cs="仿宋"/>
          <w:spacing w:val="10"/>
          <w:position w:val="19"/>
          <w:sz w:val="32"/>
          <w:szCs w:val="32"/>
        </w:rPr>
        <w:t xml:space="preserve">  国资预算单位应将所监管企业按规定及</w:t>
      </w:r>
      <w:r>
        <w:rPr>
          <w:rFonts w:ascii="仿宋" w:hAnsi="仿宋" w:eastAsia="仿宋" w:cs="仿宋"/>
          <w:spacing w:val="9"/>
          <w:position w:val="19"/>
          <w:sz w:val="32"/>
          <w:szCs w:val="32"/>
        </w:rPr>
        <w:t>时足</w:t>
      </w:r>
    </w:p>
    <w:p>
      <w:pPr>
        <w:spacing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额上交国有资本经营收益的情况纳入企业负责人经</w:t>
      </w:r>
      <w:r>
        <w:rPr>
          <w:rFonts w:ascii="仿宋" w:hAnsi="仿宋" w:eastAsia="仿宋" w:cs="仿宋"/>
          <w:spacing w:val="-3"/>
          <w:sz w:val="32"/>
          <w:szCs w:val="32"/>
        </w:rPr>
        <w:t>营业绩考核。</w:t>
      </w:r>
    </w:p>
    <w:p>
      <w:pPr>
        <w:pStyle w:val="2"/>
        <w:spacing w:line="325" w:lineRule="auto"/>
      </w:pPr>
    </w:p>
    <w:p>
      <w:pPr>
        <w:pStyle w:val="2"/>
        <w:spacing w:line="326" w:lineRule="auto"/>
      </w:pPr>
    </w:p>
    <w:p>
      <w:pPr>
        <w:spacing w:before="105" w:line="221" w:lineRule="auto"/>
        <w:ind w:left="355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第九章</w:t>
      </w:r>
      <w:r>
        <w:rPr>
          <w:rFonts w:ascii="黑体" w:hAnsi="黑体" w:eastAsia="黑体" w:cs="黑体"/>
          <w:spacing w:val="-8"/>
          <w:sz w:val="32"/>
          <w:szCs w:val="32"/>
        </w:rPr>
        <w:t xml:space="preserve">  </w:t>
      </w:r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监督检查</w:t>
      </w:r>
    </w:p>
    <w:p>
      <w:pPr>
        <w:spacing w:before="115"/>
      </w:pPr>
    </w:p>
    <w:p>
      <w:pPr>
        <w:spacing w:before="114"/>
      </w:pPr>
    </w:p>
    <w:p>
      <w:pPr>
        <w:sectPr>
          <w:footerReference r:id="rId15" w:type="default"/>
          <w:pgSz w:w="11900" w:h="16820"/>
          <w:pgMar w:top="1429" w:right="1561" w:bottom="1435" w:left="1380" w:header="0" w:footer="1117" w:gutter="0"/>
          <w:cols w:equalWidth="0" w:num="1">
            <w:col w:w="8959"/>
          </w:cols>
        </w:sectPr>
      </w:pPr>
    </w:p>
    <w:p>
      <w:pPr>
        <w:spacing w:before="66" w:line="222" w:lineRule="auto"/>
        <w:ind w:left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9"/>
          <w:sz w:val="32"/>
          <w:szCs w:val="32"/>
        </w:rPr>
        <w:t>第三十二条</w:t>
      </w:r>
    </w:p>
    <w:p>
      <w:pPr>
        <w:spacing w:before="206" w:line="221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行情况。</w:t>
      </w:r>
    </w:p>
    <w:p>
      <w:pPr>
        <w:spacing w:before="205" w:line="189" w:lineRule="auto"/>
        <w:ind w:left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5"/>
          <w:sz w:val="32"/>
          <w:szCs w:val="32"/>
        </w:rPr>
        <w:t>第三十三条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4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财政局负责监督、检查国有资本经营预算的执</w:t>
      </w:r>
    </w:p>
    <w:p>
      <w:pPr>
        <w:pStyle w:val="2"/>
        <w:spacing w:line="344" w:lineRule="auto"/>
      </w:pPr>
    </w:p>
    <w:p>
      <w:pPr>
        <w:pStyle w:val="2"/>
        <w:spacing w:line="345" w:lineRule="auto"/>
      </w:pPr>
    </w:p>
    <w:p>
      <w:pPr>
        <w:spacing w:before="105" w:line="189" w:lineRule="auto"/>
        <w:ind w:left="11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国资预算单位应加强对所监管企业国有资本</w:t>
      </w:r>
    </w:p>
    <w:p>
      <w:pPr>
        <w:spacing w:line="189" w:lineRule="auto"/>
        <w:rPr>
          <w:rFonts w:ascii="仿宋" w:hAnsi="仿宋" w:eastAsia="仿宋" w:cs="仿宋"/>
          <w:sz w:val="32"/>
          <w:szCs w:val="32"/>
        </w:rPr>
        <w:sectPr>
          <w:type w:val="continuous"/>
          <w:pgSz w:w="11900" w:h="16820"/>
          <w:pgMar w:top="1429" w:right="1561" w:bottom="1435" w:left="1380" w:header="0" w:footer="1117" w:gutter="0"/>
          <w:cols w:equalWidth="0" w:num="2">
            <w:col w:w="2440" w:space="100"/>
            <w:col w:w="6419"/>
          </w:cols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spacing w:before="98" w:line="358" w:lineRule="auto"/>
        <w:ind w:right="36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经营预算管理工作的监督，提高企业会计信息质量，</w:t>
      </w:r>
      <w:r>
        <w:rPr>
          <w:rFonts w:ascii="仿宋" w:hAnsi="仿宋" w:eastAsia="仿宋" w:cs="仿宋"/>
          <w:spacing w:val="17"/>
          <w:sz w:val="30"/>
          <w:szCs w:val="30"/>
        </w:rPr>
        <w:t>真实反映企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业的财务状况和经营成果，对预算执行过程中的违法</w:t>
      </w:r>
      <w:r>
        <w:rPr>
          <w:rFonts w:ascii="仿宋" w:hAnsi="仿宋" w:eastAsia="仿宋" w:cs="仿宋"/>
          <w:spacing w:val="17"/>
          <w:sz w:val="30"/>
          <w:szCs w:val="30"/>
        </w:rPr>
        <w:t>违规行为依</w:t>
      </w:r>
    </w:p>
    <w:p>
      <w:pPr>
        <w:spacing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法予以制止和纠正。</w:t>
      </w:r>
    </w:p>
    <w:p>
      <w:pPr>
        <w:spacing w:before="206" w:line="592" w:lineRule="exact"/>
        <w:ind w:right="8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8"/>
          <w:position w:val="21"/>
          <w:sz w:val="30"/>
          <w:szCs w:val="30"/>
        </w:rPr>
        <w:t>第三十四条</w:t>
      </w:r>
      <w:r>
        <w:rPr>
          <w:rFonts w:ascii="仿宋" w:hAnsi="仿宋" w:eastAsia="仿宋" w:cs="仿宋"/>
          <w:spacing w:val="28"/>
          <w:position w:val="21"/>
          <w:sz w:val="30"/>
          <w:szCs w:val="30"/>
        </w:rPr>
        <w:t xml:space="preserve">  审计部门依法对国有资本经营预算的执行情</w:t>
      </w:r>
    </w:p>
    <w:p>
      <w:pPr>
        <w:spacing w:before="1"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况进行审计监督。</w:t>
      </w:r>
    </w:p>
    <w:p>
      <w:pPr>
        <w:spacing w:before="209" w:line="591" w:lineRule="exact"/>
        <w:ind w:right="6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7"/>
          <w:position w:val="21"/>
          <w:sz w:val="30"/>
          <w:szCs w:val="30"/>
        </w:rPr>
        <w:t>第三十五条</w:t>
      </w:r>
      <w:r>
        <w:rPr>
          <w:rFonts w:ascii="仿宋" w:hAnsi="仿宋" w:eastAsia="仿宋" w:cs="仿宋"/>
          <w:spacing w:val="7"/>
          <w:position w:val="2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7"/>
          <w:position w:val="21"/>
          <w:sz w:val="30"/>
          <w:szCs w:val="30"/>
        </w:rPr>
        <w:t>财政局和国资预算单位、企业要按照预决算公</w:t>
      </w:r>
    </w:p>
    <w:p>
      <w:pPr>
        <w:spacing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开的相关规定，认真做好国有资本经营预决算公开工作。</w:t>
      </w:r>
    </w:p>
    <w:p>
      <w:pPr>
        <w:spacing w:before="213" w:line="357" w:lineRule="auto"/>
        <w:ind w:right="5" w:firstLine="6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7"/>
          <w:sz w:val="30"/>
          <w:szCs w:val="30"/>
        </w:rPr>
        <w:t>第三十六条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7"/>
          <w:sz w:val="30"/>
          <w:szCs w:val="30"/>
        </w:rPr>
        <w:t>对国有资本经营预算编制、执行、管理等过程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</w:rPr>
        <w:t>中违反本办法规定的，将依照《中华人民共和国预算</w:t>
      </w:r>
      <w:r>
        <w:rPr>
          <w:rFonts w:ascii="仿宋" w:hAnsi="仿宋" w:eastAsia="仿宋" w:cs="仿宋"/>
          <w:spacing w:val="16"/>
          <w:sz w:val="30"/>
          <w:szCs w:val="30"/>
        </w:rPr>
        <w:t>法》《财政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3"/>
          <w:sz w:val="30"/>
          <w:szCs w:val="30"/>
        </w:rPr>
        <w:t>违法行为处罚处分条例》(国务院令第427号)</w:t>
      </w:r>
      <w:r>
        <w:rPr>
          <w:rFonts w:ascii="仿宋" w:hAnsi="仿宋" w:eastAsia="仿宋" w:cs="仿宋"/>
          <w:spacing w:val="32"/>
          <w:sz w:val="30"/>
          <w:szCs w:val="30"/>
        </w:rPr>
        <w:t>等有关规定进行</w:t>
      </w:r>
    </w:p>
    <w:p>
      <w:pPr>
        <w:spacing w:before="2" w:line="22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处理、处罚和处分，依法追究有关单位及相关人员责任。</w:t>
      </w:r>
    </w:p>
    <w:p>
      <w:pPr>
        <w:pStyle w:val="2"/>
        <w:spacing w:line="348" w:lineRule="auto"/>
      </w:pPr>
    </w:p>
    <w:p>
      <w:pPr>
        <w:pStyle w:val="2"/>
        <w:spacing w:line="349" w:lineRule="auto"/>
      </w:pPr>
    </w:p>
    <w:p>
      <w:pPr>
        <w:spacing w:before="98" w:line="222" w:lineRule="auto"/>
        <w:ind w:left="38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第十章</w:t>
      </w:r>
      <w:r>
        <w:rPr>
          <w:rFonts w:ascii="黑体" w:hAnsi="黑体" w:eastAsia="黑体" w:cs="黑体"/>
          <w:spacing w:val="15"/>
          <w:sz w:val="30"/>
          <w:szCs w:val="30"/>
        </w:rPr>
        <w:t xml:space="preserve">  </w:t>
      </w: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附</w:t>
      </w:r>
      <w:r>
        <w:rPr>
          <w:rFonts w:ascii="黑体" w:hAnsi="黑体" w:eastAsia="黑体" w:cs="黑体"/>
          <w:spacing w:val="-6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则</w:t>
      </w:r>
    </w:p>
    <w:p>
      <w:pPr>
        <w:spacing w:before="5"/>
      </w:pPr>
    </w:p>
    <w:p>
      <w:pPr>
        <w:spacing w:before="4"/>
      </w:pPr>
    </w:p>
    <w:p>
      <w:pPr>
        <w:spacing w:before="4"/>
      </w:pPr>
    </w:p>
    <w:p>
      <w:pPr>
        <w:sectPr>
          <w:footerReference r:id="rId16" w:type="default"/>
          <w:pgSz w:w="11900" w:h="16820"/>
          <w:pgMar w:top="1429" w:right="1532" w:bottom="1546" w:left="1430" w:header="0" w:footer="1198" w:gutter="0"/>
          <w:cols w:equalWidth="0" w:num="1">
            <w:col w:w="8938"/>
          </w:cols>
        </w:sectPr>
      </w:pPr>
    </w:p>
    <w:p>
      <w:pPr>
        <w:spacing w:before="62" w:line="222" w:lineRule="auto"/>
        <w:ind w:left="6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第三十七条</w:t>
      </w:r>
    </w:p>
    <w:p>
      <w:pPr>
        <w:spacing w:before="233" w:line="189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解释。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0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9"/>
          <w:sz w:val="30"/>
          <w:szCs w:val="30"/>
        </w:rPr>
        <w:t>本办法自印发之日起施行，由旗人民政府负责</w:t>
      </w:r>
    </w:p>
    <w:p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20"/>
          <w:pgMar w:top="1429" w:right="1532" w:bottom="1546" w:left="1430" w:header="0" w:footer="1198" w:gutter="0"/>
          <w:cols w:equalWidth="0" w:num="2">
            <w:col w:w="2450" w:space="100"/>
            <w:col w:w="6388"/>
          </w:cols>
        </w:sectPr>
      </w:pPr>
    </w:p>
    <w:p>
      <w:pPr>
        <w:pStyle w:val="2"/>
        <w:spacing w:line="250" w:lineRule="auto"/>
      </w:pPr>
    </w:p>
    <w:p>
      <w:pPr>
        <w:pStyle w:val="2"/>
        <w:spacing w:line="250" w:lineRule="auto"/>
      </w:pPr>
    </w:p>
    <w:p>
      <w:pPr>
        <w:pStyle w:val="2"/>
        <w:spacing w:line="251" w:lineRule="auto"/>
      </w:pPr>
    </w:p>
    <w:p>
      <w:pPr>
        <w:spacing w:before="98" w:line="222" w:lineRule="auto"/>
        <w:ind w:left="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附件：1.旗直属企业国有资本收益(应交利润)申</w:t>
      </w:r>
      <w:r>
        <w:rPr>
          <w:rFonts w:ascii="仿宋" w:hAnsi="仿宋" w:eastAsia="仿宋" w:cs="仿宋"/>
          <w:spacing w:val="10"/>
          <w:sz w:val="30"/>
          <w:szCs w:val="30"/>
        </w:rPr>
        <w:t>报表</w:t>
      </w:r>
    </w:p>
    <w:p>
      <w:pPr>
        <w:spacing w:before="207" w:line="357" w:lineRule="auto"/>
        <w:ind w:left="1619" w:right="2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2.旗直属企业国有资本收益(国有股股息、股利)申报表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3.旗直属企业国有资本收益(国有产权转让收入)申报表</w:t>
      </w:r>
    </w:p>
    <w:p>
      <w:pPr>
        <w:spacing w:before="1" w:line="188" w:lineRule="auto"/>
        <w:ind w:left="1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4.旗直属企业国有资本收益(企业清算收入)申报表</w:t>
      </w:r>
    </w:p>
    <w:p>
      <w:pPr>
        <w:spacing w:line="188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20"/>
          <w:pgMar w:top="1429" w:right="1532" w:bottom="1546" w:left="1430" w:header="0" w:footer="1198" w:gutter="0"/>
          <w:cols w:equalWidth="0" w:num="1">
            <w:col w:w="8938"/>
          </w:cols>
        </w:sectPr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8"/>
          <w:sz w:val="32"/>
          <w:szCs w:val="32"/>
        </w:rPr>
        <w:t>附件1</w:t>
      </w:r>
    </w:p>
    <w:p>
      <w:pPr>
        <w:spacing w:before="77" w:line="219" w:lineRule="auto"/>
        <w:ind w:left="8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15"/>
          <w:sz w:val="44"/>
          <w:szCs w:val="44"/>
        </w:rPr>
        <w:t>旗直属企业国有资本收益(应交利润)申报表</w:t>
      </w:r>
    </w:p>
    <w:p>
      <w:pPr>
        <w:spacing w:before="70" w:line="222" w:lineRule="auto"/>
        <w:ind w:left="357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"/>
          <w:sz w:val="32"/>
          <w:szCs w:val="32"/>
        </w:rPr>
        <w:t>(20</w:t>
      </w:r>
      <w:r>
        <w:rPr>
          <w:rFonts w:ascii="仿宋" w:hAnsi="仿宋" w:eastAsia="仿宋" w:cs="仿宋"/>
          <w:spacing w:val="24"/>
          <w:sz w:val="32"/>
          <w:szCs w:val="32"/>
        </w:rPr>
        <w:t xml:space="preserve">   </w:t>
      </w:r>
      <w:r>
        <w:rPr>
          <w:rFonts w:ascii="仿宋" w:hAnsi="仿宋" w:eastAsia="仿宋" w:cs="仿宋"/>
          <w:spacing w:val="3"/>
          <w:sz w:val="32"/>
          <w:szCs w:val="32"/>
        </w:rPr>
        <w:t>年度)</w:t>
      </w:r>
    </w:p>
    <w:p>
      <w:pPr>
        <w:spacing w:line="68" w:lineRule="exact"/>
      </w:pPr>
    </w:p>
    <w:tbl>
      <w:tblPr>
        <w:tblStyle w:val="5"/>
        <w:tblW w:w="8840" w:type="dxa"/>
        <w:tblInd w:w="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"/>
        <w:gridCol w:w="3406"/>
        <w:gridCol w:w="1708"/>
        <w:gridCol w:w="1708"/>
        <w:gridCol w:w="15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840" w:type="dxa"/>
            <w:gridSpan w:val="5"/>
            <w:vAlign w:val="top"/>
          </w:tcPr>
          <w:p>
            <w:pPr>
              <w:pStyle w:val="6"/>
              <w:spacing w:before="73" w:line="219" w:lineRule="auto"/>
              <w:ind w:left="3455"/>
            </w:pPr>
            <w:r>
              <w:rPr>
                <w:spacing w:val="1"/>
              </w:rPr>
              <w:t>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53" w:line="204" w:lineRule="auto"/>
              <w:ind w:left="1455"/>
            </w:pPr>
            <w:r>
              <w:rPr>
                <w:spacing w:val="3"/>
              </w:rPr>
              <w:t>企业名称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3" w:line="213" w:lineRule="auto"/>
              <w:ind w:left="1455"/>
            </w:pPr>
            <w:r>
              <w:rPr>
                <w:spacing w:val="2"/>
              </w:rPr>
              <w:t>注册地址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53" w:line="213" w:lineRule="auto"/>
              <w:ind w:left="1455"/>
            </w:pPr>
            <w:r>
              <w:rPr>
                <w:spacing w:val="2"/>
              </w:rPr>
              <w:t>组织形式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9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2" w:line="213" w:lineRule="auto"/>
              <w:ind w:left="1455"/>
            </w:pPr>
            <w:r>
              <w:rPr>
                <w:spacing w:val="-2"/>
              </w:rPr>
              <w:t>所处行业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51" w:line="214" w:lineRule="auto"/>
              <w:ind w:left="1455"/>
            </w:pPr>
            <w:r>
              <w:rPr>
                <w:spacing w:val="2"/>
              </w:rPr>
              <w:t>注册资本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53" w:line="213" w:lineRule="auto"/>
              <w:ind w:left="1455"/>
            </w:pPr>
            <w:r>
              <w:rPr>
                <w:spacing w:val="3"/>
              </w:rPr>
              <w:t>开户银行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53" w:line="212" w:lineRule="auto"/>
              <w:ind w:left="1455"/>
            </w:pPr>
            <w:r>
              <w:rPr>
                <w:spacing w:val="3"/>
              </w:rPr>
              <w:t>银行账号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53" w:line="213" w:lineRule="auto"/>
              <w:ind w:left="1455"/>
            </w:pPr>
            <w:r>
              <w:rPr>
                <w:spacing w:val="-2"/>
              </w:rPr>
              <w:t>财务经理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7" w:line="210" w:lineRule="auto"/>
              <w:ind w:left="1455"/>
            </w:pPr>
            <w:r>
              <w:rPr>
                <w:spacing w:val="-2"/>
              </w:rPr>
              <w:t>联系电话</w:t>
            </w:r>
          </w:p>
        </w:tc>
        <w:tc>
          <w:tcPr>
            <w:tcW w:w="495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840" w:type="dxa"/>
            <w:gridSpan w:val="5"/>
            <w:vAlign w:val="top"/>
          </w:tcPr>
          <w:p>
            <w:pPr>
              <w:pStyle w:val="6"/>
              <w:spacing w:before="69" w:line="219" w:lineRule="auto"/>
              <w:ind w:left="2618"/>
            </w:pPr>
            <w:r>
              <w:rPr>
                <w:b/>
                <w:bCs/>
              </w:rPr>
              <w:t>立交国有资本收益申报情况(万元)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06" w:type="dxa"/>
            <w:vAlign w:val="top"/>
          </w:tcPr>
          <w:p>
            <w:pPr>
              <w:pStyle w:val="6"/>
              <w:spacing w:before="66" w:line="210" w:lineRule="auto"/>
              <w:ind w:left="1220"/>
            </w:pPr>
            <w:r>
              <w:rPr>
                <w:spacing w:val="-7"/>
              </w:rPr>
              <w:t>项</w:t>
            </w:r>
            <w:r>
              <w:rPr>
                <w:spacing w:val="28"/>
              </w:rPr>
              <w:t xml:space="preserve">    </w:t>
            </w:r>
            <w:r>
              <w:rPr>
                <w:spacing w:val="-7"/>
              </w:rPr>
              <w:t>目</w:t>
            </w:r>
          </w:p>
        </w:tc>
        <w:tc>
          <w:tcPr>
            <w:tcW w:w="1708" w:type="dxa"/>
            <w:vAlign w:val="top"/>
          </w:tcPr>
          <w:p>
            <w:pPr>
              <w:pStyle w:val="6"/>
              <w:spacing w:before="64" w:line="211" w:lineRule="auto"/>
              <w:ind w:left="514"/>
            </w:pPr>
            <w:r>
              <w:rPr>
                <w:spacing w:val="3"/>
              </w:rPr>
              <w:t>申报数</w:t>
            </w:r>
          </w:p>
        </w:tc>
        <w:tc>
          <w:tcPr>
            <w:tcW w:w="1708" w:type="dxa"/>
            <w:vAlign w:val="top"/>
          </w:tcPr>
          <w:p>
            <w:pPr>
              <w:pStyle w:val="6"/>
              <w:spacing w:before="64" w:line="211" w:lineRule="auto"/>
              <w:jc w:val="right"/>
            </w:pPr>
            <w:r>
              <w:rPr>
                <w:spacing w:val="-9"/>
              </w:rPr>
              <w:t>监管部门审核数</w:t>
            </w:r>
          </w:p>
        </w:tc>
        <w:tc>
          <w:tcPr>
            <w:tcW w:w="1543" w:type="dxa"/>
            <w:vAlign w:val="top"/>
          </w:tcPr>
          <w:p>
            <w:pPr>
              <w:pStyle w:val="6"/>
              <w:spacing w:before="64" w:line="211" w:lineRule="auto"/>
              <w:jc w:val="right"/>
            </w:pPr>
            <w:r>
              <w:rPr>
                <w:spacing w:val="-8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6" w:line="164" w:lineRule="auto"/>
              <w:ind w:left="165"/>
            </w:pPr>
            <w:r>
              <w:t>1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5" w:line="211" w:lineRule="auto"/>
              <w:ind w:left="70"/>
            </w:pPr>
            <w:r>
              <w:rPr>
                <w:spacing w:val="3"/>
              </w:rPr>
              <w:t>合并净利润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8" w:line="163" w:lineRule="auto"/>
              <w:ind w:left="165"/>
            </w:pPr>
            <w:r>
              <w:t>2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5" w:line="211" w:lineRule="auto"/>
              <w:ind w:left="70"/>
            </w:pPr>
            <w:r>
              <w:rPr>
                <w:spacing w:val="1"/>
              </w:rPr>
              <w:t>减：少数股东损益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8" w:line="163" w:lineRule="auto"/>
              <w:ind w:left="165"/>
            </w:pPr>
            <w:r>
              <w:t>3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5" w:line="211" w:lineRule="auto"/>
              <w:ind w:left="70"/>
            </w:pPr>
            <w:r>
              <w:t>归属于母公司所有者的净利淮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8" w:line="163" w:lineRule="auto"/>
              <w:ind w:left="165"/>
            </w:pPr>
            <w:r>
              <w:t>4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5" w:line="211" w:lineRule="auto"/>
              <w:ind w:left="70"/>
            </w:pPr>
            <w:r>
              <w:rPr>
                <w:spacing w:val="1"/>
              </w:rPr>
              <w:t>减：弥补以前年度亏损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9" w:line="161" w:lineRule="auto"/>
              <w:ind w:left="165"/>
            </w:pPr>
            <w:r>
              <w:t>5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7" w:line="209" w:lineRule="auto"/>
              <w:ind w:left="70"/>
            </w:pPr>
            <w:r>
              <w:rPr>
                <w:spacing w:val="-1"/>
              </w:rPr>
              <w:t>减：提取法定公积金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9" w:line="162" w:lineRule="auto"/>
              <w:ind w:left="165"/>
            </w:pPr>
            <w:r>
              <w:t>6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7" w:line="210" w:lineRule="auto"/>
              <w:ind w:left="70"/>
            </w:pPr>
            <w:r>
              <w:rPr>
                <w:spacing w:val="1"/>
              </w:rPr>
              <w:t>上交利润基数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20" w:line="161" w:lineRule="auto"/>
              <w:ind w:left="165"/>
            </w:pPr>
            <w:r>
              <w:t>7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7" w:line="210" w:lineRule="auto"/>
              <w:ind w:left="70"/>
            </w:pPr>
            <w:r>
              <w:rPr>
                <w:spacing w:val="3"/>
              </w:rPr>
              <w:t>上交利润比例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29" w:line="170" w:lineRule="auto"/>
              <w:ind w:left="165"/>
            </w:pPr>
            <w:r>
              <w:t>8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66" w:line="218" w:lineRule="auto"/>
              <w:ind w:left="70"/>
            </w:pPr>
            <w:r>
              <w:rPr>
                <w:spacing w:val="3"/>
              </w:rPr>
              <w:t>本期应交利润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9" w:line="162" w:lineRule="auto"/>
              <w:ind w:left="165"/>
            </w:pPr>
            <w:r>
              <w:t>9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7" w:line="210" w:lineRule="auto"/>
              <w:ind w:left="70"/>
            </w:pPr>
            <w:r>
              <w:rPr>
                <w:spacing w:val="1"/>
              </w:rPr>
              <w:t>加：以前年度欠交利润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8" w:line="163" w:lineRule="auto"/>
              <w:ind w:left="105"/>
            </w:pPr>
            <w:r>
              <w:rPr>
                <w:spacing w:val="-7"/>
              </w:rPr>
              <w:t>10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5" w:line="211" w:lineRule="auto"/>
              <w:ind w:left="70"/>
            </w:pPr>
            <w:r>
              <w:rPr>
                <w:spacing w:val="2"/>
              </w:rPr>
              <w:t>减；本期已交利润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75" w:type="dxa"/>
            <w:vAlign w:val="top"/>
          </w:tcPr>
          <w:p>
            <w:pPr>
              <w:pStyle w:val="6"/>
              <w:spacing w:before="117" w:line="202" w:lineRule="exact"/>
              <w:ind w:left="105"/>
            </w:pPr>
            <w:r>
              <w:rPr>
                <w:spacing w:val="-7"/>
                <w:position w:val="-2"/>
              </w:rPr>
              <w:t>11</w:t>
            </w:r>
          </w:p>
        </w:tc>
        <w:tc>
          <w:tcPr>
            <w:tcW w:w="3406" w:type="dxa"/>
            <w:vAlign w:val="top"/>
          </w:tcPr>
          <w:p>
            <w:pPr>
              <w:pStyle w:val="6"/>
              <w:spacing w:before="56" w:line="202" w:lineRule="auto"/>
              <w:ind w:left="70"/>
            </w:pPr>
            <w:r>
              <w:rPr>
                <w:spacing w:val="-1"/>
              </w:rPr>
              <w:t>应交(退)利润余额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840" w:type="dxa"/>
            <w:gridSpan w:val="5"/>
            <w:vAlign w:val="top"/>
          </w:tcPr>
          <w:p>
            <w:pPr>
              <w:pStyle w:val="6"/>
              <w:spacing w:before="43" w:line="205" w:lineRule="auto"/>
              <w:ind w:left="3938"/>
            </w:pPr>
            <w:r>
              <w:rPr>
                <w:b/>
                <w:bCs/>
                <w:spacing w:val="-3"/>
              </w:rPr>
              <w:t>附送资料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840" w:type="dxa"/>
            <w:gridSpan w:val="5"/>
            <w:vAlign w:val="top"/>
          </w:tcPr>
          <w:p>
            <w:pPr>
              <w:pStyle w:val="6"/>
              <w:spacing w:before="46" w:line="203" w:lineRule="auto"/>
              <w:ind w:left="14"/>
            </w:pPr>
            <w:r>
              <w:rPr>
                <w:spacing w:val="2"/>
              </w:rPr>
              <w:t>1.年度审计报告   2.其他资料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3" w:hRule="atLeast"/>
        </w:trPr>
        <w:tc>
          <w:tcPr>
            <w:tcW w:w="475" w:type="dxa"/>
            <w:textDirection w:val="tbRlV"/>
            <w:vAlign w:val="top"/>
          </w:tcPr>
          <w:p>
            <w:pPr>
              <w:pStyle w:val="6"/>
              <w:spacing w:before="120" w:line="216" w:lineRule="auto"/>
              <w:ind w:left="455"/>
            </w:pPr>
            <w:r>
              <w:t>声</w:t>
            </w:r>
            <w:r>
              <w:rPr>
                <w:spacing w:val="28"/>
              </w:rPr>
              <w:t xml:space="preserve">  </w:t>
            </w:r>
            <w:r>
              <w:t>明</w:t>
            </w:r>
          </w:p>
        </w:tc>
        <w:tc>
          <w:tcPr>
            <w:tcW w:w="8365" w:type="dxa"/>
            <w:gridSpan w:val="4"/>
            <w:vAlign w:val="top"/>
          </w:tcPr>
          <w:p>
            <w:pPr>
              <w:pStyle w:val="6"/>
              <w:spacing w:before="26" w:line="219" w:lineRule="auto"/>
              <w:ind w:left="10"/>
            </w:pPr>
            <w:r>
              <w:t>本公司对以上情况及申报资料的真实性承担法律责</w:t>
            </w:r>
            <w:r>
              <w:rPr>
                <w:spacing w:val="-1"/>
              </w:rPr>
              <w:t>任。</w:t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93" w:lineRule="auto"/>
              <w:ind w:left="1820"/>
            </w:pPr>
            <w:r>
              <w:rPr>
                <w:spacing w:val="7"/>
              </w:rPr>
              <w:t>法人代表(签章):</w:t>
            </w:r>
            <w:r>
              <w:rPr>
                <w:spacing w:val="4"/>
              </w:rPr>
              <w:t xml:space="preserve">               </w:t>
            </w:r>
            <w:r>
              <w:rPr>
                <w:spacing w:val="7"/>
              </w:rPr>
              <w:t>(公章)</w:t>
            </w:r>
          </w:p>
          <w:p>
            <w:pPr>
              <w:pStyle w:val="6"/>
              <w:spacing w:line="196" w:lineRule="auto"/>
              <w:ind w:left="5160"/>
            </w:pPr>
            <w:r>
              <w:rPr>
                <w:spacing w:val="-7"/>
              </w:rPr>
              <w:t>20</w:t>
            </w:r>
            <w:r>
              <w:rPr>
                <w:spacing w:val="9"/>
              </w:rPr>
              <w:t xml:space="preserve">    </w:t>
            </w:r>
            <w:r>
              <w:rPr>
                <w:spacing w:val="-7"/>
              </w:rPr>
              <w:t>年</w:t>
            </w:r>
            <w:r>
              <w:rPr>
                <w:spacing w:val="26"/>
              </w:rPr>
              <w:t xml:space="preserve"> </w:t>
            </w:r>
            <w:r>
              <w:rPr>
                <w:spacing w:val="-7"/>
              </w:rPr>
              <w:t>月</w:t>
            </w:r>
            <w:r>
              <w:rPr>
                <w:spacing w:val="32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</w:tr>
    </w:tbl>
    <w:p>
      <w:pPr>
        <w:pStyle w:val="2"/>
        <w:spacing w:line="18" w:lineRule="auto"/>
        <w:rPr>
          <w:sz w:val="2"/>
        </w:rPr>
      </w:pPr>
    </w:p>
    <w:p>
      <w:pPr>
        <w:spacing w:line="18" w:lineRule="auto"/>
        <w:rPr>
          <w:sz w:val="2"/>
          <w:szCs w:val="2"/>
        </w:rPr>
        <w:sectPr>
          <w:footerReference r:id="rId17" w:type="default"/>
          <w:pgSz w:w="11900" w:h="16820"/>
          <w:pgMar w:top="1429" w:right="1514" w:bottom="1465" w:left="1454" w:header="0" w:footer="1147" w:gutter="0"/>
          <w:cols w:equalWidth="0" w:num="1">
            <w:col w:w="8931"/>
          </w:cols>
        </w:sectPr>
      </w:pPr>
    </w:p>
    <w:p>
      <w:pPr>
        <w:spacing w:before="64" w:line="184" w:lineRule="auto"/>
        <w:ind w:left="925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-1"/>
          <w:sz w:val="27"/>
          <w:szCs w:val="27"/>
        </w:rPr>
        <w:t>总会计师：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2" w:line="191" w:lineRule="auto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3"/>
          <w:sz w:val="27"/>
          <w:szCs w:val="27"/>
        </w:rPr>
        <w:t>经办人</w:t>
      </w:r>
    </w:p>
    <w:p>
      <w:pPr>
        <w:spacing w:line="191" w:lineRule="auto"/>
        <w:rPr>
          <w:rFonts w:ascii="宋体" w:hAnsi="宋体" w:eastAsia="宋体" w:cs="宋体"/>
          <w:sz w:val="27"/>
          <w:szCs w:val="27"/>
        </w:rPr>
        <w:sectPr>
          <w:type w:val="continuous"/>
          <w:pgSz w:w="11900" w:h="16820"/>
          <w:pgMar w:top="1429" w:right="1514" w:bottom="1465" w:left="1454" w:header="0" w:footer="1147" w:gutter="0"/>
          <w:cols w:equalWidth="0" w:num="2">
            <w:col w:w="5856" w:space="100"/>
            <w:col w:w="2976"/>
          </w:cols>
        </w:sectPr>
      </w:pPr>
    </w:p>
    <w:p>
      <w:pPr>
        <w:spacing w:before="77" w:line="192" w:lineRule="auto"/>
        <w:ind w:left="175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2"/>
          <w:sz w:val="24"/>
          <w:szCs w:val="24"/>
        </w:rPr>
        <w:t>注：国有独资企业依据2022年度企业财务决算报告填报本表。</w:t>
      </w:r>
    </w:p>
    <w:p>
      <w:pPr>
        <w:spacing w:line="192" w:lineRule="auto"/>
        <w:rPr>
          <w:rFonts w:ascii="楷体" w:hAnsi="楷体" w:eastAsia="楷体" w:cs="楷体"/>
          <w:sz w:val="24"/>
          <w:szCs w:val="24"/>
        </w:rPr>
        <w:sectPr>
          <w:type w:val="continuous"/>
          <w:pgSz w:w="11900" w:h="16820"/>
          <w:pgMar w:top="1429" w:right="1514" w:bottom="1465" w:left="1454" w:header="0" w:footer="1147" w:gutter="0"/>
          <w:cols w:equalWidth="0" w:num="1">
            <w:col w:w="8931"/>
          </w:cols>
        </w:sectPr>
      </w:pPr>
    </w:p>
    <w:p>
      <w:pPr>
        <w:pStyle w:val="2"/>
        <w:spacing w:line="266" w:lineRule="auto"/>
      </w:pPr>
    </w:p>
    <w:p>
      <w:pPr>
        <w:spacing w:before="94" w:line="224" w:lineRule="auto"/>
        <w:ind w:left="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附</w:t>
      </w:r>
      <w:r>
        <w:rPr>
          <w:rFonts w:ascii="黑体" w:hAnsi="黑体" w:eastAsia="黑体" w:cs="黑体"/>
          <w:spacing w:val="-5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件</w:t>
      </w:r>
      <w:r>
        <w:rPr>
          <w:rFonts w:ascii="黑体" w:hAnsi="黑体" w:eastAsia="黑体" w:cs="黑体"/>
          <w:spacing w:val="-5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2</w:t>
      </w:r>
    </w:p>
    <w:p>
      <w:pPr>
        <w:spacing w:before="55" w:line="226" w:lineRule="auto"/>
        <w:ind w:left="3895" w:right="207" w:hanging="388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5"/>
          <w:sz w:val="43"/>
          <w:szCs w:val="43"/>
        </w:rPr>
        <w:t>旗直属企业国有资本收益(国有股股利、股息)</w:t>
      </w:r>
      <w:r>
        <w:rPr>
          <w:rFonts w:ascii="宋体" w:hAnsi="宋体" w:eastAsia="宋体" w:cs="宋体"/>
          <w:spacing w:val="10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43"/>
          <w:szCs w:val="43"/>
        </w:rPr>
        <w:t>申报表</w:t>
      </w:r>
    </w:p>
    <w:p>
      <w:pPr>
        <w:spacing w:before="100" w:line="217" w:lineRule="auto"/>
        <w:ind w:left="3629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3"/>
          <w:sz w:val="30"/>
          <w:szCs w:val="30"/>
        </w:rPr>
        <w:t>(20</w:t>
      </w:r>
      <w:r>
        <w:rPr>
          <w:rFonts w:ascii="宋体" w:hAnsi="宋体" w:eastAsia="宋体" w:cs="宋体"/>
          <w:spacing w:val="27"/>
          <w:sz w:val="30"/>
          <w:szCs w:val="30"/>
        </w:rPr>
        <w:t xml:space="preserve">   </w:t>
      </w:r>
      <w:r>
        <w:rPr>
          <w:rFonts w:ascii="宋体" w:hAnsi="宋体" w:eastAsia="宋体" w:cs="宋体"/>
          <w:spacing w:val="-3"/>
          <w:sz w:val="30"/>
          <w:szCs w:val="30"/>
        </w:rPr>
        <w:t>年度)</w:t>
      </w:r>
    </w:p>
    <w:tbl>
      <w:tblPr>
        <w:tblStyle w:val="5"/>
        <w:tblW w:w="9120" w:type="dxa"/>
        <w:tblInd w:w="1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3396"/>
        <w:gridCol w:w="1708"/>
        <w:gridCol w:w="1848"/>
        <w:gridCol w:w="16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120" w:type="dxa"/>
            <w:gridSpan w:val="5"/>
            <w:vAlign w:val="top"/>
          </w:tcPr>
          <w:p>
            <w:pPr>
              <w:pStyle w:val="6"/>
              <w:spacing w:before="63" w:line="219" w:lineRule="auto"/>
              <w:ind w:left="363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3" w:line="181" w:lineRule="auto"/>
              <w:ind w:left="147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企业名称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43" w:line="206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注册地址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43" w:line="198" w:lineRule="auto"/>
              <w:ind w:left="147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组织形式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2" w:line="183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所处行业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0" w:line="184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注册资本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1" w:line="183" w:lineRule="auto"/>
              <w:ind w:left="785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其中：国有股权(股份)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3" w:line="182" w:lineRule="auto"/>
              <w:ind w:left="147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开户银行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43" w:line="197" w:lineRule="auto"/>
              <w:ind w:left="147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银行账号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53" w:line="205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财务经理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6"/>
              <w:spacing w:before="66" w:line="179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120" w:type="dxa"/>
            <w:gridSpan w:val="5"/>
            <w:vAlign w:val="top"/>
          </w:tcPr>
          <w:p>
            <w:pPr>
              <w:pStyle w:val="6"/>
              <w:spacing w:before="69" w:line="219" w:lineRule="auto"/>
              <w:ind w:left="2828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应交国有资本收益申报情况(万元)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6" w:type="dxa"/>
            <w:vAlign w:val="top"/>
          </w:tcPr>
          <w:p>
            <w:pPr>
              <w:pStyle w:val="6"/>
              <w:spacing w:before="46" w:line="195" w:lineRule="auto"/>
              <w:ind w:left="1210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项</w:t>
            </w:r>
            <w:r>
              <w:rPr>
                <w:spacing w:val="6"/>
                <w:sz w:val="23"/>
                <w:szCs w:val="23"/>
              </w:rPr>
              <w:t xml:space="preserve">     </w:t>
            </w:r>
            <w:r>
              <w:rPr>
                <w:spacing w:val="-7"/>
                <w:sz w:val="23"/>
                <w:szCs w:val="23"/>
              </w:rPr>
              <w:t>目</w:t>
            </w:r>
          </w:p>
        </w:tc>
        <w:tc>
          <w:tcPr>
            <w:tcW w:w="1708" w:type="dxa"/>
            <w:vAlign w:val="top"/>
          </w:tcPr>
          <w:p>
            <w:pPr>
              <w:pStyle w:val="6"/>
              <w:spacing w:before="44" w:line="196" w:lineRule="auto"/>
              <w:ind w:left="52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申报数</w:t>
            </w:r>
          </w:p>
        </w:tc>
        <w:tc>
          <w:tcPr>
            <w:tcW w:w="1848" w:type="dxa"/>
            <w:vAlign w:val="top"/>
          </w:tcPr>
          <w:p>
            <w:pPr>
              <w:pStyle w:val="6"/>
              <w:spacing w:before="44" w:line="196" w:lineRule="auto"/>
              <w:ind w:left="17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监管部门审核数</w:t>
            </w:r>
          </w:p>
        </w:tc>
        <w:tc>
          <w:tcPr>
            <w:tcW w:w="1683" w:type="dxa"/>
            <w:vAlign w:val="top"/>
          </w:tcPr>
          <w:p>
            <w:pPr>
              <w:pStyle w:val="6"/>
              <w:spacing w:before="44" w:line="196" w:lineRule="auto"/>
              <w:ind w:left="208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6" w:type="dxa"/>
            <w:vAlign w:val="top"/>
          </w:tcPr>
          <w:p>
            <w:pPr>
              <w:pStyle w:val="6"/>
              <w:spacing w:before="46" w:line="195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归属于母公司所有者的净利润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06" w:line="183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45" w:line="219" w:lineRule="auto"/>
              <w:jc w:val="right"/>
              <w:rPr>
                <w:sz w:val="18"/>
                <w:szCs w:val="18"/>
              </w:rPr>
            </w:pPr>
            <w:r>
              <w:rPr>
                <w:spacing w:val="-19"/>
                <w:w w:val="94"/>
                <w:sz w:val="18"/>
                <w:szCs w:val="18"/>
              </w:rPr>
              <w:t>加：年初未分配利润(以前年度亏损以“-”号填列)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06" w:line="183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47" w:line="195" w:lineRule="auto"/>
              <w:ind w:left="3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可供分配的利润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06" w:line="183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68" w:line="178" w:lineRule="auto"/>
              <w:ind w:left="30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减：提取法定公积金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08" w:line="182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66" w:line="179" w:lineRule="auto"/>
              <w:ind w:left="3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可供分配的利润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16" w:line="193" w:lineRule="exact"/>
              <w:ind w:left="175"/>
              <w:rPr>
                <w:sz w:val="23"/>
                <w:szCs w:val="23"/>
              </w:rPr>
            </w:pPr>
            <w:r>
              <w:rPr>
                <w:position w:val="-2"/>
                <w:sz w:val="23"/>
                <w:szCs w:val="23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58" w:line="201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向投资者分配的利润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09" w:line="181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7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48" w:line="194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国有股权(股份)所占比例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07" w:line="182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8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48" w:line="194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应付国有股股利、股息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107" w:line="182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9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48" w:line="194" w:lineRule="auto"/>
              <w:jc w:val="right"/>
              <w:rPr>
                <w:sz w:val="23"/>
                <w:szCs w:val="23"/>
              </w:rPr>
            </w:pPr>
            <w:r>
              <w:rPr>
                <w:spacing w:val="-27"/>
                <w:w w:val="97"/>
                <w:sz w:val="23"/>
                <w:szCs w:val="23"/>
              </w:rPr>
              <w:t>加；以前年度欠付</w:t>
            </w:r>
            <w:r>
              <w:rPr>
                <w:spacing w:val="-26"/>
                <w:w w:val="97"/>
                <w:sz w:val="23"/>
                <w:szCs w:val="23"/>
              </w:rPr>
              <w:t>的国有股股利、股</w:t>
            </w:r>
            <w:r>
              <w:rPr>
                <w:spacing w:val="-18"/>
                <w:w w:val="97"/>
                <w:sz w:val="23"/>
                <w:szCs w:val="23"/>
              </w:rPr>
              <w:t>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6"/>
              <w:spacing w:before="90" w:line="200" w:lineRule="exact"/>
              <w:ind w:left="105"/>
              <w:rPr>
                <w:sz w:val="31"/>
                <w:szCs w:val="31"/>
              </w:rPr>
            </w:pPr>
            <w:r>
              <w:rPr>
                <w:spacing w:val="-9"/>
                <w:position w:val="-5"/>
                <w:sz w:val="31"/>
                <w:szCs w:val="31"/>
              </w:rPr>
              <w:t>10</w:t>
            </w:r>
          </w:p>
        </w:tc>
        <w:tc>
          <w:tcPr>
            <w:tcW w:w="3396" w:type="dxa"/>
            <w:vAlign w:val="top"/>
          </w:tcPr>
          <w:p>
            <w:pPr>
              <w:pStyle w:val="6"/>
              <w:spacing w:before="47" w:line="195" w:lineRule="auto"/>
              <w:jc w:val="right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减；本期已付的国有股股利、股息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6" w:type="dxa"/>
            <w:vAlign w:val="top"/>
          </w:tcPr>
          <w:p>
            <w:pPr>
              <w:pStyle w:val="6"/>
              <w:spacing w:before="69" w:line="177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11应交(退)国有股股利、股息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9120" w:type="dxa"/>
            <w:gridSpan w:val="5"/>
            <w:vAlign w:val="top"/>
          </w:tcPr>
          <w:p>
            <w:pPr>
              <w:pStyle w:val="6"/>
              <w:spacing w:before="73" w:line="219" w:lineRule="auto"/>
              <w:ind w:left="409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附送资料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120" w:type="dxa"/>
            <w:gridSpan w:val="5"/>
            <w:vAlign w:val="top"/>
          </w:tcPr>
          <w:p>
            <w:pPr>
              <w:pStyle w:val="6"/>
              <w:spacing w:before="78" w:line="193" w:lineRule="auto"/>
              <w:ind w:left="4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1.股东会(股东大会)决议</w:t>
            </w:r>
            <w:r>
              <w:rPr>
                <w:spacing w:val="22"/>
                <w:sz w:val="23"/>
                <w:szCs w:val="23"/>
              </w:rPr>
              <w:t xml:space="preserve">     </w:t>
            </w:r>
            <w:r>
              <w:rPr>
                <w:spacing w:val="-1"/>
                <w:position w:val="2"/>
                <w:sz w:val="23"/>
                <w:szCs w:val="23"/>
              </w:rPr>
              <w:t>2.其他资料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3" w:hRule="atLeast"/>
        </w:trPr>
        <w:tc>
          <w:tcPr>
            <w:tcW w:w="485" w:type="dxa"/>
            <w:textDirection w:val="tbRlV"/>
            <w:vAlign w:val="top"/>
          </w:tcPr>
          <w:p>
            <w:pPr>
              <w:pStyle w:val="6"/>
              <w:spacing w:before="130" w:line="216" w:lineRule="auto"/>
              <w:ind w:left="5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声</w:t>
            </w:r>
            <w:r>
              <w:rPr>
                <w:spacing w:val="14"/>
                <w:sz w:val="23"/>
                <w:szCs w:val="23"/>
              </w:rPr>
              <w:t xml:space="preserve">    </w:t>
            </w:r>
            <w:r>
              <w:rPr>
                <w:sz w:val="23"/>
                <w:szCs w:val="23"/>
              </w:rPr>
              <w:t>明</w:t>
            </w:r>
          </w:p>
        </w:tc>
        <w:tc>
          <w:tcPr>
            <w:tcW w:w="8635" w:type="dxa"/>
            <w:gridSpan w:val="4"/>
            <w:vAlign w:val="top"/>
          </w:tcPr>
          <w:p>
            <w:pPr>
              <w:pStyle w:val="6"/>
              <w:spacing w:before="79" w:line="246" w:lineRule="auto"/>
              <w:ind w:left="10" w:right="31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本公司按照《公司法》和公司章程的规定进行利润</w:t>
            </w:r>
            <w:r>
              <w:rPr>
                <w:sz w:val="23"/>
                <w:szCs w:val="23"/>
              </w:rPr>
              <w:t xml:space="preserve">分配，申报资料真实、合法，国 </w:t>
            </w:r>
            <w:r>
              <w:rPr>
                <w:spacing w:val="-1"/>
                <w:sz w:val="23"/>
                <w:szCs w:val="23"/>
              </w:rPr>
              <w:t>有股东公平分享股利、股息及其他合法权益。</w:t>
            </w: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27" w:lineRule="auto"/>
              <w:ind w:left="1810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法人代表(签章):                      (公章)</w:t>
            </w:r>
          </w:p>
          <w:p>
            <w:pPr>
              <w:pStyle w:val="6"/>
              <w:spacing w:before="48" w:line="196" w:lineRule="auto"/>
              <w:ind w:left="6449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年</w:t>
            </w:r>
            <w:r>
              <w:rPr>
                <w:spacing w:val="14"/>
                <w:sz w:val="23"/>
                <w:szCs w:val="23"/>
              </w:rPr>
              <w:t xml:space="preserve">   </w:t>
            </w:r>
            <w:r>
              <w:rPr>
                <w:spacing w:val="-9"/>
                <w:sz w:val="23"/>
                <w:szCs w:val="23"/>
              </w:rPr>
              <w:t>月</w:t>
            </w:r>
            <w:r>
              <w:rPr>
                <w:spacing w:val="34"/>
                <w:sz w:val="23"/>
                <w:szCs w:val="23"/>
              </w:rPr>
              <w:t xml:space="preserve">  </w:t>
            </w:r>
            <w:r>
              <w:rPr>
                <w:spacing w:val="-9"/>
                <w:sz w:val="23"/>
                <w:szCs w:val="23"/>
              </w:rPr>
              <w:t>日</w:t>
            </w:r>
          </w:p>
        </w:tc>
      </w:tr>
    </w:tbl>
    <w:p>
      <w:pPr>
        <w:pStyle w:val="2"/>
        <w:spacing w:line="14" w:lineRule="auto"/>
        <w:rPr>
          <w:sz w:val="2"/>
        </w:rPr>
      </w:pPr>
    </w:p>
    <w:p>
      <w:pPr>
        <w:spacing w:line="14" w:lineRule="auto"/>
        <w:rPr>
          <w:sz w:val="2"/>
          <w:szCs w:val="2"/>
        </w:rPr>
        <w:sectPr>
          <w:footerReference r:id="rId18" w:type="default"/>
          <w:pgSz w:w="11900" w:h="16820"/>
          <w:pgMar w:top="1429" w:right="1244" w:bottom="400" w:left="1420" w:header="0" w:footer="0" w:gutter="0"/>
          <w:cols w:equalWidth="0" w:num="1">
            <w:col w:w="9235"/>
          </w:cols>
        </w:sectPr>
      </w:pPr>
    </w:p>
    <w:p>
      <w:pPr>
        <w:spacing w:before="56" w:line="184" w:lineRule="auto"/>
        <w:ind w:left="999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总会计师：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3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经办人</w:t>
      </w:r>
    </w:p>
    <w:p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type w:val="continuous"/>
          <w:pgSz w:w="11900" w:h="16820"/>
          <w:pgMar w:top="1429" w:right="1244" w:bottom="400" w:left="1420" w:header="0" w:footer="0" w:gutter="0"/>
          <w:cols w:equalWidth="0" w:num="2">
            <w:col w:w="5630" w:space="100"/>
            <w:col w:w="3506"/>
          </w:cols>
        </w:sectPr>
      </w:pPr>
    </w:p>
    <w:p>
      <w:pPr>
        <w:spacing w:before="46" w:line="225" w:lineRule="auto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2"/>
          <w:sz w:val="24"/>
          <w:szCs w:val="24"/>
        </w:rPr>
        <w:t>注：国有控股、参股企业依据2022年度</w:t>
      </w:r>
      <w:r>
        <w:rPr>
          <w:rFonts w:ascii="楷体" w:hAnsi="楷体" w:eastAsia="楷体" w:cs="楷体"/>
          <w:spacing w:val="1"/>
          <w:sz w:val="24"/>
          <w:szCs w:val="24"/>
        </w:rPr>
        <w:t>利润分配情况填报本表。</w:t>
      </w:r>
    </w:p>
    <w:p>
      <w:pPr>
        <w:pStyle w:val="2"/>
        <w:spacing w:line="348" w:lineRule="auto"/>
      </w:pPr>
    </w:p>
    <w:p>
      <w:pPr>
        <w:spacing w:before="108" w:line="227" w:lineRule="exact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-30"/>
          <w:w w:val="97"/>
          <w:position w:val="-5"/>
          <w:sz w:val="33"/>
          <w:szCs w:val="33"/>
        </w:rPr>
        <w:t>—14—</w:t>
      </w:r>
    </w:p>
    <w:p>
      <w:pPr>
        <w:spacing w:line="227" w:lineRule="exact"/>
        <w:rPr>
          <w:rFonts w:ascii="宋体" w:hAnsi="宋体" w:eastAsia="宋体" w:cs="宋体"/>
          <w:sz w:val="33"/>
          <w:szCs w:val="33"/>
        </w:rPr>
        <w:sectPr>
          <w:type w:val="continuous"/>
          <w:pgSz w:w="11900" w:h="16820"/>
          <w:pgMar w:top="1429" w:right="1244" w:bottom="400" w:left="1420" w:header="0" w:footer="0" w:gutter="0"/>
          <w:cols w:equalWidth="0" w:num="1">
            <w:col w:w="9235"/>
          </w:cols>
        </w:sectPr>
      </w:pPr>
    </w:p>
    <w:p>
      <w:pPr>
        <w:pStyle w:val="2"/>
        <w:spacing w:line="396" w:lineRule="auto"/>
      </w:pPr>
    </w:p>
    <w:p>
      <w:pPr>
        <w:spacing w:before="104" w:line="224" w:lineRule="auto"/>
        <w:ind w:left="8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附件3</w:t>
      </w:r>
    </w:p>
    <w:p>
      <w:pPr>
        <w:spacing w:before="50" w:line="217" w:lineRule="auto"/>
        <w:ind w:left="3951" w:right="77" w:hanging="385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7"/>
          <w:sz w:val="43"/>
          <w:szCs w:val="43"/>
        </w:rPr>
        <w:t>旗直属企业国有资本收益(国有产权转让收</w:t>
      </w:r>
      <w:r>
        <w:rPr>
          <w:rFonts w:ascii="宋体" w:hAnsi="宋体" w:eastAsia="宋体" w:cs="宋体"/>
          <w:b/>
          <w:bCs/>
          <w:spacing w:val="16"/>
          <w:sz w:val="43"/>
          <w:szCs w:val="43"/>
        </w:rPr>
        <w:t>入)</w:t>
      </w:r>
      <w:r>
        <w:rPr>
          <w:rFonts w:ascii="宋体" w:hAnsi="宋体" w:eastAsia="宋体" w:cs="宋体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申报表</w:t>
      </w:r>
    </w:p>
    <w:p>
      <w:pPr>
        <w:spacing w:before="101" w:line="191" w:lineRule="auto"/>
        <w:ind w:left="3784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12"/>
          <w:sz w:val="33"/>
          <w:szCs w:val="33"/>
        </w:rPr>
        <w:t>(20年度)</w:t>
      </w:r>
    </w:p>
    <w:tbl>
      <w:tblPr>
        <w:tblStyle w:val="5"/>
        <w:tblW w:w="92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5"/>
        <w:gridCol w:w="2527"/>
        <w:gridCol w:w="2128"/>
        <w:gridCol w:w="2427"/>
        <w:gridCol w:w="18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220" w:type="dxa"/>
            <w:gridSpan w:val="5"/>
            <w:vAlign w:val="top"/>
          </w:tcPr>
          <w:p>
            <w:pPr>
              <w:pStyle w:val="6"/>
              <w:spacing w:before="33" w:line="193" w:lineRule="auto"/>
              <w:ind w:left="368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2" w:line="190" w:lineRule="auto"/>
              <w:ind w:left="1074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名</w:t>
            </w:r>
            <w:r>
              <w:rPr>
                <w:spacing w:val="15"/>
                <w:sz w:val="23"/>
                <w:szCs w:val="23"/>
              </w:rPr>
              <w:t xml:space="preserve">  </w:t>
            </w:r>
            <w:r>
              <w:rPr>
                <w:spacing w:val="-6"/>
                <w:sz w:val="23"/>
                <w:szCs w:val="23"/>
              </w:rPr>
              <w:t>称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2" w:line="191" w:lineRule="auto"/>
              <w:ind w:left="1014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性</w:t>
            </w:r>
            <w:r>
              <w:rPr>
                <w:spacing w:val="14"/>
                <w:sz w:val="23"/>
                <w:szCs w:val="23"/>
              </w:rPr>
              <w:t xml:space="preserve">   </w:t>
            </w:r>
            <w:r>
              <w:rPr>
                <w:spacing w:val="-6"/>
                <w:sz w:val="23"/>
                <w:szCs w:val="23"/>
              </w:rPr>
              <w:t>质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4" w:line="189" w:lineRule="auto"/>
              <w:ind w:left="934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联</w:t>
            </w:r>
            <w:r>
              <w:rPr>
                <w:spacing w:val="43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系</w:t>
            </w:r>
            <w:r>
              <w:rPr>
                <w:spacing w:val="40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人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3" w:line="190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636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9220" w:type="dxa"/>
            <w:gridSpan w:val="5"/>
            <w:vAlign w:val="top"/>
          </w:tcPr>
          <w:p>
            <w:pPr>
              <w:pStyle w:val="6"/>
              <w:spacing w:before="27" w:line="202" w:lineRule="auto"/>
              <w:ind w:left="3228"/>
              <w:rPr>
                <w:sz w:val="23"/>
                <w:szCs w:val="23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企业国有产权及其交易情况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4" w:line="181" w:lineRule="auto"/>
              <w:ind w:left="95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企业名称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4" w:line="181" w:lineRule="auto"/>
              <w:ind w:left="74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组织形式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3" w:line="189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注册地址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3" w:line="189" w:lineRule="auto"/>
              <w:ind w:left="74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所处行业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2" w:line="190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注册资本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3" w:line="189" w:lineRule="auto"/>
              <w:ind w:left="55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其中：国有股权(股份)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4" w:line="189" w:lineRule="auto"/>
              <w:ind w:left="72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账面资产总额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4" w:line="189" w:lineRule="auto"/>
              <w:ind w:left="40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其中：固定资产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4" w:line="181" w:lineRule="auto"/>
              <w:ind w:left="84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国有净资产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2" w:line="183" w:lineRule="auto"/>
              <w:ind w:left="63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资产评估值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4" w:line="188" w:lineRule="auto"/>
              <w:ind w:left="95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法人代表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7" w:line="186" w:lineRule="auto"/>
              <w:ind w:left="97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电话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4" w:line="189" w:lineRule="auto"/>
              <w:ind w:left="72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交易机构名称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4" w:line="189" w:lineRule="auto"/>
              <w:ind w:left="51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交易机构地址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4" w:line="189" w:lineRule="auto"/>
              <w:ind w:left="95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结算银行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4" w:line="189" w:lineRule="auto"/>
              <w:ind w:left="864"/>
              <w:rPr>
                <w:sz w:val="23"/>
                <w:szCs w:val="23"/>
              </w:rPr>
            </w:pPr>
            <w:r>
              <w:rPr>
                <w:spacing w:val="10"/>
                <w:sz w:val="23"/>
                <w:szCs w:val="23"/>
              </w:rPr>
              <w:t>算账户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5" w:line="188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财务经理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8" w:line="186" w:lineRule="auto"/>
              <w:ind w:left="74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5" w:line="188" w:lineRule="auto"/>
              <w:ind w:left="954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转让标的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4" w:line="189" w:lineRule="auto"/>
              <w:ind w:left="28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占国有净资产比重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3" w:line="190" w:lineRule="auto"/>
              <w:ind w:left="95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转让底价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3" w:line="190" w:lineRule="auto"/>
              <w:ind w:left="63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实际成交价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8" w:line="186" w:lineRule="auto"/>
              <w:ind w:left="845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合同签订日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5" w:line="188" w:lineRule="auto"/>
              <w:ind w:left="635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交易结算日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3" w:line="190" w:lineRule="auto"/>
              <w:ind w:left="72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价款结算方式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3" w:line="190" w:lineRule="auto"/>
              <w:ind w:left="51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价款结算时间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9220" w:type="dxa"/>
            <w:gridSpan w:val="5"/>
            <w:vAlign w:val="top"/>
          </w:tcPr>
          <w:p>
            <w:pPr>
              <w:pStyle w:val="6"/>
              <w:spacing w:before="22" w:line="190" w:lineRule="auto"/>
              <w:ind w:left="3798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受让方有关情况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9" w:line="185" w:lineRule="auto"/>
              <w:ind w:left="1184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名称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7" w:line="187" w:lineRule="auto"/>
              <w:ind w:left="974"/>
              <w:rPr>
                <w:sz w:val="23"/>
                <w:szCs w:val="23"/>
              </w:rPr>
            </w:pPr>
            <w:r>
              <w:rPr>
                <w:spacing w:val="12"/>
                <w:sz w:val="23"/>
                <w:szCs w:val="23"/>
              </w:rPr>
              <w:t>性质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37" w:line="187" w:lineRule="auto"/>
              <w:ind w:left="614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注册地(或住所)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35" w:line="188" w:lineRule="auto"/>
              <w:ind w:left="74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资产总额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852" w:type="dxa"/>
            <w:gridSpan w:val="2"/>
            <w:vAlign w:val="top"/>
          </w:tcPr>
          <w:p>
            <w:pPr>
              <w:pStyle w:val="6"/>
              <w:spacing w:before="25" w:line="188" w:lineRule="auto"/>
              <w:ind w:left="84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法定代表人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pStyle w:val="6"/>
              <w:spacing w:before="28" w:line="186" w:lineRule="auto"/>
              <w:ind w:left="74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4980" w:type="dxa"/>
            <w:gridSpan w:val="3"/>
            <w:vAlign w:val="top"/>
          </w:tcPr>
          <w:p>
            <w:pPr>
              <w:pStyle w:val="6"/>
              <w:spacing w:before="22" w:line="190" w:lineRule="auto"/>
              <w:ind w:left="2728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应交国有资本收益申</w:t>
            </w:r>
          </w:p>
        </w:tc>
        <w:tc>
          <w:tcPr>
            <w:tcW w:w="4240" w:type="dxa"/>
            <w:gridSpan w:val="2"/>
            <w:vAlign w:val="top"/>
          </w:tcPr>
          <w:p>
            <w:pPr>
              <w:pStyle w:val="6"/>
              <w:spacing w:before="22" w:line="190" w:lineRule="auto"/>
              <w:ind w:left="18"/>
              <w:rPr>
                <w:sz w:val="23"/>
                <w:szCs w:val="23"/>
              </w:rPr>
            </w:pPr>
            <w:r>
              <w:rPr>
                <w:b/>
                <w:bCs/>
                <w:spacing w:val="3"/>
                <w:sz w:val="23"/>
                <w:szCs w:val="23"/>
              </w:rPr>
              <w:t>报情况(万元)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vAlign w:val="top"/>
          </w:tcPr>
          <w:p>
            <w:pPr>
              <w:pStyle w:val="6"/>
              <w:spacing w:before="38" w:line="186" w:lineRule="auto"/>
              <w:ind w:left="769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项</w:t>
            </w:r>
            <w:r>
              <w:rPr>
                <w:spacing w:val="27"/>
                <w:sz w:val="23"/>
                <w:szCs w:val="23"/>
              </w:rPr>
              <w:t xml:space="preserve">    </w:t>
            </w:r>
            <w:r>
              <w:rPr>
                <w:spacing w:val="-7"/>
                <w:sz w:val="23"/>
                <w:szCs w:val="23"/>
              </w:rPr>
              <w:t>目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37" w:line="187" w:lineRule="auto"/>
              <w:ind w:left="703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申报数</w:t>
            </w:r>
          </w:p>
        </w:tc>
        <w:tc>
          <w:tcPr>
            <w:tcW w:w="2427" w:type="dxa"/>
            <w:vAlign w:val="top"/>
          </w:tcPr>
          <w:p>
            <w:pPr>
              <w:pStyle w:val="6"/>
              <w:spacing w:before="37" w:line="187" w:lineRule="auto"/>
              <w:ind w:left="40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监管部门审核数</w:t>
            </w:r>
          </w:p>
        </w:tc>
        <w:tc>
          <w:tcPr>
            <w:tcW w:w="1813" w:type="dxa"/>
            <w:vAlign w:val="top"/>
          </w:tcPr>
          <w:p>
            <w:pPr>
              <w:pStyle w:val="6"/>
              <w:spacing w:before="37" w:line="187" w:lineRule="auto"/>
              <w:ind w:left="197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vAlign w:val="top"/>
          </w:tcPr>
          <w:p>
            <w:pPr>
              <w:pStyle w:val="6"/>
              <w:spacing w:before="37" w:line="187" w:lineRule="auto"/>
              <w:ind w:left="8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实际转让收入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325" w:type="dxa"/>
            <w:vAlign w:val="top"/>
          </w:tcPr>
          <w:p>
            <w:pPr>
              <w:pStyle w:val="6"/>
              <w:spacing w:before="86" w:line="163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2</w:t>
            </w:r>
          </w:p>
        </w:tc>
        <w:tc>
          <w:tcPr>
            <w:tcW w:w="2527" w:type="dxa"/>
            <w:vAlign w:val="top"/>
          </w:tcPr>
          <w:p>
            <w:pPr>
              <w:pStyle w:val="6"/>
              <w:spacing w:before="28" w:line="178" w:lineRule="auto"/>
              <w:ind w:left="89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减：转让费用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9" w:hRule="atLeast"/>
        </w:trPr>
        <w:tc>
          <w:tcPr>
            <w:tcW w:w="325" w:type="dxa"/>
            <w:vAlign w:val="top"/>
          </w:tcPr>
          <w:p>
            <w:pPr>
              <w:pStyle w:val="6"/>
              <w:spacing w:before="96" w:line="172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3</w:t>
            </w:r>
          </w:p>
        </w:tc>
        <w:tc>
          <w:tcPr>
            <w:tcW w:w="2527" w:type="dxa"/>
            <w:vAlign w:val="top"/>
          </w:tcPr>
          <w:p>
            <w:pPr>
              <w:pStyle w:val="6"/>
              <w:spacing w:before="37" w:line="186" w:lineRule="auto"/>
              <w:ind w:left="8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转让净收入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5" w:type="dxa"/>
            <w:vAlign w:val="top"/>
          </w:tcPr>
          <w:p>
            <w:pPr>
              <w:pStyle w:val="6"/>
              <w:spacing w:before="97" w:line="172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4</w:t>
            </w:r>
          </w:p>
        </w:tc>
        <w:tc>
          <w:tcPr>
            <w:tcW w:w="2527" w:type="dxa"/>
            <w:vAlign w:val="top"/>
          </w:tcPr>
          <w:p>
            <w:pPr>
              <w:pStyle w:val="6"/>
              <w:spacing w:before="38" w:line="186" w:lineRule="auto"/>
              <w:jc w:val="right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国有股权(股份)所占比例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0" w:hRule="atLeast"/>
        </w:trPr>
        <w:tc>
          <w:tcPr>
            <w:tcW w:w="325" w:type="dxa"/>
            <w:vAlign w:val="top"/>
          </w:tcPr>
          <w:p>
            <w:pPr>
              <w:pStyle w:val="6"/>
              <w:spacing w:before="89" w:line="171" w:lineRule="exact"/>
              <w:ind w:left="94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5</w:t>
            </w:r>
          </w:p>
        </w:tc>
        <w:tc>
          <w:tcPr>
            <w:tcW w:w="2527" w:type="dxa"/>
            <w:vAlign w:val="top"/>
          </w:tcPr>
          <w:p>
            <w:pPr>
              <w:pStyle w:val="6"/>
              <w:spacing w:before="28" w:line="186" w:lineRule="auto"/>
              <w:ind w:left="89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应交产权转让收入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9220" w:type="dxa"/>
            <w:gridSpan w:val="5"/>
            <w:vAlign w:val="top"/>
          </w:tcPr>
          <w:p>
            <w:pPr>
              <w:pStyle w:val="6"/>
              <w:spacing w:before="26" w:line="179" w:lineRule="auto"/>
              <w:ind w:left="414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附送资料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220" w:type="dxa"/>
            <w:gridSpan w:val="5"/>
            <w:vAlign w:val="top"/>
          </w:tcPr>
          <w:p>
            <w:pPr>
              <w:pStyle w:val="6"/>
              <w:spacing w:before="75" w:line="214" w:lineRule="auto"/>
              <w:ind w:left="14" w:right="111" w:firstLine="9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1.市人民政府批准文件或国有资产监管机构审批文件；2.资产评估报告；3.交易结算单据</w:t>
            </w:r>
            <w:r>
              <w:rPr>
                <w:spacing w:val="12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复印件；4.转让费用清单及发票；5.产权转让合同；6.其他资料。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325" w:type="dxa"/>
            <w:textDirection w:val="tbRlV"/>
            <w:vAlign w:val="top"/>
          </w:tcPr>
          <w:p>
            <w:pPr>
              <w:pStyle w:val="6"/>
              <w:spacing w:before="50" w:line="216" w:lineRule="auto"/>
              <w:ind w:left="8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声</w:t>
            </w:r>
            <w:r>
              <w:rPr>
                <w:spacing w:val="30"/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>明</w:t>
            </w:r>
          </w:p>
        </w:tc>
        <w:tc>
          <w:tcPr>
            <w:tcW w:w="8895" w:type="dxa"/>
            <w:gridSpan w:val="4"/>
            <w:vAlign w:val="top"/>
          </w:tcPr>
          <w:p>
            <w:pPr>
              <w:pStyle w:val="6"/>
              <w:spacing w:before="80" w:line="209" w:lineRule="auto"/>
              <w:ind w:left="2022" w:hanging="1943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该企业按照国家规定程序进行交易，申报资料真实、合法，国有股</w:t>
            </w:r>
            <w:r>
              <w:rPr>
                <w:spacing w:val="-5"/>
                <w:sz w:val="23"/>
                <w:szCs w:val="23"/>
              </w:rPr>
              <w:t>东权益没有受到损害。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申报单位负责人(签章):</w:t>
            </w:r>
            <w:r>
              <w:rPr>
                <w:spacing w:val="1"/>
                <w:sz w:val="23"/>
                <w:szCs w:val="23"/>
              </w:rPr>
              <w:t xml:space="preserve">                   </w:t>
            </w:r>
            <w:r>
              <w:rPr>
                <w:spacing w:val="2"/>
                <w:sz w:val="23"/>
                <w:szCs w:val="23"/>
              </w:rPr>
              <w:t>(代公章)</w:t>
            </w:r>
          </w:p>
          <w:p>
            <w:pPr>
              <w:pStyle w:val="6"/>
              <w:spacing w:before="8" w:line="219" w:lineRule="auto"/>
              <w:ind w:left="6339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20</w:t>
            </w:r>
            <w:r>
              <w:rPr>
                <w:spacing w:val="12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年</w:t>
            </w:r>
            <w:r>
              <w:rPr>
                <w:spacing w:val="14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月</w:t>
            </w:r>
            <w:r>
              <w:rPr>
                <w:spacing w:val="22"/>
                <w:sz w:val="23"/>
                <w:szCs w:val="23"/>
              </w:rPr>
              <w:t xml:space="preserve">   </w:t>
            </w:r>
            <w:r>
              <w:rPr>
                <w:spacing w:val="-7"/>
                <w:sz w:val="23"/>
                <w:szCs w:val="23"/>
              </w:rPr>
              <w:t>日</w:t>
            </w:r>
          </w:p>
        </w:tc>
      </w:tr>
    </w:tbl>
    <w:p>
      <w:pPr>
        <w:pStyle w:val="2"/>
        <w:spacing w:line="28" w:lineRule="exact"/>
        <w:rPr>
          <w:sz w:val="2"/>
        </w:rPr>
      </w:pPr>
    </w:p>
    <w:p>
      <w:pPr>
        <w:spacing w:line="28" w:lineRule="exact"/>
        <w:rPr>
          <w:sz w:val="2"/>
          <w:szCs w:val="2"/>
        </w:rPr>
        <w:sectPr>
          <w:footerReference r:id="rId19" w:type="default"/>
          <w:pgSz w:w="11900" w:h="16820"/>
          <w:pgMar w:top="1429" w:right="1284" w:bottom="1455" w:left="1385" w:header="0" w:footer="1137" w:gutter="0"/>
          <w:cols w:equalWidth="0" w:num="1">
            <w:col w:w="9230"/>
          </w:cols>
        </w:sectPr>
      </w:pPr>
    </w:p>
    <w:p>
      <w:pPr>
        <w:spacing w:before="54" w:line="219" w:lineRule="auto"/>
        <w:ind w:left="39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7"/>
          <w:sz w:val="18"/>
          <w:szCs w:val="18"/>
        </w:rPr>
        <w:t>申报单位主管部门负责人；</w:t>
      </w:r>
    </w:p>
    <w:p>
      <w:pPr>
        <w:spacing w:before="53" w:line="192" w:lineRule="auto"/>
        <w:ind w:left="4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3"/>
          <w:sz w:val="24"/>
          <w:szCs w:val="24"/>
        </w:rPr>
        <w:t>注：存在产权转让收入的企业填报本表。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4" w:line="219" w:lineRule="auto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"/>
          <w:sz w:val="23"/>
          <w:szCs w:val="23"/>
        </w:rPr>
        <w:t>经办人：</w:t>
      </w:r>
    </w:p>
    <w:p>
      <w:pPr>
        <w:spacing w:line="219" w:lineRule="auto"/>
        <w:rPr>
          <w:rFonts w:ascii="宋体" w:hAnsi="宋体" w:eastAsia="宋体" w:cs="宋体"/>
          <w:sz w:val="23"/>
          <w:szCs w:val="23"/>
        </w:rPr>
        <w:sectPr>
          <w:type w:val="continuous"/>
          <w:pgSz w:w="11900" w:h="16820"/>
          <w:pgMar w:top="1429" w:right="1284" w:bottom="1455" w:left="1385" w:header="0" w:footer="1137" w:gutter="0"/>
          <w:cols w:equalWidth="0" w:num="2">
            <w:col w:w="5795" w:space="100"/>
            <w:col w:w="3336"/>
          </w:cols>
        </w:sectPr>
      </w:pPr>
    </w:p>
    <w:p>
      <w:pPr>
        <w:pStyle w:val="2"/>
        <w:spacing w:line="362" w:lineRule="auto"/>
      </w:pPr>
    </w:p>
    <w:p>
      <w:pPr>
        <w:spacing w:before="98" w:line="224" w:lineRule="auto"/>
        <w:ind w:left="34"/>
        <w:rPr>
          <w:rFonts w:ascii="黑体" w:hAnsi="黑体" w:eastAsia="黑体" w:cs="黑体"/>
          <w:sz w:val="30"/>
          <w:szCs w:val="30"/>
        </w:rPr>
      </w:pPr>
      <w:bookmarkStart w:id="0" w:name="_GoBack"/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附</w:t>
      </w:r>
      <w:r>
        <w:rPr>
          <w:rFonts w:ascii="黑体" w:hAnsi="黑体" w:eastAsia="黑体" w:cs="黑体"/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件</w:t>
      </w:r>
      <w:r>
        <w:rPr>
          <w:rFonts w:ascii="黑体" w:hAnsi="黑体" w:eastAsia="黑体" w:cs="黑体"/>
          <w:spacing w:val="-7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4</w:t>
      </w:r>
    </w:p>
    <w:p>
      <w:pPr>
        <w:spacing w:before="34" w:line="217" w:lineRule="auto"/>
        <w:ind w:left="3866" w:right="496" w:hanging="352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9"/>
          <w:sz w:val="43"/>
          <w:szCs w:val="43"/>
        </w:rPr>
        <w:t>旗直属企业国有资本收益(企业清算收入)</w:t>
      </w:r>
      <w:r>
        <w:rPr>
          <w:rFonts w:ascii="宋体" w:hAnsi="宋体" w:eastAsia="宋体" w:cs="宋体"/>
          <w:spacing w:val="14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申报表</w:t>
      </w:r>
    </w:p>
    <w:p>
      <w:pPr>
        <w:spacing w:before="101" w:line="197" w:lineRule="auto"/>
        <w:ind w:left="370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11"/>
          <w:sz w:val="32"/>
          <w:szCs w:val="32"/>
        </w:rPr>
        <w:t>(20年度)</w:t>
      </w:r>
    </w:p>
    <w:tbl>
      <w:tblPr>
        <w:tblStyle w:val="5"/>
        <w:tblW w:w="9019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"/>
        <w:gridCol w:w="2817"/>
        <w:gridCol w:w="1968"/>
        <w:gridCol w:w="2117"/>
        <w:gridCol w:w="18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019" w:type="dxa"/>
            <w:gridSpan w:val="5"/>
            <w:vAlign w:val="top"/>
          </w:tcPr>
          <w:p>
            <w:pPr>
              <w:pStyle w:val="6"/>
              <w:spacing w:before="19" w:line="197" w:lineRule="auto"/>
              <w:ind w:left="266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申报单位(清算人或管理人)基本情况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19" w:line="192" w:lineRule="auto"/>
              <w:ind w:left="86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批准成立单位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21" w:line="191" w:lineRule="auto"/>
              <w:ind w:left="59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成立时间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0" w:line="192" w:lineRule="auto"/>
              <w:ind w:left="10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开户银行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30" w:line="192" w:lineRule="auto"/>
              <w:ind w:left="59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银行账号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0" w:line="192" w:lineRule="auto"/>
              <w:ind w:left="98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财务负责人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2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19" w:type="dxa"/>
            <w:gridSpan w:val="5"/>
            <w:vAlign w:val="top"/>
          </w:tcPr>
          <w:p>
            <w:pPr>
              <w:pStyle w:val="6"/>
              <w:spacing w:before="15" w:line="196" w:lineRule="auto"/>
              <w:ind w:left="3588"/>
              <w:rPr>
                <w:sz w:val="23"/>
                <w:szCs w:val="23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企业清算基本情况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3" w:line="189" w:lineRule="auto"/>
              <w:ind w:left="10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企业名称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22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注册地址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2" w:line="191" w:lineRule="auto"/>
              <w:ind w:left="10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所处行业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3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组织形式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1" w:line="191" w:lineRule="auto"/>
              <w:ind w:left="109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注册资本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31" w:line="191" w:lineRule="auto"/>
              <w:ind w:left="24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其中：国有股权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2" w:line="190" w:lineRule="auto"/>
              <w:ind w:left="984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原法人代表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22" w:line="190" w:lineRule="auto"/>
              <w:ind w:left="36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原财务负责人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3" w:line="190" w:lineRule="auto"/>
              <w:ind w:left="86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账面资产总额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23" w:line="190" w:lineRule="auto"/>
              <w:ind w:left="24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其中：固定资产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3" w:line="190" w:lineRule="auto"/>
              <w:ind w:left="865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账面负债总额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23" w:line="190" w:lineRule="auto"/>
              <w:ind w:left="47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账面净资产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2" w:line="191" w:lineRule="auto"/>
              <w:ind w:left="109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审计机构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3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法人代表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2" w:line="191" w:lineRule="auto"/>
              <w:ind w:left="86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资产评估机构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pStyle w:val="6"/>
              <w:spacing w:before="33" w:line="190" w:lineRule="auto"/>
              <w:ind w:left="59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法人代表</w:t>
            </w: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2" w:line="219" w:lineRule="auto"/>
              <w:jc w:val="right"/>
              <w:rPr>
                <w:sz w:val="20"/>
                <w:szCs w:val="20"/>
              </w:rPr>
            </w:pPr>
            <w:r>
              <w:rPr>
                <w:spacing w:val="-23"/>
                <w:w w:val="98"/>
                <w:sz w:val="20"/>
                <w:szCs w:val="20"/>
              </w:rPr>
              <w:t>清算终结日(或法院裁定清算程序终结日)</w:t>
            </w:r>
          </w:p>
        </w:tc>
        <w:tc>
          <w:tcPr>
            <w:tcW w:w="588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9019" w:type="dxa"/>
            <w:gridSpan w:val="5"/>
            <w:vAlign w:val="top"/>
          </w:tcPr>
          <w:p>
            <w:pPr>
              <w:pStyle w:val="6"/>
              <w:spacing w:before="19" w:line="192" w:lineRule="auto"/>
              <w:ind w:left="283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应交企业清算收入申报情况(万元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5" w:line="180" w:lineRule="auto"/>
              <w:ind w:left="1324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项 目</w:t>
            </w:r>
          </w:p>
        </w:tc>
        <w:tc>
          <w:tcPr>
            <w:tcW w:w="1968" w:type="dxa"/>
            <w:vAlign w:val="top"/>
          </w:tcPr>
          <w:p>
            <w:pPr>
              <w:pStyle w:val="6"/>
              <w:spacing w:before="24" w:line="181" w:lineRule="auto"/>
              <w:ind w:left="64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申报数</w:t>
            </w:r>
          </w:p>
        </w:tc>
        <w:tc>
          <w:tcPr>
            <w:tcW w:w="2117" w:type="dxa"/>
            <w:vAlign w:val="top"/>
          </w:tcPr>
          <w:p>
            <w:pPr>
              <w:pStyle w:val="6"/>
              <w:spacing w:before="24" w:line="181" w:lineRule="auto"/>
              <w:ind w:left="24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监管部门审核数</w:t>
            </w:r>
          </w:p>
        </w:tc>
        <w:tc>
          <w:tcPr>
            <w:tcW w:w="1803" w:type="dxa"/>
            <w:vAlign w:val="top"/>
          </w:tcPr>
          <w:p>
            <w:pPr>
              <w:pStyle w:val="6"/>
              <w:spacing w:before="24" w:line="181" w:lineRule="auto"/>
              <w:ind w:left="209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2" w:line="190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清算财产变价总收入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5" w:line="196" w:lineRule="auto"/>
              <w:ind w:left="14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减：清</w:t>
            </w:r>
            <w:r>
              <w:rPr>
                <w:spacing w:val="116"/>
                <w:sz w:val="23"/>
                <w:szCs w:val="23"/>
              </w:rPr>
              <w:t xml:space="preserve"> </w:t>
            </w:r>
            <w:r>
              <w:rPr>
                <w:spacing w:val="7"/>
                <w:sz w:val="23"/>
                <w:szCs w:val="23"/>
              </w:rPr>
              <w:t>费用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15" w:line="196" w:lineRule="auto"/>
              <w:ind w:left="1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减：共</w:t>
            </w:r>
            <w:r>
              <w:rPr>
                <w:spacing w:val="10"/>
                <w:sz w:val="23"/>
                <w:szCs w:val="23"/>
              </w:rPr>
              <w:t xml:space="preserve">     </w:t>
            </w:r>
            <w:r>
              <w:rPr>
                <w:sz w:val="23"/>
                <w:szCs w:val="23"/>
              </w:rPr>
              <w:t>债务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4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剩余清算收入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减：拖欠职工的劳动债权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减：缴纳欠交税款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3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减：清偿普通债务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5" w:line="188" w:lineRule="auto"/>
              <w:ind w:left="14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清算净收入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5" w:line="188" w:lineRule="auto"/>
              <w:ind w:left="29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国有股权(股份)所占比例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131" w:type="dxa"/>
            <w:gridSpan w:val="2"/>
            <w:vAlign w:val="top"/>
          </w:tcPr>
          <w:p>
            <w:pPr>
              <w:pStyle w:val="6"/>
              <w:spacing w:before="26" w:line="187" w:lineRule="auto"/>
              <w:ind w:left="3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应交企业清算收入</w:t>
            </w: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019" w:type="dxa"/>
            <w:gridSpan w:val="5"/>
            <w:vAlign w:val="top"/>
          </w:tcPr>
          <w:p>
            <w:pPr>
              <w:pStyle w:val="6"/>
              <w:spacing w:before="23" w:line="190" w:lineRule="auto"/>
              <w:ind w:left="404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附列资料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019" w:type="dxa"/>
            <w:gridSpan w:val="5"/>
            <w:vAlign w:val="top"/>
          </w:tcPr>
          <w:p>
            <w:pPr>
              <w:pStyle w:val="6"/>
              <w:spacing w:before="55" w:line="202" w:lineRule="auto"/>
              <w:ind w:left="34" w:right="123" w:firstLine="9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1.股东大会关于实施清算的决议或有关部门批准清算的文件；2.清算人或管理人组织成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立的文件；3.清算审计报告；4.企业清算报告；5.其他资料。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</w:trPr>
        <w:tc>
          <w:tcPr>
            <w:tcW w:w="314" w:type="dxa"/>
            <w:textDirection w:val="tbRlV"/>
            <w:vAlign w:val="top"/>
          </w:tcPr>
          <w:p>
            <w:pPr>
              <w:pStyle w:val="6"/>
              <w:spacing w:before="59" w:line="216" w:lineRule="auto"/>
              <w:ind w:left="20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声</w:t>
            </w:r>
            <w:r>
              <w:rPr>
                <w:spacing w:val="4"/>
                <w:sz w:val="23"/>
                <w:szCs w:val="23"/>
              </w:rPr>
              <w:t xml:space="preserve">    </w:t>
            </w:r>
            <w:r>
              <w:rPr>
                <w:sz w:val="23"/>
                <w:szCs w:val="23"/>
              </w:rPr>
              <w:t>明</w:t>
            </w:r>
          </w:p>
        </w:tc>
        <w:tc>
          <w:tcPr>
            <w:tcW w:w="8705" w:type="dxa"/>
            <w:gridSpan w:val="4"/>
            <w:vAlign w:val="top"/>
          </w:tcPr>
          <w:p>
            <w:pPr>
              <w:pStyle w:val="6"/>
              <w:spacing w:before="97" w:line="247" w:lineRule="auto"/>
              <w:ind w:left="110" w:right="505" w:firstLine="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该企业按照国家规定实施清算，申报资料真实、合法，股东合法权益没有受到损</w:t>
            </w:r>
            <w:r>
              <w:rPr>
                <w:spacing w:val="17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害。</w:t>
            </w:r>
          </w:p>
          <w:p>
            <w:pPr>
              <w:pStyle w:val="6"/>
              <w:spacing w:before="53" w:line="219" w:lineRule="auto"/>
              <w:ind w:left="1210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清算人或管理人代表(签章):</w:t>
            </w:r>
            <w:r>
              <w:rPr>
                <w:spacing w:val="2"/>
                <w:sz w:val="23"/>
                <w:szCs w:val="23"/>
              </w:rPr>
              <w:t xml:space="preserve">                   </w:t>
            </w:r>
            <w:r>
              <w:rPr>
                <w:spacing w:val="4"/>
                <w:sz w:val="23"/>
                <w:szCs w:val="23"/>
              </w:rPr>
              <w:t>(代公章)</w:t>
            </w:r>
          </w:p>
          <w:p>
            <w:pPr>
              <w:pStyle w:val="6"/>
              <w:spacing w:before="68" w:line="196" w:lineRule="auto"/>
              <w:ind w:left="5980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20</w:t>
            </w:r>
            <w:r>
              <w:rPr>
                <w:spacing w:val="14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年</w:t>
            </w:r>
            <w:r>
              <w:rPr>
                <w:spacing w:val="15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月</w:t>
            </w:r>
            <w:r>
              <w:rPr>
                <w:spacing w:val="32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日</w:t>
            </w:r>
          </w:p>
        </w:tc>
      </w:tr>
    </w:tbl>
    <w:p>
      <w:pPr>
        <w:spacing w:before="55" w:line="219" w:lineRule="auto"/>
        <w:ind w:left="552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21"/>
          <w:sz w:val="26"/>
          <w:szCs w:val="26"/>
        </w:rPr>
        <w:t>经办人：</w:t>
      </w:r>
    </w:p>
    <w:p>
      <w:pPr>
        <w:spacing w:before="45" w:line="223" w:lineRule="auto"/>
        <w:ind w:left="49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14"/>
          <w:sz w:val="26"/>
          <w:szCs w:val="26"/>
        </w:rPr>
        <w:t>注：存在清算收入的企业填报本表。</w:t>
      </w:r>
    </w:p>
    <w:bookmarkEnd w:id="0"/>
    <w:p>
      <w:pPr>
        <w:spacing w:before="100"/>
      </w:pPr>
    </w:p>
    <w:tbl>
      <w:tblPr>
        <w:tblStyle w:val="5"/>
        <w:tblW w:w="8709" w:type="dxa"/>
        <w:tblInd w:w="6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75"/>
        <w:gridCol w:w="4234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4475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>
            <w:pPr>
              <w:spacing w:before="189" w:line="223" w:lineRule="auto"/>
              <w:ind w:left="200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17"/>
                <w:sz w:val="26"/>
                <w:szCs w:val="26"/>
              </w:rPr>
              <w:t>达拉特旗人民政府办公室</w:t>
            </w:r>
          </w:p>
        </w:tc>
        <w:tc>
          <w:tcPr>
            <w:tcW w:w="4234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>
            <w:pPr>
              <w:spacing w:before="176" w:line="222" w:lineRule="auto"/>
              <w:ind w:left="1314"/>
              <w:rPr>
                <w:rFonts w:ascii="仿宋" w:hAnsi="仿宋" w:eastAsia="仿宋" w:cs="仿宋"/>
                <w:sz w:val="26"/>
                <w:szCs w:val="26"/>
              </w:rPr>
            </w:pPr>
            <w:r>
              <w:rPr>
                <w:rFonts w:ascii="仿宋" w:hAnsi="仿宋" w:eastAsia="仿宋" w:cs="仿宋"/>
                <w:spacing w:val="38"/>
                <w:sz w:val="26"/>
                <w:szCs w:val="26"/>
              </w:rPr>
              <w:t>2023年10月23日印发</w:t>
            </w:r>
          </w:p>
        </w:tc>
      </w:tr>
    </w:tbl>
    <w:p>
      <w:pPr>
        <w:spacing w:before="253" w:line="184" w:lineRule="auto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33"/>
          <w:w w:val="94"/>
          <w:sz w:val="35"/>
          <w:szCs w:val="35"/>
        </w:rPr>
        <w:t>—16—</w:t>
      </w:r>
    </w:p>
    <w:sectPr>
      <w:footerReference r:id="rId20" w:type="default"/>
      <w:pgSz w:w="11900" w:h="16820"/>
      <w:pgMar w:top="1429" w:right="1445" w:bottom="400" w:left="14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jc w:val="right"/>
      <w:rPr>
        <w:rFonts w:ascii="宋体" w:hAnsi="宋体" w:eastAsia="宋体" w:cs="宋体"/>
        <w:sz w:val="33"/>
        <w:szCs w:val="33"/>
      </w:rPr>
    </w:pPr>
    <w:r>
      <w:rPr>
        <w:rFonts w:ascii="宋体" w:hAnsi="宋体" w:eastAsia="宋体" w:cs="宋体"/>
        <w:spacing w:val="-39"/>
        <w:w w:val="87"/>
        <w:sz w:val="33"/>
        <w:szCs w:val="33"/>
      </w:rPr>
      <w:t>—</w:t>
    </w:r>
    <w:r>
      <w:rPr>
        <w:rFonts w:ascii="宋体" w:hAnsi="宋体" w:eastAsia="宋体" w:cs="宋体"/>
        <w:spacing w:val="-38"/>
        <w:w w:val="87"/>
        <w:sz w:val="33"/>
        <w:szCs w:val="33"/>
      </w:rPr>
      <w:t>1</w:t>
    </w:r>
    <w:r>
      <w:rPr>
        <w:rFonts w:ascii="宋体" w:hAnsi="宋体" w:eastAsia="宋体" w:cs="宋体"/>
        <w:spacing w:val="-10"/>
        <w:w w:val="87"/>
        <w:sz w:val="33"/>
        <w:szCs w:val="33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20"/>
        <w:w w:val="95"/>
        <w:sz w:val="31"/>
        <w:szCs w:val="31"/>
      </w:rPr>
      <w:t>—2—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830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22"/>
        <w:w w:val="98"/>
        <w:sz w:val="31"/>
        <w:szCs w:val="31"/>
      </w:rPr>
      <w:t>—3—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16"/>
        <w:w w:val="93"/>
        <w:sz w:val="31"/>
        <w:szCs w:val="31"/>
      </w:rPr>
      <w:t>—4—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5" w:lineRule="auto"/>
      <w:jc w:val="right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26"/>
        <w:w w:val="88"/>
        <w:sz w:val="31"/>
        <w:szCs w:val="31"/>
      </w:rPr>
      <w:t>—</w:t>
    </w:r>
    <w:r>
      <w:rPr>
        <w:rFonts w:ascii="宋体" w:hAnsi="宋体" w:eastAsia="宋体" w:cs="宋体"/>
        <w:spacing w:val="-25"/>
        <w:w w:val="88"/>
        <w:sz w:val="31"/>
        <w:szCs w:val="31"/>
      </w:rPr>
      <w:t>5</w:t>
    </w:r>
    <w:r>
      <w:rPr>
        <w:rFonts w:ascii="宋体" w:hAnsi="宋体" w:eastAsia="宋体" w:cs="宋体"/>
        <w:spacing w:val="-9"/>
        <w:w w:val="88"/>
        <w:sz w:val="31"/>
        <w:szCs w:val="31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spacing w:val="-13"/>
        <w:w w:val="72"/>
        <w:sz w:val="35"/>
        <w:szCs w:val="35"/>
      </w:rPr>
      <w:t>—</w:t>
    </w:r>
    <w:r>
      <w:rPr>
        <w:rFonts w:ascii="宋体" w:hAnsi="宋体" w:eastAsia="宋体" w:cs="宋体"/>
        <w:spacing w:val="-25"/>
        <w:sz w:val="35"/>
        <w:szCs w:val="35"/>
      </w:rPr>
      <w:t>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5" w:lineRule="auto"/>
      <w:ind w:left="8259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22"/>
        <w:w w:val="95"/>
        <w:sz w:val="31"/>
        <w:szCs w:val="31"/>
      </w:rPr>
      <w:t>—7—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spacing w:val="-19"/>
        <w:w w:val="89"/>
        <w:sz w:val="35"/>
        <w:szCs w:val="35"/>
      </w:rPr>
      <w:t>—8—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jc w:val="right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3"/>
        <w:w w:val="87"/>
        <w:sz w:val="32"/>
        <w:szCs w:val="32"/>
      </w:rPr>
      <w:t>—</w:t>
    </w:r>
    <w:r>
      <w:rPr>
        <w:rFonts w:ascii="宋体" w:hAnsi="宋体" w:eastAsia="宋体" w:cs="宋体"/>
        <w:spacing w:val="-22"/>
        <w:w w:val="87"/>
        <w:sz w:val="32"/>
        <w:szCs w:val="32"/>
      </w:rPr>
      <w:t>9</w:t>
    </w:r>
    <w:r>
      <w:rPr>
        <w:rFonts w:ascii="宋体" w:hAnsi="宋体" w:eastAsia="宋体" w:cs="宋体"/>
        <w:spacing w:val="-9"/>
        <w:w w:val="87"/>
        <w:sz w:val="32"/>
        <w:szCs w:val="32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23"/>
        <w:sz w:val="31"/>
        <w:szCs w:val="31"/>
      </w:rPr>
      <w:t>—10—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jc w:val="right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51"/>
        <w:w w:val="98"/>
        <w:sz w:val="32"/>
        <w:szCs w:val="32"/>
      </w:rPr>
      <w:t>—</w:t>
    </w:r>
    <w:r>
      <w:rPr>
        <w:rFonts w:ascii="宋体" w:hAnsi="宋体" w:eastAsia="宋体" w:cs="宋体"/>
        <w:spacing w:val="-50"/>
        <w:w w:val="98"/>
        <w:sz w:val="32"/>
        <w:szCs w:val="32"/>
      </w:rPr>
      <w:t>11</w:t>
    </w:r>
    <w:r>
      <w:rPr>
        <w:rFonts w:ascii="宋体" w:hAnsi="宋体" w:eastAsia="宋体" w:cs="宋体"/>
        <w:spacing w:val="-9"/>
        <w:w w:val="98"/>
        <w:sz w:val="32"/>
        <w:szCs w:val="32"/>
      </w:rPr>
      <w:t>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spacing w:val="-34"/>
        <w:w w:val="94"/>
        <w:sz w:val="35"/>
        <w:szCs w:val="35"/>
      </w:rPr>
      <w:t>—12—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jc w:val="right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0"/>
        <w:w w:val="96"/>
        <w:sz w:val="32"/>
        <w:szCs w:val="32"/>
      </w:rPr>
      <w:t>—1</w:t>
    </w:r>
    <w:r>
      <w:rPr>
        <w:rFonts w:ascii="宋体" w:hAnsi="宋体" w:eastAsia="宋体" w:cs="宋体"/>
        <w:spacing w:val="-39"/>
        <w:w w:val="96"/>
        <w:sz w:val="32"/>
        <w:szCs w:val="32"/>
      </w:rPr>
      <w:t>3</w:t>
    </w:r>
    <w:r>
      <w:rPr>
        <w:rFonts w:ascii="宋体" w:hAnsi="宋体" w:eastAsia="宋体" w:cs="宋体"/>
        <w:spacing w:val="-9"/>
        <w:w w:val="96"/>
        <w:sz w:val="32"/>
        <w:szCs w:val="32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817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0"/>
        <w:sz w:val="32"/>
        <w:szCs w:val="32"/>
      </w:rPr>
      <w:t>—15—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TU3YTFiNjQ4ZDFmMDRiNDU2ZTlhODg2N2FmMDE3MzgifQ=="/>
  </w:docVars>
  <w:rsids>
    <w:rsidRoot w:val="00000000"/>
    <w:rsid w:val="1FD672A3"/>
    <w:rsid w:val="5D8133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.png"/><Relationship Id="rId21" Type="http://schemas.openxmlformats.org/officeDocument/2006/relationships/theme" Target="theme/theme1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13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2024-03-07T17:11:00Z</dcterms:created>
  <dc:creator>Kingsoft-PDF</dc:creator>
  <cp:lastModifiedBy>3</cp:lastModifiedBy>
  <dcterms:modified xsi:type="dcterms:W3CDTF">2024-03-08T09:11:53Z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2024-03-07T17:11:19Z</vt:filetime>
  </property>
  <property fmtid="{D5CDD505-2E9C-101B-9397-08002B2CF9AE}" pid="4" name="UsrData">
    <vt:lpwstr>65e984af86ea1b001f9c891awl</vt:lpwstr>
  </property>
  <property fmtid="{D5CDD505-2E9C-101B-9397-08002B2CF9AE}" pid="5" name="KSOProductBuildVer">
    <vt:lpwstr>2052-12.1.0.16388</vt:lpwstr>
  </property>
  <property fmtid="{D5CDD505-2E9C-101B-9397-08002B2CF9AE}" pid="6" name="ICV">
    <vt:lpwstr>0D6BC8F8BA7E4D7AAEFE788FBE2D4414_13</vt:lpwstr>
  </property>
</Properties>
</file>