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800" w:lineRule="exact"/>
        <w:jc w:val="both"/>
        <w:textAlignment w:val="auto"/>
        <w:rPr>
          <w:rFonts w:hint="eastAsia" w:ascii="黑体" w:hAnsi="黑体" w:eastAsia="黑体" w:cs="黑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1000" w:lineRule="exact"/>
        <w:jc w:val="both"/>
        <w:textAlignment w:val="auto"/>
        <w:rPr>
          <w:rFonts w:hint="eastAsia" w:ascii="华文中宋" w:hAnsi="华文中宋" w:eastAsia="华文中宋" w:cs="华文中宋"/>
          <w:b/>
          <w:bCs/>
          <w:color w:val="FF0000"/>
          <w:w w:val="60"/>
          <w:sz w:val="72"/>
          <w:szCs w:val="72"/>
          <w:lang w:val="en-US" w:eastAsia="zh-CN"/>
        </w:rPr>
      </w:pPr>
      <w:r>
        <w:rPr>
          <w:rFonts w:hint="eastAsia" w:ascii="华文中宋" w:hAnsi="华文中宋" w:eastAsia="华文中宋" w:cs="华文中宋"/>
          <w:b/>
          <w:bCs/>
          <w:color w:val="FF0000"/>
          <w:w w:val="60"/>
          <w:sz w:val="72"/>
          <w:szCs w:val="72"/>
          <w:lang w:val="en-US" w:eastAsia="zh-CN"/>
        </w:rPr>
        <w:t>鄂尔多斯市东胜区住房和城乡建设局</w:t>
      </w:r>
    </w:p>
    <w:p>
      <w:pPr>
        <w:keepNext w:val="0"/>
        <w:keepLines w:val="0"/>
        <w:pageBreakBefore w:val="0"/>
        <w:widowControl w:val="0"/>
        <w:kinsoku/>
        <w:wordWrap/>
        <w:overflowPunct/>
        <w:topLinePunct w:val="0"/>
        <w:autoSpaceDE/>
        <w:autoSpaceDN/>
        <w:bidi w:val="0"/>
        <w:adjustRightInd/>
        <w:snapToGrid/>
        <w:spacing w:line="1000" w:lineRule="exact"/>
        <w:ind w:firstLine="6974" w:firstLineChars="1100"/>
        <w:jc w:val="both"/>
        <w:textAlignment w:val="auto"/>
        <w:rPr>
          <w:rFonts w:hint="eastAsia" w:ascii="华文中宋" w:hAnsi="华文中宋" w:eastAsia="华文中宋" w:cs="华文中宋"/>
          <w:b/>
          <w:bCs/>
          <w:color w:val="FF0000"/>
          <w:w w:val="65"/>
          <w:sz w:val="72"/>
          <w:szCs w:val="72"/>
          <w:lang w:val="en-US" w:eastAsia="zh-CN"/>
        </w:rPr>
      </w:pPr>
      <w:r>
        <w:rPr>
          <w:rFonts w:hint="eastAsia" w:ascii="华文中宋" w:hAnsi="华文中宋" w:eastAsia="华文中宋" w:cs="华文中宋"/>
          <w:b/>
          <w:bCs/>
          <w:color w:val="FF0000"/>
          <w:w w:val="66"/>
          <w:sz w:val="96"/>
          <w:szCs w:val="96"/>
          <w:lang w:val="en-US" w:eastAsia="zh-CN"/>
        </w:rPr>
        <w:t>文件</w:t>
      </w:r>
    </w:p>
    <w:p>
      <w:pPr>
        <w:keepNext w:val="0"/>
        <w:keepLines w:val="0"/>
        <w:pageBreakBefore w:val="0"/>
        <w:widowControl w:val="0"/>
        <w:kinsoku/>
        <w:wordWrap/>
        <w:overflowPunct/>
        <w:topLinePunct w:val="0"/>
        <w:autoSpaceDE/>
        <w:autoSpaceDN/>
        <w:bidi w:val="0"/>
        <w:adjustRightInd/>
        <w:snapToGrid/>
        <w:spacing w:line="1000" w:lineRule="exact"/>
        <w:jc w:val="both"/>
        <w:textAlignment w:val="auto"/>
        <w:rPr>
          <w:rFonts w:hint="eastAsia" w:ascii="华文中宋" w:hAnsi="华文中宋" w:eastAsia="华文中宋" w:cs="华文中宋"/>
          <w:b/>
          <w:bCs/>
          <w:color w:val="FF0000"/>
          <w:w w:val="66"/>
          <w:sz w:val="96"/>
          <w:szCs w:val="96"/>
          <w:lang w:val="en-US" w:eastAsia="zh-CN"/>
        </w:rPr>
      </w:pPr>
      <w:r>
        <w:rPr>
          <w:rFonts w:hint="eastAsia" w:ascii="华文中宋" w:hAnsi="华文中宋" w:eastAsia="华文中宋" w:cs="华文中宋"/>
          <w:b/>
          <w:bCs/>
          <w:color w:val="FF0000"/>
          <w:w w:val="65"/>
          <w:sz w:val="72"/>
          <w:szCs w:val="72"/>
          <w:lang w:val="en-US" w:eastAsia="zh-CN"/>
        </w:rPr>
        <w:t xml:space="preserve">鄂尔多斯市东胜区市场监督管理局  </w:t>
      </w:r>
    </w:p>
    <w:p>
      <w:pPr>
        <w:jc w:val="both"/>
        <w:rPr>
          <w:rFonts w:hint="eastAsia" w:ascii="黑体" w:hAnsi="黑体" w:eastAsia="黑体" w:cs="黑体"/>
          <w:sz w:val="44"/>
          <w:szCs w:val="44"/>
          <w:lang w:val="en-US" w:eastAsia="zh-CN"/>
        </w:rPr>
      </w:pPr>
    </w:p>
    <w:p>
      <w:pPr>
        <w:jc w:val="center"/>
        <w:rPr>
          <w:rFonts w:hint="eastAsia" w:ascii="仿宋_GB2312" w:eastAsia="仿宋_GB2312"/>
          <w:color w:val="auto"/>
          <w:sz w:val="32"/>
        </w:rPr>
      </w:pPr>
      <w:r>
        <w:rPr>
          <w:rFonts w:hint="eastAsia" w:ascii="仿宋_GB2312" w:eastAsia="仿宋_GB2312"/>
          <w:color w:val="auto"/>
          <w:sz w:val="32"/>
          <w:lang w:val="en-US" w:eastAsia="zh-CN"/>
        </w:rPr>
        <w:t>东住建联发〔</w:t>
      </w:r>
      <w:r>
        <w:rPr>
          <w:rFonts w:hint="eastAsia" w:ascii="仿宋_GB2312" w:eastAsia="仿宋_GB2312"/>
          <w:color w:val="auto"/>
          <w:sz w:val="32"/>
          <w:lang w:eastAsia="zh-CN"/>
        </w:rPr>
        <w:t>20</w:t>
      </w:r>
      <w:r>
        <w:rPr>
          <w:rFonts w:hint="eastAsia" w:ascii="仿宋_GB2312" w:eastAsia="仿宋_GB2312"/>
          <w:color w:val="auto"/>
          <w:sz w:val="32"/>
          <w:lang w:val="en-US" w:eastAsia="zh-CN"/>
        </w:rPr>
        <w:t>26</w:t>
      </w:r>
      <w:r>
        <w:rPr>
          <w:rFonts w:hint="eastAsia" w:ascii="仿宋_GB2312" w:eastAsia="仿宋_GB2312"/>
          <w:color w:val="auto"/>
          <w:sz w:val="32"/>
        </w:rPr>
        <w:t>〕</w:t>
      </w:r>
      <w:r>
        <w:rPr>
          <w:rFonts w:hint="eastAsia" w:ascii="仿宋_GB2312" w:eastAsia="仿宋_GB2312"/>
          <w:color w:val="auto"/>
          <w:sz w:val="32"/>
          <w:lang w:val="en-US" w:eastAsia="zh-CN"/>
        </w:rPr>
        <w:t>2</w:t>
      </w:r>
      <w:bookmarkStart w:id="0" w:name="_GoBack"/>
      <w:bookmarkEnd w:id="0"/>
      <w:r>
        <w:rPr>
          <w:rFonts w:hint="eastAsia" w:ascii="仿宋_GB2312" w:eastAsia="仿宋_GB2312"/>
          <w:color w:val="auto"/>
          <w:sz w:val="32"/>
        </w:rPr>
        <w:t>号</w:t>
      </w:r>
    </w:p>
    <w:p>
      <w:pPr>
        <w:jc w:val="both"/>
        <w:rPr>
          <w:rFonts w:hint="eastAsia" w:ascii="仿宋_GB2312" w:eastAsia="仿宋_GB2312"/>
          <w:color w:val="FF0000"/>
          <w:sz w:val="32"/>
          <w:u w:val="thick"/>
          <w:lang w:val="en-US" w:eastAsia="zh-CN"/>
        </w:rPr>
      </w:pPr>
      <w:r>
        <w:rPr>
          <w:rFonts w:hint="eastAsia" w:ascii="仿宋_GB2312" w:eastAsia="仿宋_GB2312"/>
          <w:color w:val="FF0000"/>
          <w:sz w:val="32"/>
          <w:u w:val="thick"/>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方正小标宋简体" w:hAnsi="方正小标宋简体" w:eastAsia="方正小标宋简体" w:cs="方正小标宋简体"/>
          <w:color w:val="auto"/>
          <w:sz w:val="44"/>
          <w:szCs w:val="44"/>
          <w:u w:val="none"/>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44"/>
          <w:szCs w:val="44"/>
          <w:u w:val="none"/>
          <w:lang w:val="en-US" w:eastAsia="zh-CN"/>
        </w:rPr>
      </w:pPr>
      <w:r>
        <w:rPr>
          <w:rFonts w:hint="eastAsia" w:ascii="方正小标宋简体" w:hAnsi="方正小标宋简体" w:eastAsia="方正小标宋简体" w:cs="方正小标宋简体"/>
          <w:color w:val="auto"/>
          <w:sz w:val="44"/>
          <w:szCs w:val="44"/>
          <w:u w:val="none"/>
          <w:lang w:val="en-US" w:eastAsia="zh-CN"/>
        </w:rPr>
        <w:t>鄂尔多斯市东胜区住房和城乡建设局关于</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44"/>
          <w:szCs w:val="44"/>
          <w:u w:val="none"/>
          <w:lang w:val="en-US" w:eastAsia="zh-CN"/>
        </w:rPr>
      </w:pPr>
      <w:r>
        <w:rPr>
          <w:rFonts w:hint="eastAsia" w:ascii="方正小标宋简体" w:hAnsi="方正小标宋简体" w:eastAsia="方正小标宋简体" w:cs="方正小标宋简体"/>
          <w:color w:val="auto"/>
          <w:sz w:val="44"/>
          <w:szCs w:val="44"/>
          <w:u w:val="none"/>
          <w:lang w:val="en-US" w:eastAsia="zh-CN"/>
        </w:rPr>
        <w:t>开展2026年燃气经营安全生产检查</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44"/>
          <w:szCs w:val="44"/>
          <w:u w:val="none"/>
          <w:lang w:val="en-US" w:eastAsia="zh-CN"/>
        </w:rPr>
      </w:pPr>
      <w:r>
        <w:rPr>
          <w:rFonts w:hint="eastAsia" w:ascii="方正小标宋简体" w:hAnsi="方正小标宋简体" w:eastAsia="方正小标宋简体" w:cs="方正小标宋简体"/>
          <w:color w:val="auto"/>
          <w:sz w:val="44"/>
          <w:szCs w:val="44"/>
          <w:u w:val="none"/>
          <w:lang w:val="en-US" w:eastAsia="zh-CN"/>
        </w:rPr>
        <w:t>“双随机、一公开”抽查</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44"/>
          <w:szCs w:val="44"/>
          <w:u w:val="none"/>
          <w:lang w:val="en-US" w:eastAsia="zh-CN"/>
        </w:rPr>
      </w:pPr>
      <w:r>
        <w:rPr>
          <w:rFonts w:hint="eastAsia" w:ascii="方正小标宋简体" w:hAnsi="方正小标宋简体" w:eastAsia="方正小标宋简体" w:cs="方正小标宋简体"/>
          <w:color w:val="auto"/>
          <w:sz w:val="44"/>
          <w:szCs w:val="44"/>
          <w:u w:val="none"/>
          <w:lang w:val="en-US" w:eastAsia="zh-CN"/>
        </w:rPr>
        <w:t>工作的通知</w:t>
      </w:r>
    </w:p>
    <w:p>
      <w:pPr>
        <w:keepNext w:val="0"/>
        <w:keepLines w:val="0"/>
        <w:pageBreakBefore w:val="0"/>
        <w:widowControl w:val="0"/>
        <w:kinsoku/>
        <w:wordWrap/>
        <w:overflowPunct/>
        <w:topLinePunct w:val="0"/>
        <w:autoSpaceDE/>
        <w:autoSpaceDN/>
        <w:bidi w:val="0"/>
        <w:adjustRightInd/>
        <w:snapToGrid/>
        <w:spacing w:line="520" w:lineRule="exact"/>
        <w:ind w:right="0" w:rightChars="0"/>
        <w:jc w:val="center"/>
        <w:textAlignment w:val="auto"/>
        <w:outlineLvl w:val="9"/>
        <w:rPr>
          <w:rFonts w:hint="eastAsia" w:ascii="黑体" w:hAnsi="黑体" w:eastAsia="黑体" w:cs="黑体"/>
          <w:color w:val="auto"/>
          <w:sz w:val="44"/>
          <w:szCs w:val="44"/>
          <w:u w:val="none"/>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right="0" w:rightChars="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各相关单位、各燃气经营企业、各业务科室：</w:t>
      </w:r>
    </w:p>
    <w:p>
      <w:pPr>
        <w:keepNext w:val="0"/>
        <w:keepLines w:val="0"/>
        <w:pageBreakBefore w:val="0"/>
        <w:widowControl w:val="0"/>
        <w:kinsoku/>
        <w:wordWrap/>
        <w:overflowPunct/>
        <w:topLinePunct w:val="0"/>
        <w:autoSpaceDE/>
        <w:autoSpaceDN/>
        <w:bidi w:val="0"/>
        <w:adjustRightInd/>
        <w:snapToGrid/>
        <w:spacing w:line="520" w:lineRule="exact"/>
        <w:ind w:right="0" w:rightChars="0" w:firstLine="64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按照《国务院关于在市场监管领域全面推行部门联合“双随机一公开”监管的意见》《鄂尔多斯市人民政府关于印发鄂尔多斯市严格规范涉企行政检查为企业减负六条措施(试行)的通知》《东胜区双随机一公开监管工作联席会议办公室关于印发东胜区2026年度部门联合“双随机一公开”暨“综合查一次”抽查工作计划和联合随机抽查事项清单(2026版)的通知》（鄂东双办发〔2026〕1号）文件要求，为进一步提高市场监管效能，规范事中事后监管执法行为，由鄂尔多斯市东胜区住房和城乡建设局牵头联合鄂尔多斯市东胜区市场监督管理局开展2026年度燃气经营安全生产检查跨部门联合随机检查工作。</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right="0" w:rightChars="0" w:firstLine="640"/>
        <w:jc w:val="both"/>
        <w:textAlignment w:val="auto"/>
        <w:outlineLvl w:val="9"/>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抽查时间</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从2026年5月20日起至2026年9月30日止。</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0"/>
        <w:jc w:val="both"/>
        <w:textAlignment w:val="auto"/>
        <w:outlineLvl w:val="9"/>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抽查范围</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right="0" w:rightChars="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东胜区辖区范围内的燃气经营企业。</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0"/>
        <w:jc w:val="both"/>
        <w:textAlignment w:val="auto"/>
        <w:outlineLvl w:val="9"/>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抽查内容</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right="0" w:rightChars="0"/>
        <w:jc w:val="both"/>
        <w:textAlignment w:val="auto"/>
        <w:outlineLvl w:val="9"/>
        <w:rPr>
          <w:rFonts w:hint="default" w:ascii="黑体" w:hAnsi="黑体" w:eastAsia="黑体" w:cs="黑体"/>
          <w:b w:val="0"/>
          <w:bCs w:val="0"/>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住建局检查内容：</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640" w:leftChars="0" w:right="0" w:rightChars="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从事管道燃气经营的，是否取得经营许可证。</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640" w:leftChars="0" w:right="0" w:rightChars="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燃气经营者是否建立健全各项安全保障制度。</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640" w:leftChars="0" w:right="0" w:rightChars="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燃气经营者是否建立健全用户服务制度。</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640" w:leftChars="0" w:right="0" w:rightChars="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燃气经营者是否建立质量检验制度。</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640" w:leftChars="0" w:right="0" w:rightChars="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燃气经营者是否加强对从业人员的管理。</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640" w:leftChars="0" w:right="0" w:rightChars="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 xml:space="preserve">燃气经营者选用的等各类燃气设备是否符合国家规定的标准，并按照国家、自 治区特种设备管理的规定定期检修、更新和检定。 </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640" w:leftChars="0" w:right="0" w:rightChars="0"/>
        <w:jc w:val="left"/>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燃气经营者是否保障燃气正常供应，是否有擅自停止供气、更换气种行为。</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640" w:leftChars="0" w:right="0" w:rightChars="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检查燃气经营者是否存在违反《中华人民共和国安全生产法》《城镇燃气管理 条例》《内蒙古自治区燃气管理条例》等相关法律法规的行为。</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市场监管局检查内容：</w:t>
      </w:r>
    </w:p>
    <w:p>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left="640" w:leftChars="0" w:right="0" w:rightChars="0" w:firstLine="0" w:firstLineChars="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对燃气行业的压力管道是否定期检验进行监督检查</w:t>
      </w:r>
    </w:p>
    <w:p>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left="640" w:leftChars="0" w:right="0" w:rightChars="0" w:firstLine="0" w:firstLineChars="0"/>
        <w:jc w:val="both"/>
        <w:textAlignment w:val="auto"/>
        <w:outlineLvl w:val="9"/>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对在用液化石油气钢瓶是否定期检验，是否依法实施气瓶充装许可进行监督检查。</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四、抽查方式</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通过内蒙古协同监管平台，按照“双随机”抽查方式，随机按比例抽取10%燃气经营企业，随机生成检查对象，随机选派执法人员。由各组执法人员采取书面审查、实地检查方式依法进行监督检查。</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right="0" w:rightChars="0"/>
        <w:jc w:val="both"/>
        <w:textAlignment w:val="auto"/>
        <w:outlineLvl w:val="9"/>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五、检查结果录入及公示</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检查结束，按照“谁检查、谁录入、谁公示”的原则，对各部门检查结果在10个工作日内录入内蒙古协同监管平台，并向社会公示，接受社会监督。</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right="0" w:rightChars="0"/>
        <w:jc w:val="both"/>
        <w:textAlignment w:val="auto"/>
        <w:outlineLvl w:val="9"/>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六、工作要求</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（一）明确职责。</w:t>
      </w:r>
      <w:r>
        <w:rPr>
          <w:rFonts w:hint="eastAsia" w:ascii="仿宋_GB2312" w:hAnsi="仿宋_GB2312" w:eastAsia="仿宋_GB2312" w:cs="仿宋_GB2312"/>
          <w:color w:val="auto"/>
          <w:sz w:val="32"/>
          <w:szCs w:val="32"/>
          <w:u w:val="none"/>
          <w:lang w:val="en-US" w:eastAsia="zh-CN"/>
        </w:rPr>
        <w:t>随机抽取的执法人员及时开展检查工作，检查结束后，对发现行业内存在的违法问题及其他隐患，各部门要及时督促整改，并加强后续处理。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（二）认真总结。</w:t>
      </w:r>
      <w:r>
        <w:rPr>
          <w:rFonts w:hint="eastAsia" w:ascii="仿宋_GB2312" w:hAnsi="仿宋_GB2312" w:eastAsia="仿宋_GB2312" w:cs="仿宋_GB2312"/>
          <w:color w:val="auto"/>
          <w:sz w:val="32"/>
          <w:szCs w:val="32"/>
          <w:u w:val="none"/>
          <w:lang w:val="en-US" w:eastAsia="zh-CN"/>
        </w:rPr>
        <w:t>各组执法人员认真总结执法经验，抽查工作结束后，由各部门执法人员总结在检查过程中存在的问题，及时反馈至本部门相关业务科室。</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（三）严格监督。</w:t>
      </w:r>
      <w:r>
        <w:rPr>
          <w:rFonts w:hint="eastAsia" w:ascii="仿宋_GB2312" w:hAnsi="仿宋_GB2312" w:eastAsia="仿宋_GB2312" w:cs="仿宋_GB2312"/>
          <w:color w:val="auto"/>
          <w:sz w:val="32"/>
          <w:szCs w:val="32"/>
          <w:u w:val="none"/>
          <w:lang w:val="en-US" w:eastAsia="zh-CN"/>
        </w:rPr>
        <w:t>对在抽查工作中发现的违法经营行为，需立案调查的，严格按照案件办理程序进行，做到惩处与教育相结合，规范企业经营行为，确保燃气领域安全稳定运行。</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（四）整理归档。</w:t>
      </w:r>
      <w:r>
        <w:rPr>
          <w:rFonts w:hint="eastAsia" w:ascii="仿宋_GB2312" w:hAnsi="仿宋_GB2312" w:eastAsia="仿宋_GB2312" w:cs="仿宋_GB2312"/>
          <w:color w:val="auto"/>
          <w:sz w:val="32"/>
          <w:szCs w:val="32"/>
          <w:u w:val="none"/>
          <w:lang w:val="en-US" w:eastAsia="zh-CN"/>
        </w:rPr>
        <w:t>抽查完毕后，各执法人员将系统自动生成的执法检查表及需提供的相关资料装订交回本部门相关业务科室存档。</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both"/>
        <w:textAlignment w:val="auto"/>
        <w:outlineLvl w:val="9"/>
        <w:rPr>
          <w:rFonts w:hint="eastAsia" w:ascii="仿宋_GB2312" w:hAnsi="仿宋_GB2312" w:eastAsia="仿宋_GB2312" w:cs="仿宋_GB2312"/>
          <w:color w:val="auto"/>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此页无正文</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both"/>
        <w:textAlignment w:val="auto"/>
        <w:outlineLvl w:val="9"/>
        <w:rPr>
          <w:rFonts w:hint="eastAsia" w:ascii="仿宋_GB2312" w:hAnsi="仿宋_GB2312" w:eastAsia="仿宋_GB2312" w:cs="仿宋_GB2312"/>
          <w:color w:val="auto"/>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both"/>
        <w:textAlignment w:val="auto"/>
        <w:outlineLvl w:val="9"/>
        <w:rPr>
          <w:rFonts w:hint="default" w:ascii="仿宋_GB2312" w:hAnsi="仿宋_GB2312" w:eastAsia="仿宋_GB2312" w:cs="仿宋_GB2312"/>
          <w:color w:val="auto"/>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center"/>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鄂尔多斯市东胜区               鄂尔多斯市东胜区</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center"/>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市场监督管理局                 住房和城乡建设局</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5120" w:firstLineChars="1600"/>
        <w:jc w:val="center"/>
        <w:textAlignment w:val="auto"/>
        <w:outlineLvl w:val="9"/>
        <w:rPr>
          <w:rFonts w:hint="eastAsia" w:ascii="仿宋_GB2312" w:hAnsi="仿宋_GB2312" w:eastAsia="仿宋_GB2312" w:cs="仿宋_GB2312"/>
          <w:color w:val="auto"/>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5120" w:firstLineChars="1600"/>
        <w:jc w:val="center"/>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2026年5月7日</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rPr>
          <w:rFonts w:hint="eastAsia" w:ascii="仿宋_GB2312" w:hAnsi="仿宋_GB2312" w:eastAsia="仿宋_GB2312" w:cs="仿宋_GB2312"/>
          <w:sz w:val="2"/>
          <w:szCs w:val="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baseline"/>
        <w:outlineLvl w:val="9"/>
      </w:pPr>
      <w:r>
        <w:rPr>
          <w:rFonts w:hint="eastAsia"/>
          <w:color w:val="000000"/>
          <w:w w:val="80"/>
          <w:sz w:val="28"/>
          <w:szCs w:val="28"/>
        </w:rPr>
        <mc:AlternateContent>
          <mc:Choice Requires="wps">
            <w:drawing>
              <wp:anchor distT="0" distB="0" distL="114300" distR="114300" simplePos="0" relativeHeight="251659264" behindDoc="0" locked="0" layoutInCell="1" allowOverlap="1">
                <wp:simplePos x="0" y="0"/>
                <wp:positionH relativeFrom="column">
                  <wp:posOffset>-41275</wp:posOffset>
                </wp:positionH>
                <wp:positionV relativeFrom="paragraph">
                  <wp:posOffset>410845</wp:posOffset>
                </wp:positionV>
                <wp:extent cx="5734050" cy="0"/>
                <wp:effectExtent l="0" t="6350" r="0" b="6350"/>
                <wp:wrapNone/>
                <wp:docPr id="1" name="直线 8"/>
                <wp:cNvGraphicFramePr/>
                <a:graphic xmlns:a="http://schemas.openxmlformats.org/drawingml/2006/main">
                  <a:graphicData uri="http://schemas.microsoft.com/office/word/2010/wordprocessingShape">
                    <wps:wsp>
                      <wps:cNvCnPr/>
                      <wps:spPr>
                        <a:xfrm>
                          <a:off x="0" y="0"/>
                          <a:ext cx="573405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left:-3.25pt;margin-top:32.35pt;height:0pt;width:451.5pt;z-index:251659264;mso-width-relative:page;mso-height-relative:page;" filled="f" stroked="t" coordsize="21600,21600" o:gfxdata="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9Y/qLX&#10;AAAACAEAAA8AAAAAAAAAAQAgAAAAIgAAAGRycy9kb3ducmV2LnhtbFBLAQIUABQAAAAIAIdO4kAS&#10;++Ss6AEAANwDAAAOAAAAAAAAAAEAIAAAACYBAABkcnMvZTJvRG9jLnhtbFBLBQYAAAAABgAGAFkB&#10;AACABQAAAAA=&#10;">
                <v:fill on="f" focussize="0,0"/>
                <v:stroke weight="1pt" color="#000000" joinstyle="round"/>
                <v:imagedata o:title=""/>
                <o:lock v:ext="edit" aspectratio="f"/>
              </v:line>
            </w:pict>
          </mc:Fallback>
        </mc:AlternateContent>
      </w:r>
      <w:r>
        <w:rPr>
          <w:rFonts w:hint="eastAsia"/>
          <w:color w:val="000000"/>
          <w:w w:val="80"/>
          <w:sz w:val="28"/>
          <w:szCs w:val="28"/>
        </w:rPr>
        <mc:AlternateContent>
          <mc:Choice Requires="wps">
            <w:drawing>
              <wp:anchor distT="0" distB="0" distL="114300" distR="114300" simplePos="0" relativeHeight="251660288" behindDoc="0" locked="0" layoutInCell="1" allowOverlap="1">
                <wp:simplePos x="0" y="0"/>
                <wp:positionH relativeFrom="column">
                  <wp:posOffset>-49530</wp:posOffset>
                </wp:positionH>
                <wp:positionV relativeFrom="paragraph">
                  <wp:posOffset>28575</wp:posOffset>
                </wp:positionV>
                <wp:extent cx="5734050" cy="0"/>
                <wp:effectExtent l="0" t="6350" r="0" b="6350"/>
                <wp:wrapNone/>
                <wp:docPr id="2" name="直线 7"/>
                <wp:cNvGraphicFramePr/>
                <a:graphic xmlns:a="http://schemas.openxmlformats.org/drawingml/2006/main">
                  <a:graphicData uri="http://schemas.microsoft.com/office/word/2010/wordprocessingShape">
                    <wps:wsp>
                      <wps:cNvCnPr/>
                      <wps:spPr>
                        <a:xfrm>
                          <a:off x="0" y="0"/>
                          <a:ext cx="573405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3.9pt;margin-top:2.25pt;height:0pt;width:451.5pt;z-index:251660288;mso-width-relative:page;mso-height-relative:page;" filled="f" stroked="t" coordsize="21600,21600" o:gfxdata="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86lr1gAA&#10;AAYBAAAPAAAAAAAAAAEAIAAAACIAAABkcnMvZG93bnJldi54bWxQSwECFAAUAAAACACHTuJAqQ5u&#10;KOcBAADcAwAADgAAAAAAAAABACAAAAAlAQAAZHJzL2Uyb0RvYy54bWxQSwUGAAAAAAYABgBZAQAA&#10;fgUAAAAA&#10;">
                <v:fill on="f" focussize="0,0"/>
                <v:stroke weight="1pt" color="#000000" joinstyle="round"/>
                <v:imagedata o:title=""/>
                <o:lock v:ext="edit" aspectratio="f"/>
              </v:line>
            </w:pict>
          </mc:Fallback>
        </mc:AlternateContent>
      </w:r>
      <w:r>
        <w:rPr>
          <w:rFonts w:hint="eastAsia" w:eastAsia="仿宋_GB2312"/>
          <w:color w:val="000000"/>
          <w:w w:val="80"/>
          <w:sz w:val="28"/>
          <w:szCs w:val="28"/>
        </w:rPr>
        <w:t>鄂尔多斯市东胜区</w:t>
      </w:r>
      <w:r>
        <w:rPr>
          <w:rFonts w:hint="eastAsia" w:eastAsia="仿宋_GB2312"/>
          <w:color w:val="000000"/>
          <w:w w:val="80"/>
          <w:sz w:val="28"/>
          <w:szCs w:val="28"/>
          <w:lang w:eastAsia="zh-CN"/>
        </w:rPr>
        <w:t>住房和城乡</w:t>
      </w:r>
      <w:r>
        <w:rPr>
          <w:rFonts w:hint="eastAsia" w:eastAsia="仿宋_GB2312"/>
          <w:color w:val="000000"/>
          <w:w w:val="80"/>
          <w:sz w:val="28"/>
          <w:szCs w:val="28"/>
        </w:rPr>
        <w:t>建设局</w:t>
      </w:r>
      <w:r>
        <w:rPr>
          <w:rFonts w:hint="eastAsia" w:eastAsia="仿宋_GB2312"/>
          <w:color w:val="000000"/>
          <w:w w:val="80"/>
          <w:sz w:val="28"/>
          <w:szCs w:val="28"/>
          <w:lang w:eastAsia="zh-CN"/>
        </w:rPr>
        <w:t>办公室</w:t>
      </w:r>
      <w:r>
        <w:rPr>
          <w:rFonts w:hint="eastAsia" w:eastAsia="仿宋_GB2312"/>
          <w:color w:val="000000"/>
          <w:w w:val="80"/>
          <w:sz w:val="28"/>
          <w:szCs w:val="28"/>
          <w:lang w:val="en-US" w:eastAsia="zh-CN"/>
        </w:rPr>
        <w:t xml:space="preserve">    </w:t>
      </w:r>
      <w:r>
        <w:rPr>
          <w:rFonts w:hint="eastAsia" w:ascii="仿宋_GB2312" w:hAnsi="仿宋_GB2312" w:eastAsia="仿宋_GB2312" w:cs="仿宋_GB2312"/>
          <w:color w:val="auto"/>
          <w:w w:val="80"/>
          <w:sz w:val="28"/>
          <w:szCs w:val="28"/>
          <w:lang w:val="en-US" w:eastAsia="zh-CN"/>
        </w:rPr>
        <w:t>市场监督管理局</w:t>
      </w:r>
      <w:r>
        <w:rPr>
          <w:rFonts w:eastAsia="仿宋_GB2312"/>
          <w:color w:val="000000"/>
          <w:w w:val="80"/>
          <w:sz w:val="28"/>
          <w:szCs w:val="28"/>
        </w:rPr>
        <w:t xml:space="preserve">  </w:t>
      </w:r>
      <w:r>
        <w:rPr>
          <w:rFonts w:hint="eastAsia" w:eastAsia="仿宋_GB2312"/>
          <w:color w:val="000000"/>
          <w:w w:val="80"/>
          <w:sz w:val="28"/>
          <w:szCs w:val="28"/>
          <w:lang w:val="en-US" w:eastAsia="zh-CN"/>
        </w:rPr>
        <w:t xml:space="preserve">  </w:t>
      </w:r>
      <w:r>
        <w:rPr>
          <w:rFonts w:hint="eastAsia" w:ascii="仿宋_GB2312" w:eastAsia="仿宋_GB2312"/>
          <w:color w:val="000000"/>
          <w:w w:val="80"/>
          <w:sz w:val="28"/>
          <w:szCs w:val="28"/>
        </w:rPr>
        <w:t>20</w:t>
      </w:r>
      <w:r>
        <w:rPr>
          <w:rFonts w:hint="eastAsia" w:ascii="仿宋_GB2312" w:eastAsia="仿宋_GB2312"/>
          <w:color w:val="000000"/>
          <w:w w:val="80"/>
          <w:sz w:val="28"/>
          <w:szCs w:val="28"/>
          <w:lang w:val="en-US" w:eastAsia="zh-CN"/>
        </w:rPr>
        <w:t>26</w:t>
      </w:r>
      <w:r>
        <w:rPr>
          <w:rFonts w:hint="eastAsia" w:ascii="仿宋_GB2312" w:eastAsia="仿宋_GB2312"/>
          <w:color w:val="000000"/>
          <w:w w:val="80"/>
          <w:sz w:val="28"/>
          <w:szCs w:val="28"/>
        </w:rPr>
        <w:t>年</w:t>
      </w:r>
      <w:r>
        <w:rPr>
          <w:rFonts w:hint="eastAsia" w:ascii="仿宋_GB2312" w:eastAsia="仿宋_GB2312"/>
          <w:color w:val="000000"/>
          <w:w w:val="80"/>
          <w:sz w:val="28"/>
          <w:szCs w:val="28"/>
          <w:lang w:val="en-US" w:eastAsia="zh-CN"/>
        </w:rPr>
        <w:t>5</w:t>
      </w:r>
      <w:r>
        <w:rPr>
          <w:rFonts w:hint="eastAsia" w:ascii="仿宋_GB2312" w:eastAsia="仿宋_GB2312"/>
          <w:color w:val="000000"/>
          <w:w w:val="80"/>
          <w:sz w:val="28"/>
          <w:szCs w:val="28"/>
        </w:rPr>
        <w:t>月</w:t>
      </w:r>
      <w:r>
        <w:rPr>
          <w:rFonts w:hint="eastAsia" w:ascii="仿宋_GB2312" w:eastAsia="仿宋_GB2312"/>
          <w:color w:val="000000"/>
          <w:w w:val="80"/>
          <w:sz w:val="28"/>
          <w:szCs w:val="28"/>
          <w:lang w:val="en-US" w:eastAsia="zh-CN"/>
        </w:rPr>
        <w:t>7</w:t>
      </w:r>
      <w:r>
        <w:rPr>
          <w:rFonts w:hint="eastAsia" w:ascii="仿宋_GB2312" w:eastAsia="仿宋_GB2312"/>
          <w:color w:val="000000"/>
          <w:w w:val="80"/>
          <w:sz w:val="28"/>
          <w:szCs w:val="28"/>
        </w:rPr>
        <w:t>日</w:t>
      </w:r>
      <w:r>
        <w:rPr>
          <w:rFonts w:hint="eastAsia" w:eastAsia="仿宋_GB2312"/>
          <w:color w:val="000000"/>
          <w:w w:val="80"/>
          <w:sz w:val="28"/>
          <w:szCs w:val="28"/>
        </w:rPr>
        <w:t>印发</w:t>
      </w:r>
    </w:p>
    <w:sectPr>
      <w:pgSz w:w="11906" w:h="16838"/>
      <w:pgMar w:top="2098"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3694FC"/>
    <w:multiLevelType w:val="singleLevel"/>
    <w:tmpl w:val="F63694FC"/>
    <w:lvl w:ilvl="0" w:tentative="0">
      <w:start w:val="1"/>
      <w:numFmt w:val="chineseCounting"/>
      <w:suff w:val="nothing"/>
      <w:lvlText w:val="（%1）"/>
      <w:lvlJc w:val="left"/>
      <w:rPr>
        <w:rFonts w:hint="eastAsia"/>
      </w:rPr>
    </w:lvl>
  </w:abstractNum>
  <w:abstractNum w:abstractNumId="1">
    <w:nsid w:val="2ED0C039"/>
    <w:multiLevelType w:val="singleLevel"/>
    <w:tmpl w:val="2ED0C039"/>
    <w:lvl w:ilvl="0" w:tentative="0">
      <w:start w:val="1"/>
      <w:numFmt w:val="chineseCounting"/>
      <w:suff w:val="nothing"/>
      <w:lvlText w:val="%1、"/>
      <w:lvlJc w:val="left"/>
      <w:rPr>
        <w:rFonts w:hint="eastAsia"/>
      </w:rPr>
    </w:lvl>
  </w:abstractNum>
  <w:abstractNum w:abstractNumId="2">
    <w:nsid w:val="6566EAD5"/>
    <w:multiLevelType w:val="singleLevel"/>
    <w:tmpl w:val="6566EAD5"/>
    <w:lvl w:ilvl="0" w:tentative="0">
      <w:start w:val="1"/>
      <w:numFmt w:val="chineseCounting"/>
      <w:suff w:val="nothing"/>
      <w:lvlText w:val="（%1）"/>
      <w:lvlJc w:val="left"/>
      <w:pPr>
        <w:ind w:left="640" w:leftChars="0" w:firstLine="0" w:firstLineChars="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RiMzlmYWIzZTdlMGQxYWU2YjcyN2I4M2ZmYjYyNGEifQ=="/>
  </w:docVars>
  <w:rsids>
    <w:rsidRoot w:val="587B30AA"/>
    <w:rsid w:val="01AF38C4"/>
    <w:rsid w:val="102D37C0"/>
    <w:rsid w:val="13E05967"/>
    <w:rsid w:val="181366AA"/>
    <w:rsid w:val="253A405F"/>
    <w:rsid w:val="30F9782A"/>
    <w:rsid w:val="394D10F1"/>
    <w:rsid w:val="4DEB05B7"/>
    <w:rsid w:val="587B30AA"/>
    <w:rsid w:val="5A4F58EA"/>
    <w:rsid w:val="64D231FC"/>
    <w:rsid w:val="71DC5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widowControl/>
      <w:spacing w:line="600" w:lineRule="exact"/>
    </w:pPr>
    <w:rPr>
      <w:rFonts w:eastAsia="仿宋_GB2312"/>
      <w:sz w:val="36"/>
    </w:rPr>
  </w:style>
  <w:style w:type="paragraph" w:styleId="3">
    <w:name w:val="footer"/>
    <w:basedOn w:val="1"/>
    <w:next w:val="1"/>
    <w:unhideWhenUsed/>
    <w:qFormat/>
    <w:uiPriority w:val="0"/>
    <w:pPr>
      <w:tabs>
        <w:tab w:val="center" w:pos="4153"/>
        <w:tab w:val="right" w:pos="8306"/>
      </w:tabs>
      <w:snapToGrid w:val="0"/>
      <w:jc w:val="left"/>
    </w:pPr>
    <w:rPr>
      <w:sz w:val="18"/>
    </w:rPr>
  </w:style>
  <w:style w:type="paragraph" w:styleId="4">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1181</Words>
  <Characters>1217</Characters>
  <Lines>0</Lines>
  <Paragraphs>0</Paragraphs>
  <TotalTime>366</TotalTime>
  <ScaleCrop>false</ScaleCrop>
  <LinksUpToDate>false</LinksUpToDate>
  <CharactersWithSpaces>1319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2025-05-13T08:55:00Z</dcterms:created>
  <dc:creator>王勇</dc:creator>
  <cp:lastModifiedBy>疼最爱的女人</cp:lastModifiedBy>
  <cp:lastPrinted>2025-09-09T03:09:00Z</cp:lastPrinted>
  <dcterms:modified xsi:type="dcterms:W3CDTF">2026-09-24T01:58:33Z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F842E7356E3345FAB48CD6BE4646856C_11</vt:lpwstr>
  </property>
  <property fmtid="{D5CDD505-2E9C-101B-9397-08002B2CF9AE}" pid="4" name="KSOTemplateDocerSaveRecord">
    <vt:lpwstr>eyJoZGlkIjoiOTZmM2QzZWNlNzE5MjczODdiZThkMzJmNTVlYzZjOTIiLCJ1c2VySWQiOiI0NDI1MTA4OTQifQ==</vt:lpwstr>
  </property>
</Properties>
</file>