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5D992">
      <w:pPr>
        <w:keepNext w:val="0"/>
        <w:keepLines w:val="0"/>
        <w:pageBreakBefore w:val="0"/>
        <w:widowControl w:val="0"/>
        <w:tabs>
          <w:tab w:val="left" w:pos="8158"/>
        </w:tabs>
        <w:kinsoku/>
        <w:wordWrap/>
        <w:overflowPunct/>
        <w:topLinePunct w:val="0"/>
        <w:autoSpaceDE w:val="0"/>
        <w:autoSpaceDN w:val="0"/>
        <w:bidi w:val="0"/>
        <w:adjustRightInd/>
        <w:snapToGrid/>
        <w:spacing w:before="80" w:line="144" w:lineRule="auto"/>
        <w:ind w:right="0"/>
        <w:jc w:val="left"/>
        <w:textAlignment w:val="auto"/>
        <w:rPr>
          <w:rFonts w:hint="eastAsia" w:ascii="方正小标宋简体" w:eastAsia="方正小标宋简体"/>
          <w:sz w:val="83"/>
        </w:rPr>
      </w:pPr>
      <w:r>
        <w:rPr>
          <w:rFonts w:hint="eastAsia" w:ascii="方正小标宋简体" w:eastAsia="方正小标宋简体"/>
          <w:color w:val="FF0000"/>
          <w:w w:val="50"/>
          <w:sz w:val="68"/>
        </w:rPr>
        <w:tab/>
      </w:r>
    </w:p>
    <w:p w14:paraId="64EAEB20">
      <w:pPr>
        <w:tabs>
          <w:tab w:val="left" w:pos="787"/>
        </w:tabs>
        <w:spacing w:before="0" w:line="725" w:lineRule="exact"/>
        <w:ind w:left="173" w:right="0" w:firstLine="0"/>
        <w:jc w:val="left"/>
        <w:rPr>
          <w:rFonts w:hint="eastAsia" w:ascii="方正小标宋简体" w:eastAsia="方正小标宋简体"/>
          <w:color w:val="FF0000"/>
          <w:spacing w:val="227"/>
          <w:w w:val="45"/>
          <w:sz w:val="52"/>
          <w:szCs w:val="52"/>
          <w:lang w:eastAsia="zh-CN"/>
        </w:rPr>
      </w:pPr>
      <w:r>
        <w:rPr>
          <w:rFonts w:hint="eastAsia" w:ascii="方正小标宋简体" w:eastAsia="方正小标宋简体"/>
          <w:color w:val="FF0000"/>
          <w:spacing w:val="227"/>
          <w:w w:val="45"/>
          <w:sz w:val="52"/>
          <w:szCs w:val="52"/>
        </w:rPr>
        <mc:AlternateContent>
          <mc:Choice Requires="wps">
            <w:drawing>
              <wp:anchor distT="0" distB="0" distL="0" distR="0" simplePos="0" relativeHeight="251660288" behindDoc="0" locked="0" layoutInCell="1" allowOverlap="1">
                <wp:simplePos x="0" y="0"/>
                <wp:positionH relativeFrom="column">
                  <wp:posOffset>4885055</wp:posOffset>
                </wp:positionH>
                <wp:positionV relativeFrom="paragraph">
                  <wp:posOffset>302895</wp:posOffset>
                </wp:positionV>
                <wp:extent cx="973455" cy="990600"/>
                <wp:effectExtent l="0" t="0" r="0" b="0"/>
                <wp:wrapNone/>
                <wp:docPr id="1026" name="文本框 5"/>
                <wp:cNvGraphicFramePr/>
                <a:graphic xmlns:a="http://schemas.openxmlformats.org/drawingml/2006/main">
                  <a:graphicData uri="http://schemas.microsoft.com/office/word/2010/wordprocessingShape">
                    <wps:wsp>
                      <wps:cNvSpPr/>
                      <wps:spPr>
                        <a:xfrm>
                          <a:off x="0" y="0"/>
                          <a:ext cx="973455" cy="990600"/>
                        </a:xfrm>
                        <a:prstGeom prst="rect">
                          <a:avLst/>
                        </a:prstGeom>
                        <a:ln>
                          <a:noFill/>
                        </a:ln>
                      </wps:spPr>
                      <wps:txbx>
                        <w:txbxContent>
                          <w:p w14:paraId="39DC6FD7">
                            <w:pPr>
                              <w:tabs>
                                <w:tab w:val="left" w:pos="787"/>
                              </w:tabs>
                              <w:spacing w:before="0" w:line="725" w:lineRule="exact"/>
                              <w:ind w:right="0"/>
                              <w:jc w:val="left"/>
                              <w:rPr>
                                <w:rFonts w:hint="eastAsia" w:ascii="方正小标宋简体" w:eastAsia="方正小标宋简体"/>
                                <w:color w:val="FF0000"/>
                                <w:spacing w:val="45"/>
                                <w:w w:val="60"/>
                                <w:sz w:val="72"/>
                                <w:szCs w:val="72"/>
                                <w:lang w:val="en-US" w:eastAsia="zh-CN"/>
                              </w:rPr>
                            </w:pPr>
                            <w:r>
                              <w:rPr>
                                <w:rFonts w:hint="eastAsia" w:ascii="方正小标宋简体" w:eastAsia="方正小标宋简体"/>
                                <w:color w:val="FF0000"/>
                                <w:spacing w:val="45"/>
                                <w:w w:val="60"/>
                                <w:sz w:val="72"/>
                                <w:szCs w:val="72"/>
                                <w:lang w:val="en-US" w:eastAsia="zh-CN"/>
                              </w:rPr>
                              <w:t>文件</w:t>
                            </w:r>
                          </w:p>
                        </w:txbxContent>
                      </wps:txbx>
                      <wps:bodyPr vert="horz" anchor="t" upright="1"/>
                    </wps:wsp>
                  </a:graphicData>
                </a:graphic>
              </wp:anchor>
            </w:drawing>
          </mc:Choice>
          <mc:Fallback>
            <w:pict>
              <v:rect id="文本框 5" o:spid="_x0000_s1026" o:spt="1" style="position:absolute;left:0pt;margin-left:384.65pt;margin-top:23.85pt;height:78pt;width:76.65pt;z-index:251660288;mso-width-relative:page;mso-height-relative:page;" filled="f" stroked="f" coordsize="21600,21600" o:gfxdata="UEsDBAoAAAAAAIdO4kAAAAAAAAAAAAAAAAAEAAAAZHJzL1BLAwQUAAAACACHTuJAXJhSqdsAAAAK&#10;AQAADwAAAGRycy9kb3ducmV2LnhtbE2PQUvDQBCF74L/YRnBi9jdppLYmEkPBbGIUEy1520yJsHs&#10;bJrdJvXfuz3pcXgf732Trc6mEyMNrrWMMJ8pEMSlrVquET52z/ePIJzXXOnOMiH8kINVfn2V6bSy&#10;E7/TWPhahBJ2qUZovO9TKV3ZkNFuZnvikH3ZwWgfzqGW1aCnUG46GSkVS6NbDguN7mndUPldnAzC&#10;VG7H/e7tRW7v9hvLx81xXXy+It7ezNUTCE9n/wfDRT+oQx6cDvbElRMdQhIvFwFFeEgSEAFYRlEM&#10;4oAQqUUCMs/k/xfyX1BLAwQUAAAACACHTuJA1o/O57UBAABSAwAADgAAAGRycy9lMm9Eb2MueG1s&#10;rVPNjtMwEL4j8Q6W79RpoYVGTfdSLRcEKy37AK5jN5b8p7HbpDwAvAEnLtx5rj4HYyd00XLZA5fJ&#10;2DP5Zr5vxpubwRpykhC1dw2dzypKpBO+1e7Q0IfPt6/eURITdy033smGnmWkN9uXLzZ9qOXCd960&#10;EgiCuFj3oaFdSqFmLIpOWh5nPkiHQeXB8oRHOLAWeI/o1rBFVa1Y76EN4IWMEW93Y5BOiPAcQK+U&#10;FnLnxdFKl0ZUkIYnpBQ7HSLdlm6VkiJ9UirKRExDkWkqFougv8+WbTe8PgAPnRZTC/w5LTzhZLl2&#10;WPQKteOJkyPof6CsFuCjV2kmvGUjkaIIsphXT7S573iQhQtKHcNV9Pj/YMXH0x0Q3eImVIsVJY5b&#10;nPnl+7fLj1+Xn1/JMivUh1hj4n24g+kU0c10BwU2f5EIGYqq56uqckhE4OX67es3yyUlAkPrdbWq&#10;iurs8ecAMb2X3pLsNBRwaEVLfvoQExbE1D8puZZx2Tp/q40Zo/mG5SbHtrKXhv0w9br37Rk54soj&#10;eOfhCyXcCXQamig5BtCHDiPzzLSgoNSl6LQWeZZ/n0vW41P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cmFKp2wAAAAoBAAAPAAAAAAAAAAEAIAAAACIAAABkcnMvZG93bnJldi54bWxQSwECFAAU&#10;AAAACACHTuJA1o/O57UBAABSAwAADgAAAAAAAAABACAAAAAqAQAAZHJzL2Uyb0RvYy54bWxQSwUG&#10;AAAAAAYABgBZAQAAUQUAAAAA&#10;">
                <v:fill on="f" focussize="0,0"/>
                <v:stroke on="f"/>
                <v:imagedata o:title=""/>
                <o:lock v:ext="edit" aspectratio="f"/>
                <v:textbox>
                  <w:txbxContent>
                    <w:p w14:paraId="39DC6FD7">
                      <w:pPr>
                        <w:tabs>
                          <w:tab w:val="left" w:pos="787"/>
                        </w:tabs>
                        <w:spacing w:before="0" w:line="725" w:lineRule="exact"/>
                        <w:ind w:right="0"/>
                        <w:jc w:val="left"/>
                        <w:rPr>
                          <w:rFonts w:hint="eastAsia" w:ascii="方正小标宋简体" w:eastAsia="方正小标宋简体"/>
                          <w:color w:val="FF0000"/>
                          <w:spacing w:val="45"/>
                          <w:w w:val="60"/>
                          <w:sz w:val="72"/>
                          <w:szCs w:val="72"/>
                          <w:lang w:val="en-US" w:eastAsia="zh-CN"/>
                        </w:rPr>
                      </w:pPr>
                      <w:r>
                        <w:rPr>
                          <w:rFonts w:hint="eastAsia" w:ascii="方正小标宋简体" w:eastAsia="方正小标宋简体"/>
                          <w:color w:val="FF0000"/>
                          <w:spacing w:val="45"/>
                          <w:w w:val="60"/>
                          <w:sz w:val="72"/>
                          <w:szCs w:val="72"/>
                          <w:lang w:val="en-US" w:eastAsia="zh-CN"/>
                        </w:rPr>
                        <w:t>文件</w:t>
                      </w:r>
                    </w:p>
                  </w:txbxContent>
                </v:textbox>
              </v:rect>
            </w:pict>
          </mc:Fallback>
        </mc:AlternateContent>
      </w:r>
      <w:r>
        <w:rPr>
          <w:rFonts w:hint="eastAsia" w:ascii="方正小标宋简体" w:eastAsia="方正小标宋简体"/>
          <w:color w:val="FF0000"/>
          <w:spacing w:val="74"/>
          <w:w w:val="100"/>
          <w:kern w:val="0"/>
          <w:sz w:val="52"/>
          <w:szCs w:val="52"/>
          <w:fitText w:val="7208" w:id="1229218049"/>
        </w:rPr>
        <w:t>鄂尔多斯市东胜区</w:t>
      </w:r>
      <w:r>
        <w:rPr>
          <w:rFonts w:hint="eastAsia" w:ascii="方正小标宋简体" w:eastAsia="方正小标宋简体"/>
          <w:color w:val="FF0000"/>
          <w:spacing w:val="74"/>
          <w:w w:val="100"/>
          <w:kern w:val="0"/>
          <w:sz w:val="52"/>
          <w:szCs w:val="52"/>
          <w:fitText w:val="7208" w:id="1229218049"/>
          <w:lang w:val="en-US" w:eastAsia="zh-CN"/>
        </w:rPr>
        <w:t>财政</w:t>
      </w:r>
      <w:r>
        <w:rPr>
          <w:rFonts w:hint="eastAsia" w:ascii="方正小标宋简体" w:eastAsia="方正小标宋简体"/>
          <w:color w:val="FF0000"/>
          <w:spacing w:val="4"/>
          <w:w w:val="100"/>
          <w:kern w:val="0"/>
          <w:sz w:val="52"/>
          <w:szCs w:val="52"/>
          <w:fitText w:val="7208" w:id="1229218049"/>
          <w:lang w:eastAsia="zh-CN"/>
        </w:rPr>
        <w:t>局</w:t>
      </w:r>
    </w:p>
    <w:p w14:paraId="2DE428C7">
      <w:pPr>
        <w:keepNext w:val="0"/>
        <w:keepLines w:val="0"/>
        <w:pageBreakBefore w:val="0"/>
        <w:widowControl w:val="0"/>
        <w:tabs>
          <w:tab w:val="left" w:pos="787"/>
        </w:tabs>
        <w:kinsoku/>
        <w:wordWrap/>
        <w:overflowPunct/>
        <w:topLinePunct w:val="0"/>
        <w:autoSpaceDE w:val="0"/>
        <w:autoSpaceDN w:val="0"/>
        <w:bidi w:val="0"/>
        <w:adjustRightInd/>
        <w:snapToGrid/>
        <w:spacing w:before="0" w:line="560" w:lineRule="exact"/>
        <w:ind w:left="170" w:right="0" w:firstLine="0"/>
        <w:jc w:val="left"/>
        <w:textAlignment w:val="auto"/>
        <w:outlineLvl w:val="9"/>
        <w:rPr>
          <w:rFonts w:hint="eastAsia" w:ascii="方正小标宋简体" w:eastAsia="方正小标宋简体"/>
          <w:color w:val="FF0000"/>
          <w:spacing w:val="40"/>
          <w:w w:val="60"/>
          <w:sz w:val="40"/>
          <w:szCs w:val="15"/>
        </w:rPr>
      </w:pPr>
    </w:p>
    <w:p w14:paraId="42D3E507">
      <w:pPr>
        <w:tabs>
          <w:tab w:val="left" w:pos="787"/>
        </w:tabs>
        <w:spacing w:before="0" w:line="725" w:lineRule="exact"/>
        <w:ind w:left="173" w:right="0" w:firstLine="0"/>
        <w:jc w:val="left"/>
        <w:rPr>
          <w:rFonts w:hint="eastAsia" w:ascii="方正小标宋简体" w:eastAsia="方正小标宋简体"/>
          <w:spacing w:val="312"/>
          <w:w w:val="33"/>
          <w:sz w:val="68"/>
          <w:lang w:val="en-US" w:eastAsia="zh-CN"/>
        </w:rPr>
      </w:pPr>
      <w:r>
        <w:rPr>
          <w:rFonts w:hint="eastAsia" w:ascii="方正小标宋简体" w:eastAsia="方正小标宋简体"/>
          <w:color w:val="FF0000"/>
          <w:spacing w:val="1"/>
          <w:w w:val="93"/>
          <w:kern w:val="0"/>
          <w:sz w:val="52"/>
          <w:szCs w:val="52"/>
          <w:fitText w:val="7284" w:id="684478321"/>
        </w:rPr>
        <w:t>鄂尔多斯市东胜区</w:t>
      </w:r>
      <w:r>
        <w:rPr>
          <w:rFonts w:hint="eastAsia" w:ascii="方正小标宋简体" w:eastAsia="方正小标宋简体"/>
          <w:color w:val="FF0000"/>
          <w:spacing w:val="1"/>
          <w:w w:val="93"/>
          <w:kern w:val="0"/>
          <w:sz w:val="52"/>
          <w:szCs w:val="52"/>
          <w:fitText w:val="7284" w:id="684478321"/>
          <w:lang w:val="en-US" w:eastAsia="zh-CN"/>
        </w:rPr>
        <w:t>市场监督管理</w:t>
      </w:r>
      <w:r>
        <w:rPr>
          <w:rFonts w:hint="eastAsia" w:ascii="方正小标宋简体" w:eastAsia="方正小标宋简体"/>
          <w:color w:val="FF0000"/>
          <w:spacing w:val="2"/>
          <w:w w:val="93"/>
          <w:kern w:val="0"/>
          <w:sz w:val="52"/>
          <w:szCs w:val="52"/>
          <w:fitText w:val="7284" w:id="684478321"/>
          <w:lang w:val="en-US" w:eastAsia="zh-CN"/>
        </w:rPr>
        <w:t>局</w:t>
      </w:r>
    </w:p>
    <w:p w14:paraId="37D52690">
      <w:pPr>
        <w:pStyle w:val="3"/>
        <w:spacing w:before="5"/>
        <w:rPr>
          <w:rFonts w:ascii="方正小标宋简体"/>
          <w:sz w:val="10"/>
        </w:rPr>
      </w:pPr>
      <w:bookmarkStart w:id="7" w:name="_GoBack"/>
      <w:bookmarkEnd w:id="7"/>
    </w:p>
    <w:p w14:paraId="7A1D8125">
      <w:pPr>
        <w:pStyle w:val="3"/>
        <w:spacing w:before="5"/>
        <w:rPr>
          <w:rFonts w:ascii="方正小标宋简体"/>
          <w:sz w:val="10"/>
        </w:rPr>
      </w:pPr>
    </w:p>
    <w:p w14:paraId="44AEA954">
      <w:pPr>
        <w:pStyle w:val="3"/>
        <w:spacing w:before="5"/>
        <w:rPr>
          <w:rFonts w:ascii="方正小标宋简体"/>
          <w:sz w:val="10"/>
        </w:rPr>
      </w:pPr>
    </w:p>
    <w:p w14:paraId="7168B1FE">
      <w:pPr>
        <w:pStyle w:val="3"/>
        <w:spacing w:before="5"/>
        <w:rPr>
          <w:rFonts w:ascii="方正小标宋简体"/>
          <w:sz w:val="10"/>
        </w:rPr>
      </w:pPr>
    </w:p>
    <w:p w14:paraId="785A6551">
      <w:pPr>
        <w:keepNext w:val="0"/>
        <w:keepLines w:val="0"/>
        <w:widowControl w:val="0"/>
        <w:suppressLineNumbers w:val="0"/>
        <w:adjustRightInd w:val="0"/>
        <w:snapToGrid w:val="0"/>
        <w:spacing w:before="0" w:beforeAutospacing="0" w:after="0" w:afterAutospacing="0"/>
        <w:ind w:left="6720" w:right="0" w:hanging="6720" w:hangingChars="2100"/>
        <w:jc w:val="center"/>
        <w:rPr>
          <w:rFonts w:hint="default" w:ascii="仿宋_GB2312" w:hAnsi="仿宋_GB2312" w:eastAsia="仿宋_GB2312" w:cs="仿宋_GB2312"/>
          <w:sz w:val="32"/>
          <w:szCs w:val="32"/>
          <w:u w:val="none" w:color="auto"/>
          <w:lang w:val="en-US" w:eastAsia="zh-CN"/>
        </w:rPr>
      </w:pPr>
      <w:r>
        <w:rPr>
          <w:rFonts w:hint="eastAsia" w:ascii="仿宋_GB2312" w:hAnsi="仿宋_GB2312" w:eastAsia="仿宋_GB2312" w:cs="仿宋_GB2312"/>
          <w:kern w:val="2"/>
          <w:sz w:val="32"/>
          <w:szCs w:val="32"/>
          <w:lang w:val="en-US" w:eastAsia="zh-CN" w:bidi="ar-SA"/>
        </w:rPr>
        <w:t>东财联发〔2026〕11号</w:t>
      </w:r>
    </w:p>
    <w:p w14:paraId="0CC0C3F1">
      <w:pPr>
        <w:pStyle w:val="3"/>
        <w:keepNext w:val="0"/>
        <w:keepLines w:val="0"/>
        <w:pageBreakBefore w:val="0"/>
        <w:widowControl w:val="0"/>
        <w:tabs>
          <w:tab w:val="left" w:pos="2892"/>
          <w:tab w:val="left" w:pos="8964"/>
        </w:tabs>
        <w:kinsoku/>
        <w:wordWrap/>
        <w:overflowPunct/>
        <w:topLinePunct w:val="0"/>
        <w:autoSpaceDE w:val="0"/>
        <w:autoSpaceDN w:val="0"/>
        <w:bidi w:val="0"/>
        <w:adjustRightInd/>
        <w:snapToGrid/>
        <w:spacing w:before="0" w:line="240" w:lineRule="exact"/>
        <w:ind w:left="0"/>
        <w:textAlignment w:val="auto"/>
        <w:rPr>
          <w:rFonts w:hint="default" w:eastAsia="宋体"/>
          <w:sz w:val="21"/>
          <w:u w:val="single" w:color="FF0000"/>
          <w:lang w:val="en-US" w:eastAsia="zh-CN"/>
        </w:rPr>
      </w:pPr>
      <w:r>
        <w:rPr>
          <w:rFonts w:hint="eastAsia" w:ascii="仿宋_GB2312" w:hAnsi="仿宋_GB2312" w:eastAsia="仿宋_GB2312" w:cs="仿宋_GB2312"/>
          <w:sz w:val="32"/>
          <w:szCs w:val="32"/>
          <w:u w:val="single" w:color="FF0000"/>
        </w:rPr>
        <w:tab/>
      </w:r>
      <w:r>
        <w:rPr>
          <w:rFonts w:hint="eastAsia" w:ascii="仿宋_GB2312" w:hAnsi="仿宋_GB2312" w:eastAsia="仿宋_GB2312" w:cs="仿宋_GB2312"/>
          <w:sz w:val="32"/>
          <w:szCs w:val="32"/>
          <w:u w:val="single" w:color="FF0000"/>
          <w:lang w:val="en-US" w:eastAsia="zh-CN"/>
        </w:rPr>
        <w:t xml:space="preserve">                                        </w:t>
      </w:r>
      <w:r>
        <w:rPr>
          <w:rFonts w:hint="eastAsia"/>
          <w:u w:val="single" w:color="FF0000"/>
          <w:lang w:val="en-US" w:eastAsia="zh-CN"/>
        </w:rPr>
        <w:t xml:space="preserve">  </w:t>
      </w:r>
    </w:p>
    <w:p w14:paraId="217D8301">
      <w:pPr>
        <w:autoSpaceDE w:val="0"/>
        <w:autoSpaceDN w:val="0"/>
        <w:adjustRightInd w:val="0"/>
        <w:spacing w:line="560" w:lineRule="exact"/>
        <w:ind w:left="17" w:right="28" w:hanging="17"/>
        <w:jc w:val="center"/>
        <w:textAlignment w:val="center"/>
        <w:rPr>
          <w:rFonts w:hint="eastAsia" w:ascii="方正小标宋简体" w:hAnsi="TATELR+·½ÕýÐ¡±êËÎ¼òÌå" w:eastAsia="方正小标宋简体" w:cs="TATELR+·½ÕýÐ¡±êËÎ¼òÌå"/>
          <w:color w:val="000000"/>
          <w:sz w:val="44"/>
          <w:lang w:val="en-US" w:eastAsia="zh-CN"/>
        </w:rPr>
      </w:pPr>
    </w:p>
    <w:p w14:paraId="688535E2">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eastAsia="方正小标宋简体"/>
          <w:spacing w:val="-28"/>
          <w:sz w:val="44"/>
          <w:szCs w:val="44"/>
        </w:rPr>
      </w:pPr>
      <w:r>
        <w:rPr>
          <w:rFonts w:hint="eastAsia" w:ascii="方正小标宋简体" w:eastAsia="方正小标宋简体"/>
          <w:spacing w:val="-28"/>
          <w:sz w:val="44"/>
          <w:szCs w:val="44"/>
          <w:lang w:val="en-US" w:eastAsia="zh-CN"/>
        </w:rPr>
        <w:t>鄂尔多斯市东胜区财政局 鄂尔多斯市</w:t>
      </w:r>
      <w:r>
        <w:rPr>
          <w:rFonts w:hint="eastAsia" w:ascii="方正小标宋简体" w:eastAsia="方正小标宋简体"/>
          <w:spacing w:val="-28"/>
          <w:sz w:val="44"/>
          <w:szCs w:val="44"/>
        </w:rPr>
        <w:t>东胜区市场</w:t>
      </w:r>
    </w:p>
    <w:p w14:paraId="4E93EAC1">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eastAsia="方正小标宋简体"/>
          <w:sz w:val="44"/>
          <w:szCs w:val="44"/>
          <w:lang w:val="en-US" w:eastAsia="zh-CN"/>
        </w:rPr>
      </w:pPr>
      <w:r>
        <w:rPr>
          <w:rFonts w:hint="eastAsia" w:ascii="方正小标宋简体" w:eastAsia="方正小标宋简体"/>
          <w:spacing w:val="-28"/>
          <w:sz w:val="44"/>
          <w:szCs w:val="44"/>
        </w:rPr>
        <w:t>监督管理局</w:t>
      </w:r>
      <w:r>
        <w:rPr>
          <w:rFonts w:hint="eastAsia" w:ascii="方正小标宋简体" w:eastAsia="方正小标宋简体"/>
          <w:sz w:val="44"/>
          <w:szCs w:val="44"/>
        </w:rPr>
        <w:t>关于</w:t>
      </w:r>
      <w:r>
        <w:rPr>
          <w:rFonts w:hint="eastAsia" w:ascii="方正小标宋简体" w:eastAsia="方正小标宋简体"/>
          <w:sz w:val="44"/>
          <w:szCs w:val="44"/>
          <w:lang w:eastAsia="zh-CN"/>
        </w:rPr>
        <w:t>开</w:t>
      </w:r>
      <w:r>
        <w:rPr>
          <w:rFonts w:hint="eastAsia" w:ascii="方正小标宋简体" w:eastAsia="方正小标宋简体"/>
          <w:sz w:val="44"/>
          <w:szCs w:val="44"/>
          <w:lang w:val="en-US" w:eastAsia="zh-CN"/>
        </w:rPr>
        <w:t>展小额贷款公司、融资</w:t>
      </w:r>
    </w:p>
    <w:p w14:paraId="61337108">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eastAsia="方正小标宋简体"/>
          <w:spacing w:val="-40"/>
          <w:sz w:val="44"/>
          <w:szCs w:val="44"/>
          <w:lang w:val="en-US" w:eastAsia="zh-CN"/>
        </w:rPr>
      </w:pPr>
      <w:r>
        <w:rPr>
          <w:rFonts w:hint="eastAsia" w:ascii="方正小标宋简体" w:eastAsia="方正小标宋简体"/>
          <w:sz w:val="44"/>
          <w:szCs w:val="44"/>
          <w:lang w:val="en-US" w:eastAsia="zh-CN"/>
        </w:rPr>
        <w:t>担</w:t>
      </w:r>
      <w:r>
        <w:rPr>
          <w:rFonts w:hint="eastAsia" w:ascii="方正小标宋简体" w:eastAsia="方正小标宋简体"/>
          <w:spacing w:val="-23"/>
          <w:sz w:val="44"/>
          <w:szCs w:val="44"/>
          <w:lang w:val="en-US" w:eastAsia="zh-CN"/>
        </w:rPr>
        <w:t>保公司、典当公司、融资租赁“双随机、</w:t>
      </w:r>
    </w:p>
    <w:p w14:paraId="52D719CD">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eastAsia="方正小标宋简体"/>
          <w:spacing w:val="-40"/>
          <w:sz w:val="44"/>
          <w:szCs w:val="44"/>
          <w:lang w:val="en-US" w:eastAsia="zh-CN"/>
        </w:rPr>
        <w:t>一</w:t>
      </w:r>
      <w:r>
        <w:rPr>
          <w:rFonts w:hint="eastAsia" w:ascii="方正小标宋简体" w:eastAsia="方正小标宋简体"/>
          <w:spacing w:val="-23"/>
          <w:sz w:val="44"/>
          <w:szCs w:val="44"/>
          <w:lang w:val="en-US" w:eastAsia="zh-CN"/>
        </w:rPr>
        <w:t>公开”联合随机抽查工作</w:t>
      </w:r>
      <w:r>
        <w:rPr>
          <w:rFonts w:hint="eastAsia" w:ascii="方正小标宋简体" w:eastAsia="方正小标宋简体"/>
          <w:spacing w:val="-23"/>
          <w:sz w:val="44"/>
          <w:szCs w:val="44"/>
        </w:rPr>
        <w:t>方案的</w:t>
      </w:r>
      <w:r>
        <w:rPr>
          <w:rFonts w:hint="eastAsia" w:ascii="方正小标宋简体" w:eastAsia="方正小标宋简体"/>
          <w:sz w:val="44"/>
          <w:szCs w:val="44"/>
        </w:rPr>
        <w:t>通知</w:t>
      </w:r>
    </w:p>
    <w:p w14:paraId="0B1C84A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36"/>
          <w:szCs w:val="36"/>
          <w:lang w:eastAsia="zh-CN"/>
        </w:rPr>
      </w:pPr>
    </w:p>
    <w:p w14:paraId="26FF4765">
      <w:pPr>
        <w:keepNext w:val="0"/>
        <w:keepLines w:val="0"/>
        <w:pageBreakBefore w:val="0"/>
        <w:widowControl w:val="0"/>
        <w:kinsoku/>
        <w:wordWrap/>
        <w:overflowPunct/>
        <w:topLinePunct w:val="0"/>
        <w:autoSpaceDE/>
        <w:autoSpaceDN/>
        <w:bidi w:val="0"/>
        <w:adjustRightInd/>
        <w:snapToGrid/>
        <w:spacing w:line="600" w:lineRule="exact"/>
        <w:ind w:left="0" w:leftChars="0"/>
        <w:jc w:val="both"/>
        <w:textAlignment w:val="auto"/>
        <w:rPr>
          <w:rFonts w:hint="default" w:ascii="仿宋_GB2312" w:hAnsi="仿宋_GB2312" w:eastAsia="仿宋_GB2312" w:cs="仿宋_GB2312"/>
          <w:color w:val="auto"/>
          <w:sz w:val="32"/>
          <w:szCs w:val="32"/>
          <w:u w:val="none"/>
          <w:lang w:val="en-US" w:eastAsia="zh-CN"/>
        </w:rPr>
      </w:pPr>
      <w:bookmarkStart w:id="0" w:name="Content"/>
      <w:bookmarkEnd w:id="0"/>
      <w:r>
        <w:rPr>
          <w:rFonts w:hint="eastAsia" w:ascii="仿宋_GB2312" w:hAnsi="仿宋_GB2312" w:eastAsia="仿宋_GB2312" w:cs="仿宋_GB2312"/>
          <w:color w:val="auto"/>
          <w:sz w:val="32"/>
          <w:szCs w:val="32"/>
          <w:u w:val="none"/>
          <w:lang w:val="en-US" w:eastAsia="zh-CN"/>
        </w:rPr>
        <w:t>东胜区各地方金融组织：</w:t>
      </w:r>
    </w:p>
    <w:p w14:paraId="5622A1A3">
      <w:pPr>
        <w:keepNext w:val="0"/>
        <w:keepLines w:val="0"/>
        <w:pageBreakBefore w:val="0"/>
        <w:widowControl w:val="0"/>
        <w:kinsoku/>
        <w:wordWrap/>
        <w:overflowPunct/>
        <w:topLinePunct w:val="0"/>
        <w:autoSpaceDE/>
        <w:autoSpaceDN/>
        <w:bidi w:val="0"/>
        <w:adjustRightInd/>
        <w:snapToGrid/>
        <w:spacing w:line="600" w:lineRule="exact"/>
        <w:ind w:left="0" w:leftChars="0" w:firstLine="64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按照《鄂尔多斯市东胜区双随机一公开监管工作联席会议办公室关于印发鄂尔多斯市东胜区</w:t>
      </w:r>
      <w:r>
        <w:rPr>
          <w:rFonts w:hint="eastAsia" w:ascii="Times New Roman" w:hAnsi="Times New Roman" w:eastAsia="仿宋_GB2312" w:cs="Times New Roman"/>
          <w:kern w:val="2"/>
          <w:sz w:val="32"/>
          <w:szCs w:val="32"/>
          <w:lang w:val="en-US" w:eastAsia="zh-CN" w:bidi="ar-SA"/>
        </w:rPr>
        <w:t>2</w:t>
      </w:r>
      <w:r>
        <w:rPr>
          <w:rFonts w:hint="eastAsia" w:ascii="Times New Roman" w:hAnsi="Times New Roman" w:eastAsia="仿宋_GB2312" w:cs="Times New Roman"/>
          <w:kern w:val="2"/>
          <w:sz w:val="32"/>
          <w:szCs w:val="32"/>
          <w:lang w:val="en-US" w:eastAsia="zh-CN" w:bidi="ar-SA"/>
        </w:rPr>
        <w:t>026</w:t>
      </w:r>
      <w:r>
        <w:rPr>
          <w:rFonts w:hint="eastAsia" w:ascii="仿宋_GB2312" w:hAnsi="仿宋_GB2312" w:eastAsia="仿宋_GB2312" w:cs="仿宋_GB2312"/>
          <w:color w:val="auto"/>
          <w:sz w:val="32"/>
          <w:szCs w:val="32"/>
          <w:u w:val="none"/>
          <w:lang w:val="en-US" w:eastAsia="zh-CN"/>
        </w:rPr>
        <w:t>年度市场监管领域部门联合“双随机、一公开”抽查工作计划和联合随机抽查事项清单（</w:t>
      </w:r>
      <w:r>
        <w:rPr>
          <w:rFonts w:hint="eastAsia" w:ascii="Times New Roman" w:hAnsi="Times New Roman" w:eastAsia="仿宋_GB2312" w:cs="Times New Roman"/>
          <w:kern w:val="2"/>
          <w:sz w:val="32"/>
          <w:szCs w:val="32"/>
          <w:lang w:val="en-US" w:eastAsia="zh-CN" w:bidi="ar-SA"/>
        </w:rPr>
        <w:t>2026</w:t>
      </w:r>
      <w:r>
        <w:rPr>
          <w:rFonts w:hint="eastAsia" w:ascii="仿宋_GB2312" w:hAnsi="仿宋_GB2312" w:eastAsia="仿宋_GB2312" w:cs="仿宋_GB2312"/>
          <w:color w:val="auto"/>
          <w:sz w:val="32"/>
          <w:szCs w:val="32"/>
          <w:u w:val="none"/>
          <w:lang w:val="en-US" w:eastAsia="zh-CN"/>
        </w:rPr>
        <w:t>版）的通知》（鄂东双办发〔</w:t>
      </w:r>
      <w:r>
        <w:rPr>
          <w:rFonts w:hint="eastAsia" w:ascii="Times New Roman" w:hAnsi="Times New Roman" w:eastAsia="仿宋_GB2312" w:cs="Times New Roman"/>
          <w:kern w:val="2"/>
          <w:sz w:val="32"/>
          <w:szCs w:val="32"/>
          <w:lang w:val="en-US" w:eastAsia="zh-CN" w:bidi="ar-SA"/>
        </w:rPr>
        <w:t>2026〕1</w:t>
      </w:r>
      <w:r>
        <w:rPr>
          <w:rFonts w:hint="eastAsia" w:ascii="仿宋_GB2312" w:hAnsi="仿宋_GB2312" w:eastAsia="仿宋_GB2312" w:cs="仿宋_GB2312"/>
          <w:color w:val="auto"/>
          <w:sz w:val="32"/>
          <w:szCs w:val="32"/>
          <w:u w:val="none"/>
          <w:lang w:val="en-US" w:eastAsia="zh-CN"/>
        </w:rPr>
        <w:t>号）文件要求，为进一步规范涉企检查、减轻企业负担、优化营商环境，按照“能联尽联原则”，由鄂尔多斯市东胜区财政局牵头联合鄂尔多斯市东胜区市场监督管理局开展2026年度地方金融组织监督执法检查跨部门联合随机检查工作。</w:t>
      </w:r>
    </w:p>
    <w:p w14:paraId="05F1E3E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黑体" w:hAnsi="黑体" w:eastAsia="黑体"/>
          <w:sz w:val="32"/>
          <w:szCs w:val="32"/>
        </w:rPr>
      </w:pPr>
      <w:r>
        <w:rPr>
          <w:rFonts w:hint="eastAsia" w:ascii="黑体" w:hAnsi="黑体" w:eastAsia="黑体"/>
          <w:sz w:val="32"/>
          <w:szCs w:val="32"/>
        </w:rPr>
        <w:t>一、抽查时间</w:t>
      </w:r>
    </w:p>
    <w:p w14:paraId="7FBFCE3D">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仿宋_GB2312" w:cs="Times New Roman"/>
          <w:kern w:val="2"/>
          <w:sz w:val="32"/>
          <w:szCs w:val="32"/>
          <w:lang w:val="en-US" w:eastAsia="zh-CN" w:bidi="ar-SA"/>
        </w:rPr>
        <w:t>2026年9月1日至10月15日</w:t>
      </w:r>
      <w:r>
        <w:rPr>
          <w:rFonts w:hint="eastAsia" w:ascii="仿宋_GB2312" w:hAnsi="仿宋_GB2312" w:eastAsia="仿宋_GB2312" w:cs="仿宋_GB2312"/>
          <w:sz w:val="32"/>
          <w:szCs w:val="32"/>
        </w:rPr>
        <w:t>。</w:t>
      </w:r>
    </w:p>
    <w:p w14:paraId="0B51F450">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黑体" w:hAnsi="黑体" w:eastAsia="黑体"/>
          <w:sz w:val="32"/>
          <w:szCs w:val="32"/>
        </w:rPr>
      </w:pPr>
      <w:r>
        <w:rPr>
          <w:rFonts w:hint="eastAsia" w:ascii="黑体" w:hAnsi="黑体" w:eastAsia="黑体"/>
          <w:sz w:val="32"/>
          <w:szCs w:val="32"/>
          <w:lang w:eastAsia="zh-CN"/>
        </w:rPr>
        <w:t>二、</w:t>
      </w:r>
      <w:r>
        <w:rPr>
          <w:rFonts w:hint="eastAsia" w:ascii="黑体" w:hAnsi="黑体" w:eastAsia="黑体"/>
          <w:sz w:val="32"/>
          <w:szCs w:val="32"/>
        </w:rPr>
        <w:t>抽查范围</w:t>
      </w:r>
    </w:p>
    <w:p w14:paraId="774922D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东胜区小额贷款公司、融资担保、典当公司和融资租赁公司。</w:t>
      </w:r>
    </w:p>
    <w:p w14:paraId="75686876">
      <w:pPr>
        <w:pStyle w:val="11"/>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黑体" w:hAnsi="黑体" w:eastAsia="黑体"/>
          <w:sz w:val="32"/>
          <w:szCs w:val="32"/>
          <w:lang w:val="en-US" w:eastAsia="zh-CN"/>
        </w:rPr>
      </w:pPr>
      <w:r>
        <w:rPr>
          <w:rFonts w:hint="eastAsia" w:ascii="黑体" w:hAnsi="黑体" w:eastAsia="黑体"/>
          <w:sz w:val="32"/>
          <w:szCs w:val="32"/>
        </w:rPr>
        <w:t>抽查</w:t>
      </w:r>
      <w:r>
        <w:rPr>
          <w:rFonts w:hint="eastAsia" w:ascii="黑体" w:hAnsi="黑体" w:eastAsia="黑体"/>
          <w:sz w:val="32"/>
          <w:szCs w:val="32"/>
          <w:lang w:eastAsia="zh-CN"/>
        </w:rPr>
        <w:t>依据</w:t>
      </w:r>
    </w:p>
    <w:p w14:paraId="38A0BC58">
      <w:pPr>
        <w:pStyle w:val="7"/>
        <w:keepNext w:val="0"/>
        <w:keepLines w:val="0"/>
        <w:pageBreakBefore w:val="0"/>
        <w:widowControl w:val="0"/>
        <w:kinsoku/>
        <w:wordWrap/>
        <w:overflowPunct/>
        <w:topLinePunct w:val="0"/>
        <w:bidi w:val="0"/>
        <w:adjustRightInd/>
        <w:snapToGrid/>
        <w:spacing w:line="600" w:lineRule="exact"/>
        <w:ind w:firstLine="640" w:firstLineChars="200"/>
        <w:textAlignment w:val="auto"/>
        <w:rPr>
          <w:rFonts w:hint="eastAsia" w:ascii="Times New Roman" w:hAnsi="Times New Roman" w:eastAsia="仿宋_GB2312" w:cs="Times New Roman"/>
          <w:bCs w:val="0"/>
          <w:kern w:val="2"/>
          <w:sz w:val="32"/>
          <w:szCs w:val="32"/>
          <w:lang w:val="en-US" w:eastAsia="zh-CN" w:bidi="ar-SA"/>
        </w:rPr>
      </w:pPr>
      <w:r>
        <w:rPr>
          <w:rFonts w:hint="default" w:ascii="仿宋_GB2312" w:hAnsi="仿宋_GB2312" w:eastAsia="仿宋_GB2312" w:cs="仿宋_GB2312"/>
          <w:bCs w:val="0"/>
          <w:kern w:val="0"/>
          <w:sz w:val="32"/>
          <w:szCs w:val="32"/>
          <w:lang w:val="en-US" w:eastAsia="zh-CN" w:bidi="ar-SA"/>
        </w:rPr>
        <w:t>《内蒙古自治区地方金融监督管理条例》（</w:t>
      </w:r>
      <w:r>
        <w:rPr>
          <w:rFonts w:hint="default" w:ascii="Times New Roman" w:hAnsi="Times New Roman" w:eastAsia="仿宋_GB2312" w:cs="Times New Roman"/>
          <w:bCs w:val="0"/>
          <w:kern w:val="2"/>
          <w:sz w:val="32"/>
          <w:szCs w:val="32"/>
          <w:lang w:val="en-US" w:eastAsia="zh-CN" w:bidi="ar-SA"/>
        </w:rPr>
        <w:t>2020年12月1日起实施）</w:t>
      </w:r>
      <w:r>
        <w:rPr>
          <w:rFonts w:hint="eastAsia" w:ascii="Times New Roman" w:hAnsi="Times New Roman" w:eastAsia="仿宋_GB2312" w:cs="Times New Roman"/>
          <w:bCs w:val="0"/>
          <w:kern w:val="2"/>
          <w:sz w:val="32"/>
          <w:szCs w:val="32"/>
          <w:lang w:val="en-US" w:eastAsia="zh-CN" w:bidi="ar-SA"/>
        </w:rPr>
        <w:t>。</w:t>
      </w:r>
    </w:p>
    <w:p w14:paraId="3D8889FC">
      <w:pPr>
        <w:keepNext w:val="0"/>
        <w:keepLines w:val="0"/>
        <w:pageBreakBefore w:val="0"/>
        <w:kinsoku/>
        <w:wordWrap/>
        <w:overflowPunct/>
        <w:topLinePunct w:val="0"/>
        <w:bidi w:val="0"/>
        <w:adjustRightInd/>
        <w:snapToGrid/>
        <w:spacing w:line="600" w:lineRule="exact"/>
        <w:textAlignment w:val="auto"/>
        <w:rPr>
          <w:rFonts w:hint="default"/>
          <w:lang w:val="en-US" w:eastAsia="zh-CN"/>
        </w:rPr>
      </w:pPr>
      <w:r>
        <w:rPr>
          <w:rFonts w:hint="eastAsia" w:ascii="仿宋_GB2312" w:hAnsi="仿宋_GB2312" w:eastAsia="仿宋_GB2312" w:cs="仿宋_GB2312"/>
          <w:bCs w:val="0"/>
          <w:kern w:val="0"/>
          <w:sz w:val="32"/>
          <w:szCs w:val="32"/>
          <w:lang w:val="en-US" w:eastAsia="zh-CN" w:bidi="ar-SA"/>
        </w:rPr>
        <w:t xml:space="preserve">    </w:t>
      </w:r>
      <w:r>
        <w:rPr>
          <w:rFonts w:hint="eastAsia" w:ascii="黑体" w:hAnsi="黑体" w:eastAsia="黑体" w:cs="Times New Roman"/>
          <w:kern w:val="0"/>
          <w:sz w:val="32"/>
          <w:szCs w:val="32"/>
          <w:lang w:val="en-US" w:eastAsia="zh-CN" w:bidi="ar-SA"/>
        </w:rPr>
        <w:t>四、抽查内容</w:t>
      </w:r>
    </w:p>
    <w:p w14:paraId="21A2EB7F">
      <w:pPr>
        <w:pStyle w:val="7"/>
        <w:keepNext w:val="0"/>
        <w:keepLines w:val="0"/>
        <w:pageBreakBefore w:val="0"/>
        <w:widowControl w:val="0"/>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财政局抽查内容</w:t>
      </w:r>
    </w:p>
    <w:p w14:paraId="5EA87C10">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小额贷款公司：</w:t>
      </w:r>
      <w:r>
        <w:rPr>
          <w:rFonts w:hint="eastAsia" w:ascii="仿宋_GB2312" w:hAnsi="仿宋_GB2312" w:eastAsia="仿宋_GB2312" w:cs="仿宋_GB2312"/>
          <w:sz w:val="32"/>
          <w:szCs w:val="32"/>
          <w:lang w:val="en-US" w:eastAsia="zh-CN"/>
        </w:rPr>
        <w:t>（1）重大违规问题；（2）业务经营问题；（3）内控合规问题；（4）监管响应情况。</w:t>
      </w:r>
    </w:p>
    <w:p w14:paraId="1425E4D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融资担保公司：</w:t>
      </w:r>
      <w:r>
        <w:rPr>
          <w:rFonts w:hint="eastAsia" w:ascii="仿宋_GB2312" w:hAnsi="仿宋_GB2312" w:eastAsia="仿宋_GB2312" w:cs="仿宋_GB2312"/>
          <w:color w:val="auto"/>
          <w:sz w:val="32"/>
          <w:szCs w:val="32"/>
          <w:lang w:val="en-US" w:eastAsia="zh-CN"/>
        </w:rPr>
        <w:t>（1）重大违规问题；（2）业务经营问题；（3）内控合规问题；（4）监管响应情况。</w:t>
      </w:r>
    </w:p>
    <w:p w14:paraId="060CBDF9">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典当公司：</w:t>
      </w:r>
      <w:r>
        <w:rPr>
          <w:rFonts w:hint="eastAsia" w:ascii="仿宋_GB2312" w:hAnsi="仿宋_GB2312" w:eastAsia="仿宋_GB2312" w:cs="仿宋_GB2312"/>
          <w:color w:val="auto"/>
          <w:sz w:val="32"/>
          <w:szCs w:val="32"/>
          <w:lang w:val="en-US" w:eastAsia="zh-CN"/>
        </w:rPr>
        <w:t>（1）重大违规问题；（2）业务经营问题；（3）内控合规问题；（4）监管响应情况。</w:t>
      </w:r>
    </w:p>
    <w:p w14:paraId="62A02C87">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4.融资租赁公司：（1）重大违规问题；（2）业务经营问题；（3）内控合规问题；（4）监管响应情况。</w:t>
      </w:r>
    </w:p>
    <w:p w14:paraId="5F58483A">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（二）市场监管局抽查内容</w:t>
      </w:r>
    </w:p>
    <w:p w14:paraId="087B3774">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1.营业执照（登记证）规范使用情况；2.名称规范使用情况；3.经营（驻在）期限；</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.经营（业务）范围中无需审批的经营（业务）项目；5.住所（经营场所）或驻在场所；6.注册资本实缴情况；7.法定代表人（负责人）任职情况；8.法定代表人、自然人股东身份真实性；</w:t>
      </w:r>
      <w:r>
        <w:rPr>
          <w:rFonts w:hint="eastAsia" w:ascii="仿宋_GB2312" w:hAnsi="仿宋_GB2312" w:eastAsia="仿宋_GB2312" w:cs="仿宋_GB2312"/>
          <w:sz w:val="32"/>
          <w:szCs w:val="32"/>
          <w:lang w:val="en-US" w:eastAsia="zh-CN"/>
        </w:rPr>
        <w:t>9.年度报告公示信息的检查；10.及时公示信息的检查。</w:t>
      </w:r>
    </w:p>
    <w:p w14:paraId="38B1386E">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黑体" w:hAnsi="黑体" w:eastAsia="黑体"/>
          <w:sz w:val="32"/>
          <w:szCs w:val="32"/>
        </w:rPr>
      </w:pPr>
      <w:r>
        <w:rPr>
          <w:rFonts w:hint="eastAsia" w:ascii="黑体" w:hAnsi="黑体" w:eastAsia="黑体"/>
          <w:sz w:val="32"/>
          <w:szCs w:val="32"/>
          <w:lang w:eastAsia="zh-CN"/>
        </w:rPr>
        <w:t>五</w:t>
      </w:r>
      <w:r>
        <w:rPr>
          <w:rFonts w:hint="eastAsia" w:ascii="黑体" w:hAnsi="黑体" w:eastAsia="黑体"/>
          <w:sz w:val="32"/>
          <w:szCs w:val="32"/>
        </w:rPr>
        <w:t>、抽</w:t>
      </w:r>
      <w:r>
        <w:rPr>
          <w:rFonts w:hint="eastAsia" w:ascii="黑体" w:hAnsi="黑体" w:eastAsia="黑体"/>
          <w:sz w:val="32"/>
          <w:szCs w:val="32"/>
          <w:lang w:eastAsia="zh-CN"/>
        </w:rPr>
        <w:t>查</w:t>
      </w:r>
      <w:r>
        <w:rPr>
          <w:rFonts w:hint="eastAsia" w:ascii="黑体" w:hAnsi="黑体" w:eastAsia="黑体"/>
          <w:sz w:val="32"/>
          <w:szCs w:val="32"/>
        </w:rPr>
        <w:t>方式</w:t>
      </w:r>
    </w:p>
    <w:p w14:paraId="18BDE2A8">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eastAsia="zh-CN"/>
        </w:rPr>
        <w:t>国家企业信用信息公示系统（</w:t>
      </w:r>
      <w:r>
        <w:rPr>
          <w:rFonts w:hint="eastAsia" w:ascii="仿宋_GB2312" w:hAnsi="仿宋_GB2312" w:eastAsia="仿宋_GB2312" w:cs="仿宋_GB2312"/>
          <w:sz w:val="32"/>
          <w:szCs w:val="32"/>
        </w:rPr>
        <w:t>内蒙古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协同监管平台，按照“双随机”抽查方式，</w:t>
      </w:r>
      <w:r>
        <w:rPr>
          <w:rFonts w:hint="eastAsia" w:ascii="仿宋_GB2312" w:hAnsi="仿宋_GB2312" w:eastAsia="仿宋_GB2312" w:cs="仿宋_GB2312"/>
          <w:sz w:val="32"/>
          <w:szCs w:val="32"/>
          <w:lang w:eastAsia="zh-CN"/>
        </w:rPr>
        <w:t>随机抽取</w:t>
      </w:r>
      <w:r>
        <w:rPr>
          <w:rFonts w:hint="eastAsia" w:ascii="仿宋_GB2312" w:hAnsi="仿宋_GB2312" w:eastAsia="仿宋_GB2312" w:cs="仿宋_GB2312"/>
          <w:sz w:val="32"/>
          <w:szCs w:val="32"/>
          <w:lang w:val="en-US" w:eastAsia="zh-CN"/>
        </w:rPr>
        <w:t>东胜区存续的“小额贷款”、“融资担保”、“典当公司”、“融资租赁公司”，</w:t>
      </w:r>
      <w:r>
        <w:rPr>
          <w:rFonts w:hint="eastAsia" w:ascii="仿宋_GB2312" w:hAnsi="仿宋_GB2312" w:eastAsia="仿宋_GB2312" w:cs="仿宋_GB2312"/>
          <w:sz w:val="32"/>
          <w:szCs w:val="32"/>
        </w:rPr>
        <w:t>随机生成检查对</w:t>
      </w:r>
      <w:r>
        <w:rPr>
          <w:rFonts w:hint="eastAsia" w:ascii="Times New Roman" w:hAnsi="Times New Roman" w:eastAsia="仿宋_GB2312" w:cs="Times New Roman"/>
          <w:kern w:val="2"/>
          <w:sz w:val="32"/>
          <w:szCs w:val="32"/>
          <w:lang w:val="en-US" w:eastAsia="zh-CN" w:bidi="ar-SA"/>
        </w:rPr>
        <w:t>象14</w:t>
      </w:r>
      <w:r>
        <w:rPr>
          <w:rFonts w:hint="eastAsia" w:ascii="仿宋_GB2312" w:hAnsi="仿宋_GB2312" w:eastAsia="仿宋_GB2312" w:cs="仿宋_GB2312"/>
          <w:sz w:val="32"/>
          <w:szCs w:val="32"/>
          <w:lang w:val="en-US" w:eastAsia="zh-CN"/>
        </w:rPr>
        <w:t>家，</w:t>
      </w:r>
      <w:r>
        <w:rPr>
          <w:rFonts w:hint="eastAsia" w:ascii="仿宋_GB2312" w:hAnsi="仿宋_GB2312" w:eastAsia="仿宋_GB2312" w:cs="仿宋_GB2312"/>
          <w:sz w:val="32"/>
          <w:szCs w:val="32"/>
        </w:rPr>
        <w:t>随机选派</w:t>
      </w:r>
      <w:r>
        <w:rPr>
          <w:rFonts w:hint="eastAsia" w:ascii="仿宋_GB2312" w:hAnsi="仿宋_GB2312" w:eastAsia="仿宋_GB2312" w:cs="仿宋_GB2312"/>
          <w:sz w:val="32"/>
          <w:szCs w:val="32"/>
          <w:lang w:eastAsia="zh-CN"/>
        </w:rPr>
        <w:t>执法</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各组执法人员采取</w:t>
      </w:r>
      <w:r>
        <w:rPr>
          <w:rFonts w:hint="eastAsia" w:ascii="仿宋_GB2312" w:hAnsi="仿宋_GB2312" w:eastAsia="仿宋_GB2312" w:cs="仿宋_GB2312"/>
          <w:sz w:val="32"/>
          <w:szCs w:val="32"/>
          <w:lang w:eastAsia="zh-CN"/>
        </w:rPr>
        <w:t>书面审查、</w:t>
      </w:r>
      <w:r>
        <w:rPr>
          <w:rFonts w:hint="eastAsia" w:ascii="仿宋_GB2312" w:hAnsi="仿宋_GB2312" w:eastAsia="仿宋_GB2312" w:cs="仿宋_GB2312"/>
          <w:sz w:val="32"/>
          <w:szCs w:val="32"/>
        </w:rPr>
        <w:t>实地核查方式</w:t>
      </w:r>
      <w:r>
        <w:rPr>
          <w:rFonts w:hint="eastAsia" w:ascii="仿宋_GB2312" w:hAnsi="仿宋_GB2312" w:eastAsia="仿宋_GB2312" w:cs="仿宋_GB2312"/>
          <w:sz w:val="32"/>
          <w:szCs w:val="32"/>
          <w:lang w:eastAsia="zh-CN"/>
        </w:rPr>
        <w:t>依法</w:t>
      </w:r>
      <w:r>
        <w:rPr>
          <w:rFonts w:hint="eastAsia" w:ascii="仿宋_GB2312" w:hAnsi="仿宋_GB2312" w:eastAsia="仿宋_GB2312" w:cs="仿宋_GB2312"/>
          <w:sz w:val="32"/>
          <w:szCs w:val="32"/>
        </w:rPr>
        <w:t>进行</w:t>
      </w:r>
      <w:r>
        <w:rPr>
          <w:rFonts w:hint="eastAsia" w:ascii="仿宋_GB2312" w:hAnsi="仿宋_GB2312" w:eastAsia="仿宋_GB2312" w:cs="仿宋_GB2312"/>
          <w:sz w:val="32"/>
          <w:szCs w:val="32"/>
          <w:lang w:eastAsia="zh-CN"/>
        </w:rPr>
        <w:t>监督</w:t>
      </w:r>
      <w:r>
        <w:rPr>
          <w:rFonts w:hint="eastAsia" w:ascii="仿宋_GB2312" w:hAnsi="仿宋_GB2312" w:eastAsia="仿宋_GB2312" w:cs="仿宋_GB2312"/>
          <w:sz w:val="32"/>
          <w:szCs w:val="32"/>
        </w:rPr>
        <w:t>检查。</w:t>
      </w:r>
    </w:p>
    <w:p w14:paraId="6D109368">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黑体" w:hAnsi="黑体" w:eastAsia="黑体"/>
          <w:sz w:val="32"/>
          <w:szCs w:val="32"/>
        </w:rPr>
      </w:pPr>
      <w:r>
        <w:rPr>
          <w:rFonts w:hint="eastAsia" w:ascii="黑体" w:hAnsi="黑体" w:eastAsia="黑体"/>
          <w:sz w:val="32"/>
          <w:szCs w:val="32"/>
          <w:lang w:eastAsia="zh-CN"/>
        </w:rPr>
        <w:t>六</w:t>
      </w:r>
      <w:r>
        <w:rPr>
          <w:rFonts w:hint="eastAsia" w:ascii="黑体" w:hAnsi="黑体" w:eastAsia="黑体"/>
          <w:sz w:val="32"/>
          <w:szCs w:val="32"/>
        </w:rPr>
        <w:t>、检查结果录入及公示</w:t>
      </w:r>
    </w:p>
    <w:p w14:paraId="28DA7637">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检查结束，按照“谁检查、谁录入、谁公示”的</w:t>
      </w:r>
      <w:r>
        <w:rPr>
          <w:rFonts w:hint="eastAsia" w:ascii="仿宋_GB2312" w:hAnsi="仿宋_GB2312" w:eastAsia="仿宋_GB2312" w:cs="仿宋_GB2312"/>
          <w:sz w:val="32"/>
          <w:szCs w:val="32"/>
          <w:lang w:eastAsia="zh-CN"/>
        </w:rPr>
        <w:t>原则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对各部门检查结果在</w:t>
      </w:r>
      <w:r>
        <w:rPr>
          <w:rFonts w:hint="eastAsia" w:ascii="Times New Roman" w:hAnsi="Times New Roman" w:eastAsia="仿宋_GB2312" w:cs="Times New Roman"/>
          <w:kern w:val="2"/>
          <w:sz w:val="32"/>
          <w:szCs w:val="32"/>
          <w:lang w:val="en-US" w:eastAsia="zh-CN" w:bidi="ar-SA"/>
        </w:rPr>
        <w:t>20</w:t>
      </w:r>
      <w:r>
        <w:rPr>
          <w:rFonts w:hint="eastAsia" w:ascii="仿宋_GB2312" w:hAnsi="仿宋_GB2312" w:eastAsia="仿宋_GB2312" w:cs="仿宋_GB2312"/>
          <w:sz w:val="32"/>
          <w:szCs w:val="32"/>
          <w:lang w:val="en-US" w:eastAsia="zh-CN"/>
        </w:rPr>
        <w:t>个工作日内</w:t>
      </w:r>
      <w:r>
        <w:rPr>
          <w:rFonts w:hint="eastAsia" w:ascii="仿宋_GB2312" w:hAnsi="仿宋_GB2312" w:eastAsia="仿宋_GB2312" w:cs="仿宋_GB2312"/>
          <w:sz w:val="32"/>
          <w:szCs w:val="32"/>
        </w:rPr>
        <w:t>录入内蒙古</w:t>
      </w:r>
      <w:r>
        <w:rPr>
          <w:rFonts w:hint="eastAsia" w:ascii="仿宋_GB2312" w:hAnsi="仿宋_GB2312" w:eastAsia="仿宋_GB2312" w:cs="仿宋_GB2312"/>
          <w:sz w:val="32"/>
          <w:szCs w:val="32"/>
          <w:lang w:eastAsia="zh-CN"/>
        </w:rPr>
        <w:t>自治区部门</w:t>
      </w:r>
      <w:r>
        <w:rPr>
          <w:rFonts w:hint="eastAsia" w:ascii="仿宋_GB2312" w:hAnsi="仿宋_GB2312" w:eastAsia="仿宋_GB2312" w:cs="仿宋_GB2312"/>
          <w:sz w:val="32"/>
          <w:szCs w:val="32"/>
        </w:rPr>
        <w:t>协同监管平台</w:t>
      </w:r>
      <w:r>
        <w:rPr>
          <w:rFonts w:hint="eastAsia" w:ascii="仿宋_GB2312" w:hAnsi="仿宋_GB2312" w:eastAsia="仿宋_GB2312" w:cs="仿宋_GB2312"/>
          <w:sz w:val="32"/>
          <w:szCs w:val="32"/>
          <w:lang w:eastAsia="zh-CN"/>
        </w:rPr>
        <w:t>并通过国家企业信用信息公示系统（内蒙古）</w:t>
      </w:r>
      <w:r>
        <w:rPr>
          <w:rFonts w:hint="eastAsia" w:ascii="仿宋_GB2312" w:hAnsi="仿宋_GB2312" w:eastAsia="仿宋_GB2312" w:cs="仿宋_GB2312"/>
          <w:sz w:val="32"/>
          <w:szCs w:val="32"/>
        </w:rPr>
        <w:t>，向社会公示</w:t>
      </w:r>
      <w:r>
        <w:rPr>
          <w:rFonts w:hint="eastAsia" w:ascii="仿宋_GB2312" w:hAnsi="仿宋_GB2312" w:eastAsia="仿宋_GB2312" w:cs="仿宋_GB2312"/>
          <w:sz w:val="32"/>
          <w:szCs w:val="32"/>
          <w:lang w:eastAsia="zh-CN"/>
        </w:rPr>
        <w:t>，接受社会监督</w:t>
      </w:r>
      <w:r>
        <w:rPr>
          <w:rFonts w:hint="eastAsia" w:ascii="仿宋_GB2312" w:hAnsi="仿宋_GB2312" w:eastAsia="仿宋_GB2312" w:cs="仿宋_GB2312"/>
          <w:sz w:val="32"/>
          <w:szCs w:val="32"/>
        </w:rPr>
        <w:t>。</w:t>
      </w:r>
    </w:p>
    <w:p w14:paraId="296F3CB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黑体" w:hAnsi="黑体" w:eastAsia="黑体"/>
          <w:sz w:val="32"/>
          <w:szCs w:val="32"/>
        </w:rPr>
      </w:pPr>
      <w:r>
        <w:rPr>
          <w:rFonts w:hint="eastAsia" w:ascii="黑体" w:hAnsi="黑体" w:eastAsia="黑体"/>
          <w:sz w:val="32"/>
          <w:szCs w:val="32"/>
          <w:lang w:eastAsia="zh-CN"/>
        </w:rPr>
        <w:t>七</w:t>
      </w:r>
      <w:r>
        <w:rPr>
          <w:rFonts w:hint="eastAsia" w:ascii="黑体" w:hAnsi="黑体" w:eastAsia="黑体"/>
          <w:sz w:val="32"/>
          <w:szCs w:val="32"/>
        </w:rPr>
        <w:t>、工作要求</w:t>
      </w:r>
    </w:p>
    <w:p w14:paraId="7E7FCC3C">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（一）明确职责。</w:t>
      </w:r>
      <w:r>
        <w:rPr>
          <w:rFonts w:hint="eastAsia" w:ascii="仿宋_GB2312" w:hAnsi="仿宋_GB2312" w:eastAsia="仿宋_GB2312" w:cs="仿宋_GB2312"/>
          <w:sz w:val="32"/>
          <w:szCs w:val="32"/>
          <w:lang w:eastAsia="zh-CN"/>
        </w:rPr>
        <w:t>执法人员</w:t>
      </w:r>
      <w:r>
        <w:rPr>
          <w:rFonts w:hint="eastAsia" w:ascii="仿宋_GB2312" w:hAnsi="仿宋_GB2312" w:eastAsia="仿宋_GB2312" w:cs="仿宋_GB2312"/>
          <w:sz w:val="32"/>
          <w:szCs w:val="32"/>
        </w:rPr>
        <w:t>及时</w:t>
      </w:r>
      <w:r>
        <w:rPr>
          <w:rFonts w:hint="eastAsia" w:ascii="仿宋_GB2312" w:hAnsi="仿宋_GB2312" w:eastAsia="仿宋_GB2312" w:cs="仿宋_GB2312"/>
          <w:sz w:val="32"/>
          <w:szCs w:val="32"/>
          <w:lang w:eastAsia="zh-CN"/>
        </w:rPr>
        <w:t>开展检查工作，检查结束后，对发现行业内存在的违法问题及其他隐患，要及时督促整改，并加强后续处理。</w:t>
      </w:r>
    </w:p>
    <w:p w14:paraId="1F424E9D">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（二）认真总结。</w:t>
      </w:r>
      <w:r>
        <w:rPr>
          <w:rFonts w:hint="eastAsia" w:ascii="仿宋_GB2312" w:hAnsi="仿宋_GB2312" w:eastAsia="仿宋_GB2312" w:cs="仿宋_GB2312"/>
          <w:sz w:val="32"/>
          <w:szCs w:val="32"/>
        </w:rPr>
        <w:t>执法人员认真总结执法经验，抽查工作结束后，由执法</w:t>
      </w:r>
      <w:r>
        <w:rPr>
          <w:rFonts w:hint="eastAsia" w:ascii="仿宋_GB2312" w:hAnsi="仿宋_GB2312" w:eastAsia="仿宋_GB2312" w:cs="仿宋_GB2312"/>
          <w:sz w:val="32"/>
          <w:szCs w:val="32"/>
          <w:lang w:eastAsia="zh-CN"/>
        </w:rPr>
        <w:t>人员</w:t>
      </w:r>
      <w:r>
        <w:rPr>
          <w:rFonts w:hint="eastAsia" w:ascii="仿宋_GB2312" w:hAnsi="仿宋_GB2312" w:eastAsia="仿宋_GB2312" w:cs="仿宋_GB2312"/>
          <w:sz w:val="32"/>
          <w:szCs w:val="32"/>
        </w:rPr>
        <w:t>总结在检查过程中存在的问题，</w:t>
      </w:r>
      <w:r>
        <w:rPr>
          <w:rFonts w:hint="eastAsia" w:ascii="仿宋_GB2312" w:hAnsi="仿宋_GB2312" w:eastAsia="仿宋_GB2312" w:cs="仿宋_GB2312"/>
          <w:sz w:val="32"/>
          <w:szCs w:val="32"/>
          <w:lang w:eastAsia="zh-CN"/>
        </w:rPr>
        <w:t>及时反馈至相关业务股室。</w:t>
      </w:r>
    </w:p>
    <w:p w14:paraId="17BF0228">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（三）严格监督。</w:t>
      </w:r>
      <w:r>
        <w:rPr>
          <w:rFonts w:hint="eastAsia" w:ascii="仿宋_GB2312" w:hAnsi="仿宋_GB2312" w:eastAsia="仿宋_GB2312" w:cs="仿宋_GB2312"/>
          <w:sz w:val="32"/>
          <w:szCs w:val="32"/>
          <w:lang w:eastAsia="zh-CN"/>
        </w:rPr>
        <w:t>对在抽查工作中发现的违法经营行为，需立案调查的，严格按照案件办理程序进行，做到惩处与教育相结合，规范企业经营行为，确保行业领域稳定发展。</w:t>
      </w:r>
    </w:p>
    <w:p w14:paraId="050ED284">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rPr>
        <w:t>四）抽查完毕后</w:t>
      </w:r>
      <w:r>
        <w:rPr>
          <w:rFonts w:hint="eastAsia" w:ascii="仿宋_GB2312" w:hAnsi="仿宋_GB2312" w:eastAsia="仿宋_GB2312" w:cs="仿宋_GB2312"/>
          <w:sz w:val="32"/>
          <w:szCs w:val="32"/>
          <w:lang w:eastAsia="zh-CN"/>
        </w:rPr>
        <w:t>，执法人员</w:t>
      </w:r>
      <w:r>
        <w:rPr>
          <w:rFonts w:hint="eastAsia" w:ascii="仿宋_GB2312" w:hAnsi="仿宋_GB2312" w:eastAsia="仿宋_GB2312" w:cs="仿宋_GB2312"/>
          <w:sz w:val="32"/>
          <w:szCs w:val="32"/>
        </w:rPr>
        <w:t>将系统自动生成的执法检查表</w:t>
      </w:r>
      <w:r>
        <w:rPr>
          <w:rFonts w:hint="eastAsia" w:ascii="仿宋_GB2312" w:hAnsi="仿宋_GB2312" w:eastAsia="仿宋_GB2312" w:cs="仿宋_GB2312"/>
          <w:sz w:val="32"/>
          <w:szCs w:val="32"/>
          <w:lang w:eastAsia="zh-CN"/>
        </w:rPr>
        <w:t>及需提供的相关资料装订交回</w:t>
      </w:r>
      <w:r>
        <w:rPr>
          <w:rFonts w:hint="eastAsia" w:ascii="仿宋_GB2312" w:hAnsi="仿宋_GB2312" w:eastAsia="仿宋_GB2312" w:cs="仿宋_GB2312"/>
          <w:sz w:val="32"/>
          <w:szCs w:val="32"/>
        </w:rPr>
        <w:t>至</w:t>
      </w:r>
      <w:r>
        <w:rPr>
          <w:rFonts w:hint="eastAsia" w:ascii="仿宋_GB2312" w:hAnsi="仿宋_GB2312" w:eastAsia="仿宋_GB2312" w:cs="仿宋_GB2312"/>
          <w:sz w:val="32"/>
          <w:szCs w:val="32"/>
          <w:lang w:eastAsia="zh-CN"/>
        </w:rPr>
        <w:t>本部门相关业务股室存档。</w:t>
      </w:r>
    </w:p>
    <w:p w14:paraId="614DE960">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p>
    <w:p w14:paraId="55325F2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1629" w:leftChars="304" w:right="0" w:rightChars="0" w:hanging="960" w:hangingChars="3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1.鄂尔多斯市东胜区财政局2026年度部门联合“双随机、一公开”抽查工作计划清单</w:t>
      </w:r>
    </w:p>
    <w:p w14:paraId="4459F0C1">
      <w:pPr>
        <w:pStyle w:val="1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2018" w:leftChars="772" w:right="0" w:rightChars="0" w:hanging="320" w:hangingChars="100"/>
        <w:jc w:val="both"/>
        <w:textAlignment w:val="auto"/>
        <w:outlineLvl w:val="9"/>
        <w:rPr>
          <w:rFonts w:hint="eastAsia" w:ascii="仿宋_GB2312" w:hAnsi="仿宋_GB2312" w:eastAsia="仿宋_GB2312" w:cs="仿宋_GB2312"/>
          <w:sz w:val="32"/>
          <w:szCs w:val="32"/>
          <w:lang w:val="en-US" w:eastAsia="zh-CN"/>
        </w:rPr>
      </w:pPr>
      <w:bookmarkStart w:id="1" w:name="_Toc25248"/>
      <w:bookmarkStart w:id="2" w:name="_Toc29642"/>
      <w:bookmarkStart w:id="3" w:name="_Toc16088"/>
      <w:r>
        <w:rPr>
          <w:rFonts w:hint="eastAsia" w:ascii="仿宋_GB2312" w:hAnsi="仿宋_GB2312" w:eastAsia="仿宋_GB2312" w:cs="仿宋_GB2312"/>
          <w:sz w:val="32"/>
          <w:szCs w:val="32"/>
          <w:lang w:val="en-US" w:eastAsia="zh-CN"/>
        </w:rPr>
        <w:t>2.鄂尔多斯市东胜区财政局地方金融组织监督执法检查</w:t>
      </w:r>
      <w:r>
        <w:rPr>
          <w:rFonts w:hint="eastAsia" w:ascii="Times New Roman" w:hAnsi="Times New Roman" w:eastAsia="仿宋_GB2312" w:cs="Times New Roman"/>
          <w:kern w:val="2"/>
          <w:sz w:val="32"/>
          <w:szCs w:val="32"/>
          <w:lang w:val="en-US" w:eastAsia="zh-CN" w:bidi="ar-SA"/>
        </w:rPr>
        <w:t>2026</w:t>
      </w:r>
      <w:r>
        <w:rPr>
          <w:rFonts w:hint="eastAsia" w:ascii="仿宋_GB2312" w:hAnsi="仿宋_GB2312" w:eastAsia="仿宋_GB2312" w:cs="仿宋_GB2312"/>
          <w:sz w:val="32"/>
          <w:szCs w:val="32"/>
          <w:lang w:val="en-US" w:eastAsia="zh-CN"/>
        </w:rPr>
        <w:t>年部门联合“双随机、一公开”抽查企业清单</w:t>
      </w:r>
    </w:p>
    <w:p w14:paraId="30553EE0">
      <w:pPr>
        <w:pStyle w:val="3"/>
        <w:rPr>
          <w:rFonts w:hint="default"/>
          <w:lang w:val="en-US" w:eastAsia="zh-CN"/>
        </w:rPr>
      </w:pPr>
      <w:r>
        <w:rPr>
          <w:rFonts w:hint="eastAsia" w:ascii="仿宋_GB2312" w:hAnsi="仿宋_GB2312" w:eastAsia="仿宋_GB2312" w:cs="仿宋_GB2312"/>
          <w:sz w:val="32"/>
          <w:szCs w:val="32"/>
          <w:lang w:val="en-US" w:eastAsia="zh-CN"/>
        </w:rPr>
        <w:t xml:space="preserve">          </w:t>
      </w:r>
      <w:bookmarkStart w:id="4" w:name="_Toc14183"/>
      <w:bookmarkStart w:id="5" w:name="_Toc31274"/>
      <w:bookmarkStart w:id="6" w:name="_Toc25550"/>
    </w:p>
    <w:bookmarkEnd w:id="4"/>
    <w:bookmarkEnd w:id="5"/>
    <w:bookmarkEnd w:id="6"/>
    <w:p w14:paraId="3C4DDE78">
      <w:pPr>
        <w:rPr>
          <w:rFonts w:hint="eastAsia" w:ascii="仿宋" w:hAnsi="仿宋" w:eastAsia="仿宋"/>
          <w:sz w:val="32"/>
          <w:szCs w:val="32"/>
        </w:rPr>
      </w:pPr>
      <w:r>
        <w:rPr>
          <w:rFonts w:hint="eastAsia"/>
          <w:lang w:val="en-US" w:eastAsia="zh-CN"/>
        </w:rPr>
        <w:t xml:space="preserve">               </w:t>
      </w:r>
      <w:bookmarkEnd w:id="1"/>
      <w:bookmarkEnd w:id="2"/>
      <w:bookmarkEnd w:id="3"/>
    </w:p>
    <w:p w14:paraId="5904B514">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both"/>
        <w:textAlignment w:val="auto"/>
        <w:rPr>
          <w:rFonts w:hint="eastAsia" w:ascii="仿宋_GB2312" w:hAnsi="仿宋_GB2312" w:eastAsia="仿宋_GB2312" w:cs="仿宋_GB2312"/>
          <w:w w:val="90"/>
          <w:kern w:val="2"/>
          <w:sz w:val="32"/>
          <w:szCs w:val="32"/>
          <w:lang w:val="en-US" w:eastAsia="zh-CN" w:bidi="ar-SA"/>
        </w:rPr>
      </w:pPr>
      <w:r>
        <w:rPr>
          <w:rFonts w:hint="eastAsia" w:ascii="仿宋_GB2312" w:hAnsi="仿宋_GB2312" w:eastAsia="仿宋_GB2312" w:cs="仿宋_GB2312"/>
          <w:w w:val="90"/>
          <w:sz w:val="32"/>
          <w:szCs w:val="32"/>
          <w:lang w:val="en-US" w:eastAsia="zh-CN"/>
        </w:rPr>
        <w:t>鄂尔多斯市东胜区财政局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i w:val="0"/>
          <w:iCs w:val="0"/>
          <w:caps w:val="0"/>
          <w:color w:val="auto"/>
          <w:spacing w:val="0"/>
          <w:w w:val="90"/>
          <w:sz w:val="32"/>
          <w:szCs w:val="32"/>
          <w:shd w:val="clear" w:color="auto" w:fill="FFFFFF"/>
          <w:lang w:val="en-US" w:eastAsia="zh-CN"/>
        </w:rPr>
        <w:t>鄂尔多斯市东胜区</w:t>
      </w:r>
      <w:r>
        <w:rPr>
          <w:rFonts w:hint="eastAsia" w:ascii="仿宋_GB2312" w:hAnsi="仿宋_GB2312" w:eastAsia="仿宋_GB2312" w:cs="仿宋_GB2312"/>
          <w:w w:val="90"/>
          <w:sz w:val="32"/>
          <w:szCs w:val="32"/>
        </w:rPr>
        <w:t>市场监督管理局</w:t>
      </w:r>
    </w:p>
    <w:p w14:paraId="201AFF93">
      <w:pPr>
        <w:keepNext w:val="0"/>
        <w:keepLines w:val="0"/>
        <w:pageBreakBefore w:val="0"/>
        <w:widowControl w:val="0"/>
        <w:kinsoku/>
        <w:wordWrap/>
        <w:overflowPunct/>
        <w:topLinePunct w:val="0"/>
        <w:autoSpaceDE/>
        <w:autoSpaceDN/>
        <w:bidi w:val="0"/>
        <w:adjustRightInd/>
        <w:snapToGrid/>
        <w:spacing w:after="0" w:line="600" w:lineRule="exact"/>
        <w:jc w:val="both"/>
        <w:textAlignment w:val="auto"/>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kern w:val="2"/>
          <w:sz w:val="32"/>
          <w:szCs w:val="32"/>
          <w:lang w:val="en-US" w:eastAsia="zh-CN" w:bidi="ar-SA"/>
        </w:rPr>
        <w:t xml:space="preserve">                               </w:t>
      </w:r>
      <w:r>
        <w:rPr>
          <w:rFonts w:hint="eastAsia" w:ascii="Times New Roman" w:hAnsi="Times New Roman" w:eastAsia="仿宋_GB2312" w:cs="Times New Roman"/>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t>2026年9月7日</w:t>
      </w:r>
    </w:p>
    <w:p w14:paraId="2C6B7F07">
      <w:pPr>
        <w:pStyle w:val="6"/>
        <w:ind w:left="0" w:leftChars="0" w:firstLine="0" w:firstLineChars="0"/>
        <w:rPr>
          <w:rFonts w:hint="eastAsia" w:ascii="仿宋_GB2312" w:hAnsi="仿宋_GB2312" w:eastAsia="仿宋_GB2312" w:cs="仿宋_GB2312"/>
          <w:i w:val="0"/>
          <w:iCs w:val="0"/>
          <w:caps w:val="0"/>
          <w:color w:val="333333"/>
          <w:spacing w:val="0"/>
          <w:sz w:val="32"/>
          <w:szCs w:val="32"/>
          <w:shd w:val="clear" w:color="auto" w:fill="FFFFFF"/>
          <w:lang w:val="en-US" w:eastAsia="zh-CN"/>
        </w:rPr>
      </w:pPr>
    </w:p>
    <w:p w14:paraId="2854B5B8">
      <w:pPr>
        <w:pStyle w:val="6"/>
        <w:ind w:left="0" w:leftChars="0" w:firstLine="0" w:firstLineChars="0"/>
        <w:rPr>
          <w:rFonts w:hint="eastAsia" w:ascii="仿宋_GB2312" w:hAnsi="仿宋_GB2312" w:eastAsia="仿宋_GB2312" w:cs="仿宋_GB2312"/>
          <w:i w:val="0"/>
          <w:iCs w:val="0"/>
          <w:caps w:val="0"/>
          <w:color w:val="333333"/>
          <w:spacing w:val="0"/>
          <w:sz w:val="32"/>
          <w:szCs w:val="32"/>
          <w:shd w:val="clear" w:color="auto" w:fill="FFFFFF"/>
          <w:lang w:val="en-US" w:eastAsia="zh-CN"/>
        </w:rPr>
      </w:pPr>
    </w:p>
    <w:p w14:paraId="18DBAFAE">
      <w:pPr>
        <w:keepNext w:val="0"/>
        <w:keepLines w:val="0"/>
        <w:pageBreakBefore w:val="0"/>
        <w:widowControl w:val="0"/>
        <w:kinsoku/>
        <w:wordWrap w:val="0"/>
        <w:overflowPunct/>
        <w:topLinePunct w:val="0"/>
        <w:autoSpaceDE/>
        <w:autoSpaceDN/>
        <w:bidi w:val="0"/>
        <w:adjustRightInd/>
        <w:snapToGrid/>
        <w:spacing w:line="560" w:lineRule="exact"/>
        <w:ind w:right="-440" w:rightChars="-200" w:firstLine="212" w:firstLineChars="100"/>
        <w:jc w:val="both"/>
        <w:textAlignment w:val="auto"/>
        <w:rPr>
          <w:rFonts w:hint="eastAsia" w:eastAsia="仿宋_GB2312"/>
          <w:w w:val="100"/>
          <w:lang w:val="en-US" w:eastAsia="zh-CN"/>
        </w:rPr>
      </w:pPr>
      <w:r>
        <w:rPr>
          <w:spacing w:val="-20"/>
          <w:w w:val="90"/>
          <w:sz w:val="28"/>
          <w:szCs w:val="28"/>
        </w:rPr>
        <mc:AlternateContent>
          <mc:Choice Requires="wps">
            <w:drawing>
              <wp:anchor distT="0" distB="0" distL="0" distR="0" simplePos="0" relativeHeight="251660288" behindDoc="0" locked="0" layoutInCell="1" allowOverlap="1">
                <wp:simplePos x="0" y="0"/>
                <wp:positionH relativeFrom="column">
                  <wp:posOffset>8255</wp:posOffset>
                </wp:positionH>
                <wp:positionV relativeFrom="paragraph">
                  <wp:posOffset>354965</wp:posOffset>
                </wp:positionV>
                <wp:extent cx="5563870" cy="635"/>
                <wp:effectExtent l="0" t="0" r="0" b="0"/>
                <wp:wrapNone/>
                <wp:docPr id="1027" name="直接连接符 4"/>
                <wp:cNvGraphicFramePr/>
                <a:graphic xmlns:a="http://schemas.openxmlformats.org/drawingml/2006/main">
                  <a:graphicData uri="http://schemas.microsoft.com/office/word/2010/wordprocessingShape">
                    <wps:wsp>
                      <wps:cNvCnPr/>
                      <wps:spPr>
                        <a:xfrm flipV="1">
                          <a:off x="0" y="0"/>
                          <a:ext cx="5563870" cy="633"/>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4" o:spid="_x0000_s1026" o:spt="20" style="position:absolute;left:0pt;flip:y;margin-left:0.65pt;margin-top:27.95pt;height:0.05pt;width:438.1pt;z-index:251660288;mso-width-relative:page;mso-height-relative:page;" filled="f" stroked="t" coordsize="21600,21600" o:gfxdata="UEsDBAoAAAAAAIdO4kAAAAAAAAAAAAAAAAAEAAAAZHJzL1BLAwQUAAAACACHTuJAQM/mBNQAAAAH&#10;AQAADwAAAGRycy9kb3ducmV2LnhtbE2Oy07DMBBF90j8gzVI7KjdVukjxKkQAjaVkCiBtRMPSYQ9&#10;jmI3LX/PdAXL+9C9p9idvRMTjrEPpGE+UyCQmmB7ajVU7893GxAxGbLGBUINPxhhV15fFSa34URv&#10;OB1SK3iEYm40dCkNuZSx6dCbOAsDEmdfYfQmsRxbaUdz4nHv5EKplfSmJ37ozICPHTbfh6PX8PC5&#10;f1q+TrUPzm7b6sP6Sr0stL69mat7EAnP6a8MF3xGh5KZ6nAkG4VjveSihizbguB4s15nIGo2Vgpk&#10;Wcj//OUvUEsDBBQAAAAIAIdO4kDhc2Ty/AEAAPEDAAAOAAAAZHJzL2Uyb0RvYy54bWytU0uOEzEQ&#10;3SNxB8t70j0JyQytdGYxYdggiMRn7/iTtuSfXE46uQQXQGIHK5az5zYMx6DsDgGGTRb0wipXPT/X&#10;e12eX++tITsZQXvX0otRTYl03AvtNi199/b2yRUlkJgTzHgnW3qQQK8Xjx/N+9DIse+8ETISJHHQ&#10;9KGlXUqhqSrgnbQMRj5Ih0Xlo2UJt3FTich6ZLemGtf1rOp9FCF6LgEwuxyK9MgYzyH0Smkul55v&#10;rXRpYI3SsISSoNMB6KJ0q5Tk6bVSIBMxLUWlqax4CcbrvFaLOWs2kYVO82ML7JwWHmiyTDu89ES1&#10;ZImRbdT/UFnNowev0oh7Ww1CiiOo4qJ+4M2bjgVZtKDVEE6mw/+j5a92q0i0wEmox5eUOGbxn99/&#10;vPv+4fOPb59wvf/6hTzNPvUBGoTfuFU87iCsYha9V9ESZXR4jzTFBhRG9sXlw8lluU+EY3I6nU2u&#10;LvEHcKzNJpPMXQ0kmSxESC+ktyQHLTXaZQtYw3YvIQ3QX5CcNo70LX02HU+RkOE8KpwDDG1ATeA2&#10;5Sx4o8WtNiafgLhZ35hIdizPRPmOLfwFy5csGXQDrpQyjDXRb50oUSeZeO4ESYeApjl8LjQ3Y6Wg&#10;xEh8XTkqyMS0OQeJPhiHdmSvB3dztPbiUEwveZyEYthxavOo/bkvp3+/1MV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M/mBNQAAAAHAQAADwAAAAAAAAABACAAAAAiAAAAZHJzL2Rvd25yZXYueG1s&#10;UEsBAhQAFAAAAAgAh07iQOFzZPL8AQAA8QMAAA4AAAAAAAAAAQAgAAAAIwEAAGRycy9lMm9Eb2Mu&#10;eG1sUEsFBgAAAAAGAAYAWQEAAJEFAAAAAA==&#10;">
                <v:fill on="f" focussize="0,0"/>
                <v:stroke color="#000000" joinstyle="round"/>
                <v:imagedata o:title=""/>
                <o:lock v:ext="edit" aspectratio="f"/>
              </v:line>
            </w:pict>
          </mc:Fallback>
        </mc:AlternateContent>
      </w:r>
      <w:r>
        <w:rPr>
          <w:rFonts w:ascii="仿宋_GB2312" w:eastAsia="仿宋_GB2312"/>
          <w:spacing w:val="-20"/>
          <w:w w:val="90"/>
          <w:sz w:val="28"/>
          <w:szCs w:val="28"/>
        </w:rPr>
        <mc:AlternateContent>
          <mc:Choice Requires="wps">
            <w:drawing>
              <wp:anchor distT="0" distB="0" distL="0" distR="0" simplePos="0" relativeHeight="251660288" behindDoc="0" locked="0" layoutInCell="1" allowOverlap="1">
                <wp:simplePos x="0" y="0"/>
                <wp:positionH relativeFrom="column">
                  <wp:posOffset>0</wp:posOffset>
                </wp:positionH>
                <wp:positionV relativeFrom="paragraph">
                  <wp:posOffset>77470</wp:posOffset>
                </wp:positionV>
                <wp:extent cx="5533390" cy="4445"/>
                <wp:effectExtent l="0" t="0" r="0" b="0"/>
                <wp:wrapNone/>
                <wp:docPr id="1028" name="直接连接符 5"/>
                <wp:cNvGraphicFramePr/>
                <a:graphic xmlns:a="http://schemas.openxmlformats.org/drawingml/2006/main">
                  <a:graphicData uri="http://schemas.microsoft.com/office/word/2010/wordprocessingShape">
                    <wps:wsp>
                      <wps:cNvCnPr/>
                      <wps:spPr>
                        <a:xfrm>
                          <a:off x="0" y="0"/>
                          <a:ext cx="5533390" cy="4443"/>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5" o:spid="_x0000_s1026" o:spt="20" style="position:absolute;left:0pt;margin-left:0pt;margin-top:6.1pt;height:0.35pt;width:435.7pt;z-index:251660288;mso-width-relative:page;mso-height-relative:page;" filled="f" stroked="t" coordsize="21600,21600" o:gfxdata="UEsDBAoAAAAAAIdO4kAAAAAAAAAAAAAAAAAEAAAAZHJzL1BLAwQUAAAACACHTuJAzLUZqdQAAAAG&#10;AQAADwAAAGRycy9kb3ducmV2LnhtbE2PzU7DMBCE70i8g7VIXCpqJyAoIU4PQG5cKCCu23hJIuJ1&#10;Grs/8PRsT+U4M6uZb8vlwQ9qR1PsA1vI5gYUcRNcz62F97f6agEqJmSHQ2Cy8EMRltX5WYmFC3t+&#10;pd0qtUpKOBZooUtpLLSOTUce4zyMxJJ9hcljEjm12k24l3I/6NyYW+2xZ1nocKTHjprv1dZbiPUH&#10;berfWTMzn9dtoHzz9PKM1l5eZOYBVKJDOh3DEV/QoRKmddiyi2qwII8kcfMclKSLu+wG1Ppo3IOu&#10;Sv0fv/oDUEsDBBQAAAAIAIdO4kAJN17z9QEAAOgDAAAOAAAAZHJzL2Uyb0RvYy54bWytU0uOEzEQ&#10;3SNxB8t70pl8ENNKZxYThg2CkYADVGx32pJ/cjnp5BJcAIkdrFiy5zYzHIOyO2Rg2GRBL9zl+jzX&#10;ey4vrvbWsJ2KqL1r+MVozJlywkvtNg3/8P7m2QvOMIGTYLxTDT8o5FfLp08WfajVxHfeSBUZgTis&#10;+9DwLqVQVxWKTlnAkQ/KUbD10UKibdxUMkJP6NZUk/H4edX7KEP0QiGSdzUE+RExngPo21YLtfJi&#10;a5VLA2pUBhJRwk4H5MvSbdsqkd62LarETMOJaSorHUL2Oq/VcgH1JkLotDi2AOe08IiTBe3o0BPU&#10;ChKwbdT/QFktokffppHwthqIFEWIxcX4kTbvOgiqcCGpMZxEx/8HK97sbiPTkiZhPKGbd2Dpzu8/&#10;fb/7+OXnj8+03n/7yuZZpz5gTenX7jYedxhuYya9b6PNf6LD9kXbw0lbtU9MkHM+n06nlyS7oNhs&#10;NptmyOqhNkRMr5S3LBsNN9pl5lDD7jWmIfV3SnYbx/qGX84nc0IEGsOWrp9MG4gKuk2pRW+0vNHG&#10;5AqMm/W1iWwHeRTKd2zhr7R8yAqwG/JKKKdBHf3WyWJ1CuRLJ1k6BNLK0SvhuRmrJGdG0aPKVslM&#10;oM05maSDcSRHlngQNVtrLw9F6+KnASiCHYc1T9if+1L98ECX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MtRmp1AAAAAYBAAAPAAAAAAAAAAEAIAAAACIAAABkcnMvZG93bnJldi54bWxQSwECFAAU&#10;AAAACACHTuJACTde8/UBAADoAwAADgAAAAAAAAABACAAAAAjAQAAZHJzL2Uyb0RvYy54bWxQSwUG&#10;AAAAAAYABgBZAQAAigUAAAAA&#10;">
                <v:fill on="f" focussize="0,0"/>
                <v:stroke color="#000000" joinstyle="round"/>
                <v:imagedata o:title=""/>
                <o:lock v:ext="edit" aspectratio="f"/>
              </v:line>
            </w:pict>
          </mc:Fallback>
        </mc:AlternateContent>
      </w:r>
      <w:r>
        <w:rPr>
          <w:rFonts w:hint="eastAsia" w:ascii="仿宋_GB2312" w:eastAsia="仿宋_GB2312"/>
          <w:spacing w:val="-20"/>
          <w:w w:val="90"/>
          <w:sz w:val="28"/>
          <w:szCs w:val="28"/>
          <w:lang w:val="en-US" w:eastAsia="zh-CN"/>
        </w:rPr>
        <w:t>鄂尔多斯市</w:t>
      </w:r>
      <w:r>
        <w:rPr>
          <w:rFonts w:hint="eastAsia" w:ascii="仿宋_GB2312" w:eastAsia="仿宋_GB2312"/>
          <w:spacing w:val="-20"/>
          <w:w w:val="90"/>
          <w:sz w:val="28"/>
          <w:szCs w:val="28"/>
        </w:rPr>
        <w:t>东胜区</w:t>
      </w:r>
      <w:r>
        <w:rPr>
          <w:rFonts w:hint="eastAsia" w:ascii="仿宋_GB2312" w:eastAsia="仿宋_GB2312"/>
          <w:spacing w:val="-20"/>
          <w:w w:val="90"/>
          <w:sz w:val="28"/>
          <w:szCs w:val="28"/>
          <w:lang w:val="en-US" w:eastAsia="zh-CN"/>
        </w:rPr>
        <w:t>财政局</w:t>
      </w:r>
      <w:r>
        <w:rPr>
          <w:rFonts w:hint="eastAsia" w:ascii="仿宋_GB2312" w:eastAsia="仿宋_GB2312"/>
          <w:spacing w:val="0"/>
          <w:w w:val="90"/>
          <w:sz w:val="28"/>
          <w:szCs w:val="28"/>
          <w:lang w:val="en-US" w:eastAsia="zh-CN"/>
        </w:rPr>
        <w:t xml:space="preserve"> </w:t>
      </w:r>
      <w:r>
        <w:rPr>
          <w:rFonts w:hint="eastAsia" w:ascii="仿宋_GB2312" w:hAnsi="仿宋_GB2312" w:eastAsia="仿宋_GB2312" w:cs="仿宋_GB2312"/>
          <w:i w:val="0"/>
          <w:iCs w:val="0"/>
          <w:caps w:val="0"/>
          <w:color w:val="auto"/>
          <w:spacing w:val="-20"/>
          <w:w w:val="90"/>
          <w:sz w:val="28"/>
          <w:szCs w:val="28"/>
          <w:shd w:val="clear" w:color="auto" w:fill="FFFFFF"/>
          <w:lang w:val="en-US" w:eastAsia="zh-CN"/>
        </w:rPr>
        <w:t>鄂尔多斯市东胜区市场监督管理局</w:t>
      </w:r>
      <w:r>
        <w:rPr>
          <w:rFonts w:hint="eastAsia" w:ascii="仿宋_GB2312" w:hAnsi="仿宋_GB2312" w:eastAsia="仿宋_GB2312" w:cs="仿宋_GB2312"/>
          <w:i w:val="0"/>
          <w:iCs w:val="0"/>
          <w:caps w:val="0"/>
          <w:color w:val="auto"/>
          <w:spacing w:val="0"/>
          <w:w w:val="90"/>
          <w:sz w:val="28"/>
          <w:szCs w:val="28"/>
          <w:shd w:val="clear" w:color="auto" w:fill="FFFFFF"/>
          <w:lang w:val="en-US" w:eastAsia="zh-CN"/>
        </w:rPr>
        <w:t xml:space="preserve"> </w:t>
      </w:r>
      <w:r>
        <w:rPr>
          <w:rFonts w:hint="eastAsia" w:ascii="仿宋_GB2312" w:hAnsi="仿宋_GB2312" w:eastAsia="仿宋_GB2312" w:cs="仿宋_GB2312"/>
          <w:i w:val="0"/>
          <w:iCs w:val="0"/>
          <w:caps w:val="0"/>
          <w:color w:val="auto"/>
          <w:spacing w:val="-23"/>
          <w:w w:val="100"/>
          <w:sz w:val="28"/>
          <w:szCs w:val="28"/>
          <w:shd w:val="clear" w:color="auto" w:fill="FFFFFF"/>
          <w:lang w:val="en-US" w:eastAsia="zh-CN"/>
        </w:rPr>
        <w:t xml:space="preserve">   </w:t>
      </w:r>
      <w:r>
        <w:rPr>
          <w:rFonts w:hint="eastAsia" w:ascii="仿宋_GB2312" w:eastAsia="仿宋_GB2312"/>
          <w:spacing w:val="-20"/>
          <w:w w:val="100"/>
          <w:sz w:val="28"/>
          <w:szCs w:val="28"/>
        </w:rPr>
        <w:t>20</w:t>
      </w:r>
      <w:r>
        <w:rPr>
          <w:rFonts w:hint="eastAsia" w:ascii="仿宋_GB2312" w:eastAsia="仿宋_GB2312"/>
          <w:spacing w:val="-20"/>
          <w:w w:val="100"/>
          <w:sz w:val="28"/>
          <w:szCs w:val="28"/>
          <w:lang w:val="en-US" w:eastAsia="zh-CN"/>
        </w:rPr>
        <w:t>26</w:t>
      </w:r>
      <w:r>
        <w:rPr>
          <w:rFonts w:hint="eastAsia" w:ascii="仿宋_GB2312" w:eastAsia="仿宋_GB2312"/>
          <w:spacing w:val="-20"/>
          <w:w w:val="100"/>
          <w:sz w:val="28"/>
          <w:szCs w:val="28"/>
        </w:rPr>
        <w:t>年</w:t>
      </w:r>
      <w:r>
        <w:rPr>
          <w:rFonts w:hint="eastAsia" w:ascii="仿宋_GB2312" w:eastAsia="仿宋_GB2312"/>
          <w:spacing w:val="-20"/>
          <w:w w:val="100"/>
          <w:sz w:val="28"/>
          <w:szCs w:val="28"/>
          <w:lang w:val="en-US" w:eastAsia="zh-CN"/>
        </w:rPr>
        <w:t>9</w:t>
      </w:r>
      <w:r>
        <w:rPr>
          <w:rFonts w:hint="eastAsia" w:ascii="仿宋_GB2312" w:eastAsia="仿宋_GB2312"/>
          <w:spacing w:val="-20"/>
          <w:w w:val="100"/>
          <w:sz w:val="28"/>
          <w:szCs w:val="28"/>
        </w:rPr>
        <w:t>月</w:t>
      </w:r>
      <w:r>
        <w:rPr>
          <w:rFonts w:hint="eastAsia" w:ascii="仿宋_GB2312" w:eastAsia="仿宋_GB2312"/>
          <w:spacing w:val="-20"/>
          <w:w w:val="100"/>
          <w:sz w:val="28"/>
          <w:szCs w:val="28"/>
          <w:lang w:val="en-US" w:eastAsia="zh-CN"/>
        </w:rPr>
        <w:t>7</w:t>
      </w:r>
      <w:r>
        <w:rPr>
          <w:rFonts w:hint="eastAsia" w:ascii="仿宋_GB2312" w:eastAsia="仿宋_GB2312"/>
          <w:spacing w:val="-20"/>
          <w:w w:val="100"/>
          <w:sz w:val="28"/>
          <w:szCs w:val="28"/>
        </w:rPr>
        <w:t>日印</w:t>
      </w:r>
      <w:r>
        <w:rPr>
          <w:rFonts w:hint="eastAsia" w:ascii="仿宋_GB2312" w:eastAsia="仿宋_GB2312"/>
          <w:spacing w:val="-20"/>
          <w:w w:val="100"/>
          <w:sz w:val="28"/>
          <w:szCs w:val="28"/>
          <w:lang w:val="en-US" w:eastAsia="zh-CN"/>
        </w:rPr>
        <w:t>发</w:t>
      </w:r>
    </w:p>
    <w:sectPr>
      <w:footerReference r:id="rId5" w:type="default"/>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ATELR+·½ÕýÐ¡±êËÎ¼òÌå">
    <w:altName w:val="FFont-Family"/>
    <w:panose1 w:val="00000000000000000000"/>
    <w:charset w:val="01"/>
    <w:family w:val="auto"/>
    <w:pitch w:val="default"/>
    <w:sig w:usb0="00000000" w:usb1="00000000" w:usb2="00000012" w:usb3="00000000" w:csb0="4002009F" w:csb1="DFD70000"/>
  </w:font>
  <w:font w:name="C059">
    <w:altName w:val="FFont-Family"/>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D8DB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D0BE0E">
                          <w:pPr>
                            <w:pStyle w:val="8"/>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D0BE0E">
                    <w:pPr>
                      <w:pStyle w:val="8"/>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1D0BB0"/>
    <w:multiLevelType w:val="singleLevel"/>
    <w:tmpl w:val="B61D0BB0"/>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hZTExNGRiZmYwNmQzNmQ0NDExZGIyZmVhNjg5ZDQifQ=="/>
  </w:docVars>
  <w:rsids>
    <w:rsidRoot w:val="00000000"/>
    <w:rsid w:val="067D6529"/>
    <w:rsid w:val="0D441DC9"/>
    <w:rsid w:val="13F60334"/>
    <w:rsid w:val="211C497C"/>
    <w:rsid w:val="26604E2D"/>
    <w:rsid w:val="27CB4CF3"/>
    <w:rsid w:val="29A57397"/>
    <w:rsid w:val="2E0F68E2"/>
    <w:rsid w:val="2F1B757A"/>
    <w:rsid w:val="310A4558"/>
    <w:rsid w:val="3A337140"/>
    <w:rsid w:val="43E21038"/>
    <w:rsid w:val="44A24F21"/>
    <w:rsid w:val="468F7BD7"/>
    <w:rsid w:val="47B31D83"/>
    <w:rsid w:val="4C904707"/>
    <w:rsid w:val="4E2B2478"/>
    <w:rsid w:val="52CD1D7A"/>
    <w:rsid w:val="54E03493"/>
    <w:rsid w:val="58456483"/>
    <w:rsid w:val="5E793576"/>
    <w:rsid w:val="64C6630C"/>
    <w:rsid w:val="6D384B5C"/>
    <w:rsid w:val="739263A6"/>
    <w:rsid w:val="75BC786F"/>
    <w:rsid w:val="77C044AC"/>
    <w:rsid w:val="7CB757E0"/>
    <w:rsid w:val="7D7B11E9"/>
    <w:rsid w:val="DAEF654E"/>
    <w:rsid w:val="E71ECE37"/>
    <w:rsid w:val="ED711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1"/>
    <w:basedOn w:val="1"/>
    <w:next w:val="1"/>
    <w:qFormat/>
    <w:uiPriority w:val="1"/>
    <w:pPr>
      <w:jc w:val="center"/>
      <w:outlineLvl w:val="0"/>
    </w:pPr>
    <w:rPr>
      <w:rFonts w:ascii="方正小标宋简体" w:hAnsi="方正小标宋简体" w:eastAsia="方正小标宋简体" w:cs="方正小标宋简体"/>
      <w:sz w:val="44"/>
      <w:szCs w:val="44"/>
    </w:rPr>
  </w:style>
  <w:style w:type="paragraph" w:styleId="5">
    <w:name w:val="heading 2"/>
    <w:basedOn w:val="1"/>
    <w:next w:val="6"/>
    <w:qFormat/>
    <w:uiPriority w:val="1"/>
    <w:pPr>
      <w:ind w:left="480"/>
      <w:outlineLvl w:val="2"/>
    </w:pPr>
    <w:rPr>
      <w:rFonts w:ascii="方正小标宋简体" w:hAnsi="方正小标宋简体" w:eastAsia="方正小标宋简体" w:cs="方正小标宋简体"/>
      <w:sz w:val="39"/>
      <w:szCs w:val="39"/>
      <w:lang w:val="zh-CN" w:eastAsia="zh-CN" w:bidi="zh-CN"/>
    </w:rPr>
  </w:style>
  <w:style w:type="paragraph" w:styleId="7">
    <w:name w:val="heading 4"/>
    <w:basedOn w:val="1"/>
    <w:next w:val="1"/>
    <w:qFormat/>
    <w:uiPriority w:val="1"/>
    <w:pPr>
      <w:ind w:left="0"/>
      <w:outlineLvl w:val="3"/>
    </w:pPr>
    <w:rPr>
      <w:rFonts w:ascii="微软雅黑" w:hAnsi="微软雅黑" w:eastAsia="楷体_GB2312" w:cs="微软雅黑"/>
      <w:bCs/>
      <w:szCs w:val="32"/>
    </w:rPr>
  </w:style>
  <w:style w:type="character" w:default="1" w:styleId="13">
    <w:name w:val="Default Paragraph Font"/>
    <w:qFormat/>
    <w:uiPriority w:val="0"/>
  </w:style>
  <w:style w:type="table" w:default="1" w:styleId="12">
    <w:name w:val="Normal Table"/>
    <w:qFormat/>
    <w:uiPriority w:val="0"/>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style>
  <w:style w:type="paragraph" w:styleId="3">
    <w:name w:val="Body Text"/>
    <w:basedOn w:val="1"/>
    <w:qFormat/>
    <w:uiPriority w:val="1"/>
    <w:rPr>
      <w:rFonts w:ascii="宋体" w:hAnsi="宋体" w:eastAsia="宋体" w:cs="宋体"/>
      <w:sz w:val="29"/>
      <w:szCs w:val="29"/>
      <w:lang w:val="zh-CN" w:eastAsia="zh-CN" w:bidi="zh-CN"/>
    </w:rPr>
  </w:style>
  <w:style w:type="paragraph" w:styleId="6">
    <w:name w:val="Normal Indent"/>
    <w:basedOn w:val="1"/>
    <w:qFormat/>
    <w:uiPriority w:val="0"/>
    <w:pPr>
      <w:ind w:firstLine="42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2"/>
    <w:basedOn w:val="1"/>
    <w:next w:val="1"/>
    <w:qFormat/>
    <w:uiPriority w:val="99"/>
    <w:pPr>
      <w:ind w:left="420" w:leftChars="200"/>
    </w:pPr>
  </w:style>
  <w:style w:type="paragraph" w:styleId="11">
    <w:name w:val="Normal (Web)"/>
    <w:basedOn w:val="1"/>
    <w:qFormat/>
    <w:uiPriority w:val="0"/>
    <w:pPr>
      <w:spacing w:before="100" w:beforeAutospacing="1" w:after="10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1402</Words>
  <Characters>1457</Characters>
  <Paragraphs>42</Paragraphs>
  <TotalTime>5720</TotalTime>
  <ScaleCrop>false</ScaleCrop>
  <LinksUpToDate>false</LinksUpToDate>
  <CharactersWithSpaces>1594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2023-08-19T23:53:00Z</dcterms:created>
  <dc:creator>Administrator</dc:creator>
  <cp:lastModifiedBy>杨舜轲</cp:lastModifiedBy>
  <cp:lastPrinted>2026-09-08T02:21:24Z</cp:lastPrinted>
  <dcterms:modified xsi:type="dcterms:W3CDTF">2026-09-08T02:29:32Z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F636DDC285B14ECCB5A0C3EBC255C06B_13</vt:lpwstr>
  </property>
  <property fmtid="{D5CDD505-2E9C-101B-9397-08002B2CF9AE}" pid="4" name="KSOTemplateDocerSaveRecord">
    <vt:lpwstr>eyJoZGlkIjoiYWZhZjVmYzdmNmUyNTVkN2E4ODRiMjczZTQ2N2YxYWIiLCJ1c2VySWQiOiI2NDQ0NTY0NTIifQ==</vt:lpwstr>
  </property>
</Properties>
</file>