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pStyle w:val="2"/>
        <w:spacing w:line="578" w:lineRule="atLeast"/>
        <w:jc w:val="center"/>
        <w:rPr>
          <w:rFonts w:hint="eastAsia" w:ascii="方正小标宋_GBK" w:hAnsi="方正小标宋_GBK" w:eastAsia="方正小标宋_GBK" w:cs="方正小标宋_GBK"/>
          <w:b w:val="0"/>
          <w:bCs w:val="0"/>
          <w:lang w:eastAsia="zh-CN"/>
        </w:rPr>
      </w:pPr>
      <w:r>
        <w:rPr>
          <w:rFonts w:hint="eastAsia" w:ascii="方正小标宋_GBK" w:hAnsi="方正小标宋_GBK" w:eastAsia="方正小标宋_GBK" w:cs="方正小标宋_GBK"/>
          <w:b w:val="0"/>
          <w:bCs w:val="0"/>
          <w:lang w:eastAsia="zh-CN"/>
        </w:rPr>
        <w:t>鄂尔多斯市工业园区“十四五”发展规划</w:t>
      </w:r>
    </w:p>
    <w:p>
      <w:pPr>
        <w:spacing w:line="560" w:lineRule="exact"/>
        <w:ind w:firstLine="640" w:firstLineChars="200"/>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工业园区是工业经济发展的</w:t>
      </w:r>
      <w:r>
        <w:rPr>
          <w:rFonts w:hint="eastAsia" w:ascii="仿宋_GB2312" w:hAnsi="仿宋_GB2312" w:eastAsia="仿宋_GB2312" w:cs="仿宋_GB2312"/>
          <w:sz w:val="32"/>
          <w:szCs w:val="28"/>
          <w:lang w:eastAsia="zh-CN"/>
        </w:rPr>
        <w:t>“</w:t>
      </w:r>
      <w:r>
        <w:rPr>
          <w:rFonts w:hint="eastAsia" w:ascii="仿宋_GB2312" w:hAnsi="仿宋_GB2312" w:eastAsia="仿宋_GB2312" w:cs="仿宋_GB2312"/>
          <w:sz w:val="32"/>
          <w:szCs w:val="28"/>
        </w:rPr>
        <w:t>顶梁柱</w:t>
      </w:r>
      <w:r>
        <w:rPr>
          <w:rFonts w:hint="eastAsia" w:ascii="仿宋_GB2312" w:hAnsi="仿宋_GB2312" w:eastAsia="仿宋_GB2312" w:cs="仿宋_GB2312"/>
          <w:sz w:val="32"/>
          <w:szCs w:val="28"/>
          <w:lang w:eastAsia="zh-CN"/>
        </w:rPr>
        <w:t>”</w:t>
      </w:r>
      <w:r>
        <w:rPr>
          <w:rFonts w:hint="eastAsia" w:ascii="仿宋_GB2312" w:hAnsi="仿宋_GB2312" w:eastAsia="仿宋_GB2312" w:cs="仿宋_GB2312"/>
          <w:sz w:val="32"/>
          <w:szCs w:val="28"/>
        </w:rPr>
        <w:t>，鄂尔多斯市工业经济要实现</w:t>
      </w:r>
      <w:r>
        <w:rPr>
          <w:rFonts w:hint="eastAsia" w:ascii="仿宋_GB2312" w:hAnsi="仿宋_GB2312" w:eastAsia="仿宋_GB2312" w:cs="仿宋_GB2312"/>
          <w:sz w:val="32"/>
          <w:szCs w:val="28"/>
          <w:lang w:eastAsia="zh-CN"/>
        </w:rPr>
        <w:t>“</w:t>
      </w:r>
      <w:r>
        <w:rPr>
          <w:rFonts w:hint="eastAsia" w:ascii="仿宋_GB2312" w:hAnsi="仿宋_GB2312" w:eastAsia="仿宋_GB2312" w:cs="仿宋_GB2312"/>
          <w:sz w:val="32"/>
          <w:szCs w:val="28"/>
        </w:rPr>
        <w:t>学苏州、超榆林</w:t>
      </w:r>
      <w:r>
        <w:rPr>
          <w:rFonts w:hint="eastAsia" w:ascii="仿宋_GB2312" w:hAnsi="仿宋_GB2312" w:eastAsia="仿宋_GB2312" w:cs="仿宋_GB2312"/>
          <w:sz w:val="32"/>
          <w:szCs w:val="28"/>
          <w:lang w:eastAsia="zh-CN"/>
        </w:rPr>
        <w:t>”</w:t>
      </w:r>
      <w:r>
        <w:rPr>
          <w:rFonts w:hint="eastAsia" w:ascii="仿宋_GB2312" w:hAnsi="仿宋_GB2312" w:eastAsia="仿宋_GB2312" w:cs="仿宋_GB2312"/>
          <w:sz w:val="32"/>
          <w:szCs w:val="28"/>
        </w:rPr>
        <w:t>，工业园区必须奋勇争先。</w:t>
      </w:r>
      <w:r>
        <w:rPr>
          <w:rFonts w:hint="eastAsia" w:ascii="仿宋_GB2312" w:hAnsi="仿宋_GB2312" w:eastAsia="仿宋_GB2312" w:cs="仿宋_GB2312"/>
          <w:sz w:val="32"/>
          <w:szCs w:val="28"/>
          <w:lang w:eastAsia="zh-CN"/>
        </w:rPr>
        <w:t>“</w:t>
      </w:r>
      <w:r>
        <w:rPr>
          <w:rFonts w:hint="eastAsia" w:ascii="仿宋_GB2312" w:hAnsi="仿宋_GB2312" w:eastAsia="仿宋_GB2312" w:cs="仿宋_GB2312"/>
          <w:sz w:val="32"/>
          <w:szCs w:val="28"/>
        </w:rPr>
        <w:t>十三五</w:t>
      </w:r>
      <w:r>
        <w:rPr>
          <w:rFonts w:hint="eastAsia" w:ascii="仿宋_GB2312" w:hAnsi="仿宋_GB2312" w:eastAsia="仿宋_GB2312" w:cs="仿宋_GB2312"/>
          <w:sz w:val="32"/>
          <w:szCs w:val="28"/>
          <w:lang w:eastAsia="zh-CN"/>
        </w:rPr>
        <w:t>”</w:t>
      </w:r>
      <w:r>
        <w:rPr>
          <w:rFonts w:hint="eastAsia" w:ascii="仿宋_GB2312" w:hAnsi="仿宋_GB2312" w:eastAsia="仿宋_GB2312" w:cs="仿宋_GB2312"/>
          <w:sz w:val="32"/>
          <w:szCs w:val="28"/>
        </w:rPr>
        <w:t>以来，鄂尔多斯市致力于做大园区产业规模、增强核心竞争力，推动生产要素、政策资源、政府服务向园区集聚倾斜，全市工业园区承载力和吸引力不断增强。为统筹园区产业高端化、智能化、绿色化发展，加快形成推进鄂尔多斯高质量、创新、绿色、开放发展的载体平台，进一步改善全市工业园区发展中产业聚集度不高、主导产业不突出、产业布局不合理等问题，特编制本规划，以指导鄂尔多斯市“十四五”工业园区发展。</w:t>
      </w:r>
    </w:p>
    <w:p>
      <w:pPr>
        <w:spacing w:line="560" w:lineRule="exact"/>
        <w:ind w:firstLine="640" w:firstLineChars="200"/>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本规划依据《内蒙古自治区国民经济和社会发展第十四个五年规划和2035年远景目标纲要》《内蒙古自治区人民政府关于促进工业园区高质量发展的若干意见》《内蒙古自治区工业园区优化调整实施方案》《鄂尔多斯市国民经济和社会发展第十四个五年规划和2035年远景目标纲要》及鄂尔多斯市相关“十四五”专项规划等政策文件。</w:t>
      </w:r>
    </w:p>
    <w:p>
      <w:pPr>
        <w:spacing w:line="560" w:lineRule="exact"/>
        <w:ind w:firstLine="640" w:firstLineChars="200"/>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本规划期限为2021</w:t>
      </w:r>
      <w:r>
        <w:rPr>
          <w:rFonts w:hint="eastAsia" w:ascii="仿宋_GB2312" w:hAnsi="仿宋_GB2312" w:eastAsia="仿宋_GB2312" w:cs="仿宋_GB2312"/>
          <w:sz w:val="32"/>
          <w:szCs w:val="28"/>
          <w:lang w:eastAsia="zh-CN"/>
        </w:rPr>
        <w:t>—</w:t>
      </w:r>
      <w:r>
        <w:rPr>
          <w:rFonts w:hint="eastAsia" w:ascii="仿宋_GB2312" w:hAnsi="仿宋_GB2312" w:eastAsia="仿宋_GB2312" w:cs="仿宋_GB2312"/>
          <w:sz w:val="32"/>
          <w:szCs w:val="28"/>
        </w:rPr>
        <w:t>2025年。</w:t>
      </w:r>
    </w:p>
    <w:p>
      <w:pPr>
        <w:spacing w:line="560" w:lineRule="exact"/>
        <w:ind w:firstLine="640" w:firstLineChars="200"/>
        <w:rPr>
          <w:rFonts w:hint="eastAsia" w:ascii="仿宋_GB2312" w:hAnsi="仿宋_GB2312" w:eastAsia="仿宋_GB2312" w:cs="仿宋_GB2312"/>
          <w:sz w:val="32"/>
          <w:szCs w:val="28"/>
        </w:rPr>
        <w:sectPr>
          <w:footerReference r:id="rId4" w:type="default"/>
          <w:pgSz w:w="11906" w:h="16838"/>
          <w:pgMar w:top="2098" w:right="1474" w:bottom="1984" w:left="1587" w:header="851" w:footer="992" w:gutter="0"/>
          <w:pgBorders>
            <w:top w:val="none" w:sz="0" w:space="0"/>
            <w:left w:val="none" w:sz="0" w:space="0"/>
            <w:bottom w:val="none" w:sz="0" w:space="0"/>
            <w:right w:val="none" w:sz="0" w:space="0"/>
          </w:pgBorders>
          <w:pgNumType w:start="1"/>
          <w:cols w:space="425" w:num="1"/>
          <w:docGrid w:type="lines" w:linePitch="312" w:charSpace="0"/>
        </w:sectPr>
      </w:pPr>
    </w:p>
    <w:p>
      <w:pPr>
        <w:pStyle w:val="2"/>
        <w:spacing w:line="578" w:lineRule="atLeast"/>
        <w:ind w:left="1766" w:hanging="1766"/>
        <w:jc w:val="center"/>
        <w:rPr>
          <w:rFonts w:ascii="Times New Roman" w:hAnsi="Times New Roman" w:eastAsia="黑体" w:cs="Times New Roman"/>
          <w:b w:val="0"/>
          <w:bCs w:val="0"/>
          <w:sz w:val="32"/>
          <w:szCs w:val="32"/>
        </w:rPr>
      </w:pPr>
      <w:bookmarkStart w:id="0" w:name="_Toc5837"/>
      <w:r>
        <w:rPr>
          <w:rFonts w:ascii="Times New Roman" w:hAnsi="Times New Roman" w:eastAsia="黑体" w:cs="Times New Roman"/>
          <w:b w:val="0"/>
          <w:bCs w:val="0"/>
          <w:sz w:val="32"/>
          <w:szCs w:val="32"/>
        </w:rPr>
        <w:t>第一章 发展环境</w:t>
      </w:r>
      <w:bookmarkEnd w:id="0"/>
    </w:p>
    <w:p>
      <w:pPr>
        <w:pStyle w:val="3"/>
        <w:spacing w:before="312" w:beforeLines="100" w:after="312" w:afterLines="100"/>
        <w:rPr>
          <w:rFonts w:ascii="Times New Roman" w:hAnsi="Times New Roman" w:eastAsia="楷体_GB2312"/>
          <w:b w:val="0"/>
          <w:bCs w:val="0"/>
          <w:sz w:val="32"/>
          <w:szCs w:val="32"/>
        </w:rPr>
      </w:pPr>
      <w:bookmarkStart w:id="1" w:name="_Toc10400"/>
      <w:r>
        <w:rPr>
          <w:rFonts w:ascii="Times New Roman" w:hAnsi="Times New Roman" w:eastAsia="楷体_GB2312"/>
          <w:b w:val="0"/>
          <w:bCs w:val="0"/>
          <w:sz w:val="32"/>
          <w:szCs w:val="32"/>
        </w:rPr>
        <w:t>第一节 发展成效</w:t>
      </w:r>
      <w:bookmarkEnd w:id="1"/>
    </w:p>
    <w:p>
      <w:pPr>
        <w:pStyle w:val="4"/>
        <w:spacing w:before="0" w:after="0" w:line="360" w:lineRule="auto"/>
        <w:ind w:firstLine="640" w:firstLineChars="200"/>
        <w:rPr>
          <w:rStyle w:val="47"/>
          <w:b w:val="0"/>
          <w:bCs w:val="0"/>
          <w:color w:val="auto"/>
        </w:rPr>
      </w:pPr>
      <w:r>
        <w:rPr>
          <w:rStyle w:val="47"/>
          <w:b w:val="0"/>
          <w:bCs w:val="0"/>
          <w:color w:val="auto"/>
        </w:rPr>
        <w:t>一、园区发展格局基本形成</w:t>
      </w:r>
    </w:p>
    <w:p>
      <w:pPr>
        <w:spacing w:line="560" w:lineRule="exact"/>
        <w:ind w:firstLine="640" w:firstLineChars="200"/>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鄂尔多斯市独立运行的工业园区（开发区）15家</w:t>
      </w:r>
      <w:r>
        <w:rPr>
          <w:rStyle w:val="28"/>
          <w:rFonts w:hint="eastAsia" w:ascii="仿宋_GB2312" w:hAnsi="仿宋_GB2312" w:eastAsia="仿宋_GB2312" w:cs="仿宋_GB2312"/>
          <w:sz w:val="32"/>
          <w:szCs w:val="28"/>
        </w:rPr>
        <w:footnoteReference w:id="0"/>
      </w:r>
      <w:r>
        <w:rPr>
          <w:rFonts w:hint="eastAsia" w:ascii="仿宋_GB2312" w:hAnsi="仿宋_GB2312" w:eastAsia="仿宋_GB2312" w:cs="仿宋_GB2312"/>
          <w:sz w:val="32"/>
          <w:szCs w:val="28"/>
        </w:rPr>
        <w:t>，其中鄂尔多斯高新技术产业开发区、达拉特经济开发区、准格尔经济开发区、大路工业园区、鄂托克经济开发区、上海庙经济开发区、苏里格经济开发区、独贵塔拉工业园区、蒙苏经济开发区等9个园区纳入《中国开发区审核公告目录》（2018年版）。从园区分布看，东胜区3个，达拉特旗和鄂托克前旗各1个，其</w:t>
      </w:r>
      <w:r>
        <w:rPr>
          <w:rFonts w:hint="eastAsia" w:ascii="仿宋_GB2312" w:hAnsi="仿宋_GB2312" w:eastAsia="仿宋_GB2312" w:cs="仿宋_GB2312"/>
          <w:sz w:val="32"/>
          <w:szCs w:val="28"/>
          <w:lang w:eastAsia="zh-CN"/>
        </w:rPr>
        <w:t>它</w:t>
      </w:r>
      <w:r>
        <w:rPr>
          <w:rFonts w:hint="eastAsia" w:ascii="仿宋_GB2312" w:hAnsi="仿宋_GB2312" w:eastAsia="仿宋_GB2312" w:cs="仿宋_GB2312"/>
          <w:sz w:val="32"/>
          <w:szCs w:val="28"/>
        </w:rPr>
        <w:t>旗均有2个园区；从园区级别看，鄂尔多斯高新技术产业开发区为鄂尔多斯市唯一的国家级园区（2017年获国务院批复），纳林河工业园区为市级工业园区，其余均为自治区级。</w:t>
      </w:r>
    </w:p>
    <w:p>
      <w:pPr>
        <w:spacing w:line="560" w:lineRule="exact"/>
        <w:ind w:firstLine="640" w:firstLineChars="200"/>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2020年，全市工业园区共完成固定资产投资351.31亿元，实现工业总产值2729.07亿元，实现产品销售收入2947.44亿元，企业创造利润375.59亿元，实现税收296.14亿元。2020年，多个园区工业总产值超百亿元，其中大路工业园区、鄂托克经济开发区工业总产值超过500亿元；蒙西高新技术工业园区、苏里格经济开发区、达拉特经济开发区、准格尔经济开发区、鄂尔多斯装备制造工业园区等5个工业园区工业总产值超过200亿元；独贵塔拉工业园区、上海庙经济开发区工业总产值超过100亿元。</w:t>
      </w:r>
    </w:p>
    <w:p>
      <w:pPr>
        <w:pStyle w:val="4"/>
        <w:spacing w:before="0" w:after="0" w:line="360" w:lineRule="auto"/>
        <w:ind w:firstLine="640" w:firstLineChars="200"/>
        <w:rPr>
          <w:rStyle w:val="47"/>
          <w:b w:val="0"/>
          <w:bCs w:val="0"/>
          <w:color w:val="auto"/>
        </w:rPr>
      </w:pPr>
      <w:r>
        <w:rPr>
          <w:rStyle w:val="47"/>
          <w:b w:val="0"/>
          <w:bCs w:val="0"/>
          <w:color w:val="auto"/>
        </w:rPr>
        <w:t>二、产业集聚态势初步显现</w:t>
      </w:r>
    </w:p>
    <w:p>
      <w:pPr>
        <w:spacing w:line="560" w:lineRule="exact"/>
        <w:ind w:firstLine="640" w:firstLineChars="200"/>
        <w:rPr>
          <w:rFonts w:ascii="Times New Roman" w:hAnsi="Times New Roman" w:eastAsia="仿宋_GB2312" w:cs="Times New Roman"/>
          <w:sz w:val="32"/>
          <w:szCs w:val="28"/>
        </w:rPr>
      </w:pPr>
      <w:r>
        <w:rPr>
          <w:rFonts w:ascii="Times New Roman" w:hAnsi="Times New Roman" w:eastAsia="仿宋_GB2312" w:cs="Times New Roman"/>
          <w:sz w:val="32"/>
          <w:szCs w:val="28"/>
        </w:rPr>
        <w:t>鄂尔多斯市初步形成了煤制油、煤制气、煤制烯烃、煤电铝、焦化、氯碱化工等相对成熟的优势产业链条，以及以羊绒、陶瓷等为主导的特色产业集群，以汽车制造为主的装备制造产业集群和以电子信息、新材料产业为主的战略性新兴产业集群，园区特色产业集群规模显著提升。</w:t>
      </w:r>
    </w:p>
    <w:p>
      <w:pPr>
        <w:spacing w:line="560" w:lineRule="exact"/>
        <w:jc w:val="center"/>
        <w:rPr>
          <w:rFonts w:hint="eastAsia" w:ascii="黑体" w:hAnsi="黑体" w:eastAsia="黑体" w:cs="黑体"/>
          <w:sz w:val="28"/>
          <w:szCs w:val="28"/>
        </w:rPr>
      </w:pPr>
      <w:r>
        <w:rPr>
          <w:rFonts w:hint="eastAsia" w:ascii="黑体" w:hAnsi="黑体" w:eastAsia="黑体" w:cs="黑体"/>
          <w:sz w:val="28"/>
          <w:szCs w:val="28"/>
        </w:rPr>
        <w:t>表1-1鄂尔多斯市产业集群发展情况</w:t>
      </w:r>
    </w:p>
    <w:tbl>
      <w:tblPr>
        <w:tblStyle w:val="2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7"/>
        <w:gridCol w:w="2552"/>
        <w:gridCol w:w="48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3369" w:type="dxa"/>
            <w:gridSpan w:val="2"/>
            <w:vAlign w:val="center"/>
          </w:tcPr>
          <w:p>
            <w:pPr>
              <w:adjustRightInd w:val="0"/>
              <w:snapToGrid w:val="0"/>
              <w:jc w:val="center"/>
              <w:rPr>
                <w:rFonts w:hint="eastAsia" w:ascii="黑体" w:hAnsi="黑体" w:eastAsia="黑体" w:cs="黑体"/>
                <w:b w:val="0"/>
                <w:bCs/>
                <w:sz w:val="24"/>
                <w:szCs w:val="24"/>
              </w:rPr>
            </w:pPr>
            <w:r>
              <w:rPr>
                <w:rFonts w:hint="eastAsia" w:ascii="黑体" w:hAnsi="黑体" w:eastAsia="黑体" w:cs="黑体"/>
                <w:b w:val="0"/>
                <w:bCs/>
                <w:sz w:val="24"/>
                <w:szCs w:val="24"/>
              </w:rPr>
              <w:t>产业集群</w:t>
            </w:r>
          </w:p>
        </w:tc>
        <w:tc>
          <w:tcPr>
            <w:tcW w:w="4819" w:type="dxa"/>
            <w:vAlign w:val="center"/>
          </w:tcPr>
          <w:p>
            <w:pPr>
              <w:adjustRightInd w:val="0"/>
              <w:snapToGrid w:val="0"/>
              <w:jc w:val="center"/>
              <w:rPr>
                <w:rFonts w:hint="eastAsia" w:ascii="黑体" w:hAnsi="黑体" w:eastAsia="黑体" w:cs="黑体"/>
                <w:b w:val="0"/>
                <w:bCs/>
                <w:sz w:val="24"/>
                <w:szCs w:val="24"/>
              </w:rPr>
            </w:pPr>
            <w:r>
              <w:rPr>
                <w:rFonts w:hint="eastAsia" w:ascii="黑体" w:hAnsi="黑体" w:eastAsia="黑体" w:cs="黑体"/>
                <w:b w:val="0"/>
                <w:bCs/>
                <w:sz w:val="24"/>
                <w:szCs w:val="24"/>
              </w:rPr>
              <w:t>代表园区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7" w:type="dxa"/>
            <w:vMerge w:val="restart"/>
            <w:vAlign w:val="center"/>
          </w:tcPr>
          <w:p>
            <w:pPr>
              <w:adjustRightInd w:val="0"/>
              <w:snapToGrid w:val="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优势产业</w:t>
            </w:r>
          </w:p>
        </w:tc>
        <w:tc>
          <w:tcPr>
            <w:tcW w:w="2552" w:type="dxa"/>
            <w:vAlign w:val="center"/>
          </w:tcPr>
          <w:p>
            <w:pPr>
              <w:adjustRightInd w:val="0"/>
              <w:snapToGrid w:val="0"/>
              <w:rPr>
                <w:rFonts w:ascii="Times New Roman" w:hAnsi="Times New Roman" w:eastAsia="仿宋_GB2312" w:cs="Times New Roman"/>
                <w:sz w:val="24"/>
                <w:szCs w:val="24"/>
              </w:rPr>
            </w:pPr>
            <w:r>
              <w:rPr>
                <w:rFonts w:ascii="Times New Roman" w:hAnsi="Times New Roman" w:eastAsia="仿宋_GB2312" w:cs="Times New Roman"/>
                <w:sz w:val="24"/>
                <w:szCs w:val="24"/>
              </w:rPr>
              <w:t>煤电产业集群</w:t>
            </w:r>
          </w:p>
        </w:tc>
        <w:tc>
          <w:tcPr>
            <w:tcW w:w="4819" w:type="dxa"/>
            <w:vAlign w:val="center"/>
          </w:tcPr>
          <w:p>
            <w:pPr>
              <w:adjustRightInd w:val="0"/>
              <w:snapToGrid w:val="0"/>
              <w:rPr>
                <w:rFonts w:ascii="Times New Roman" w:hAnsi="Times New Roman" w:eastAsia="仿宋_GB2312" w:cs="Times New Roman"/>
                <w:sz w:val="24"/>
                <w:szCs w:val="24"/>
              </w:rPr>
            </w:pPr>
            <w:r>
              <w:rPr>
                <w:rFonts w:ascii="Times New Roman" w:hAnsi="Times New Roman" w:eastAsia="仿宋_GB2312" w:cs="Times New Roman"/>
                <w:sz w:val="24"/>
                <w:szCs w:val="24"/>
              </w:rPr>
              <w:t>大路工业园区、上海庙经济开发区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7" w:type="dxa"/>
            <w:vMerge w:val="continue"/>
            <w:vAlign w:val="center"/>
          </w:tcPr>
          <w:p>
            <w:pPr>
              <w:adjustRightInd w:val="0"/>
              <w:snapToGrid w:val="0"/>
              <w:jc w:val="center"/>
              <w:rPr>
                <w:rFonts w:ascii="Times New Roman" w:hAnsi="Times New Roman" w:eastAsia="仿宋_GB2312" w:cs="Times New Roman"/>
                <w:sz w:val="24"/>
                <w:szCs w:val="24"/>
              </w:rPr>
            </w:pPr>
          </w:p>
        </w:tc>
        <w:tc>
          <w:tcPr>
            <w:tcW w:w="2552" w:type="dxa"/>
            <w:vAlign w:val="center"/>
          </w:tcPr>
          <w:p>
            <w:pPr>
              <w:adjustRightInd w:val="0"/>
              <w:snapToGrid w:val="0"/>
              <w:rPr>
                <w:rFonts w:ascii="Times New Roman" w:hAnsi="Times New Roman" w:eastAsia="仿宋_GB2312" w:cs="Times New Roman"/>
                <w:sz w:val="24"/>
                <w:szCs w:val="24"/>
              </w:rPr>
            </w:pPr>
            <w:r>
              <w:rPr>
                <w:rFonts w:ascii="Times New Roman" w:hAnsi="Times New Roman" w:eastAsia="仿宋_GB2312" w:cs="Times New Roman"/>
                <w:sz w:val="24"/>
                <w:szCs w:val="24"/>
              </w:rPr>
              <w:t>煤化工产业集群</w:t>
            </w:r>
          </w:p>
        </w:tc>
        <w:tc>
          <w:tcPr>
            <w:tcW w:w="4819" w:type="dxa"/>
            <w:vAlign w:val="center"/>
          </w:tcPr>
          <w:p>
            <w:pPr>
              <w:adjustRightInd w:val="0"/>
              <w:snapToGrid w:val="0"/>
              <w:rPr>
                <w:rFonts w:ascii="Times New Roman" w:hAnsi="Times New Roman" w:eastAsia="仿宋_GB2312" w:cs="Times New Roman"/>
                <w:sz w:val="24"/>
                <w:szCs w:val="24"/>
              </w:rPr>
            </w:pPr>
            <w:r>
              <w:rPr>
                <w:rFonts w:ascii="Times New Roman" w:hAnsi="Times New Roman" w:eastAsia="仿宋_GB2312" w:cs="Times New Roman"/>
                <w:sz w:val="24"/>
                <w:szCs w:val="24"/>
              </w:rPr>
              <w:t>大路工业园区、苏里格经济开发区、圣圆煤化工基地、独贵塔拉工业园区、达拉特经济开发区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7" w:type="dxa"/>
            <w:vMerge w:val="continue"/>
            <w:vAlign w:val="center"/>
          </w:tcPr>
          <w:p>
            <w:pPr>
              <w:adjustRightInd w:val="0"/>
              <w:snapToGrid w:val="0"/>
              <w:jc w:val="center"/>
              <w:rPr>
                <w:rFonts w:ascii="Times New Roman" w:hAnsi="Times New Roman" w:eastAsia="仿宋_GB2312" w:cs="Times New Roman"/>
                <w:sz w:val="24"/>
                <w:szCs w:val="24"/>
              </w:rPr>
            </w:pPr>
          </w:p>
        </w:tc>
        <w:tc>
          <w:tcPr>
            <w:tcW w:w="2552" w:type="dxa"/>
            <w:vAlign w:val="center"/>
          </w:tcPr>
          <w:p>
            <w:pPr>
              <w:adjustRightInd w:val="0"/>
              <w:snapToGrid w:val="0"/>
              <w:rPr>
                <w:rFonts w:ascii="Times New Roman" w:hAnsi="Times New Roman" w:eastAsia="仿宋_GB2312" w:cs="Times New Roman"/>
                <w:sz w:val="24"/>
                <w:szCs w:val="24"/>
              </w:rPr>
            </w:pPr>
            <w:r>
              <w:rPr>
                <w:rFonts w:ascii="Times New Roman" w:hAnsi="Times New Roman" w:eastAsia="仿宋_GB2312" w:cs="Times New Roman"/>
                <w:sz w:val="24"/>
                <w:szCs w:val="24"/>
              </w:rPr>
              <w:t>煤电铝产业集群</w:t>
            </w:r>
          </w:p>
        </w:tc>
        <w:tc>
          <w:tcPr>
            <w:tcW w:w="4819" w:type="dxa"/>
            <w:vAlign w:val="center"/>
          </w:tcPr>
          <w:p>
            <w:pPr>
              <w:adjustRightInd w:val="0"/>
              <w:snapToGrid w:val="0"/>
              <w:rPr>
                <w:rFonts w:ascii="Times New Roman" w:hAnsi="Times New Roman" w:eastAsia="仿宋_GB2312" w:cs="Times New Roman"/>
                <w:sz w:val="24"/>
                <w:szCs w:val="24"/>
              </w:rPr>
            </w:pPr>
            <w:r>
              <w:rPr>
                <w:rFonts w:ascii="Times New Roman" w:hAnsi="Times New Roman" w:eastAsia="仿宋_GB2312" w:cs="Times New Roman"/>
                <w:sz w:val="24"/>
                <w:szCs w:val="24"/>
              </w:rPr>
              <w:t>大路工业园区、达拉特经济开发区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7" w:type="dxa"/>
            <w:vMerge w:val="continue"/>
            <w:vAlign w:val="center"/>
          </w:tcPr>
          <w:p>
            <w:pPr>
              <w:adjustRightInd w:val="0"/>
              <w:snapToGrid w:val="0"/>
              <w:jc w:val="center"/>
              <w:rPr>
                <w:rFonts w:ascii="Times New Roman" w:hAnsi="Times New Roman" w:eastAsia="仿宋_GB2312" w:cs="Times New Roman"/>
                <w:sz w:val="24"/>
                <w:szCs w:val="24"/>
              </w:rPr>
            </w:pPr>
          </w:p>
        </w:tc>
        <w:tc>
          <w:tcPr>
            <w:tcW w:w="2552" w:type="dxa"/>
            <w:vAlign w:val="center"/>
          </w:tcPr>
          <w:p>
            <w:pPr>
              <w:adjustRightInd w:val="0"/>
              <w:snapToGrid w:val="0"/>
              <w:rPr>
                <w:rFonts w:ascii="Times New Roman" w:hAnsi="Times New Roman" w:eastAsia="仿宋_GB2312" w:cs="Times New Roman"/>
                <w:sz w:val="24"/>
                <w:szCs w:val="24"/>
              </w:rPr>
            </w:pPr>
            <w:r>
              <w:rPr>
                <w:rFonts w:ascii="Times New Roman" w:hAnsi="Times New Roman" w:eastAsia="仿宋_GB2312" w:cs="Times New Roman"/>
                <w:sz w:val="24"/>
                <w:szCs w:val="24"/>
              </w:rPr>
              <w:t>氯碱化工产业集群</w:t>
            </w:r>
          </w:p>
        </w:tc>
        <w:tc>
          <w:tcPr>
            <w:tcW w:w="4819" w:type="dxa"/>
            <w:vAlign w:val="center"/>
          </w:tcPr>
          <w:p>
            <w:pPr>
              <w:adjustRightInd w:val="0"/>
              <w:snapToGrid w:val="0"/>
              <w:rPr>
                <w:rFonts w:ascii="Times New Roman" w:hAnsi="Times New Roman" w:eastAsia="仿宋_GB2312" w:cs="Times New Roman"/>
                <w:sz w:val="24"/>
                <w:szCs w:val="24"/>
              </w:rPr>
            </w:pPr>
            <w:r>
              <w:rPr>
                <w:rFonts w:ascii="Times New Roman" w:hAnsi="Times New Roman" w:eastAsia="仿宋_GB2312" w:cs="Times New Roman"/>
                <w:sz w:val="24"/>
                <w:szCs w:val="24"/>
              </w:rPr>
              <w:t>鄂托克经济开发区、达拉特经济开发区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7" w:type="dxa"/>
            <w:vMerge w:val="continue"/>
            <w:vAlign w:val="center"/>
          </w:tcPr>
          <w:p>
            <w:pPr>
              <w:adjustRightInd w:val="0"/>
              <w:snapToGrid w:val="0"/>
              <w:jc w:val="center"/>
              <w:rPr>
                <w:rFonts w:ascii="Times New Roman" w:hAnsi="Times New Roman" w:eastAsia="仿宋_GB2312" w:cs="Times New Roman"/>
                <w:sz w:val="24"/>
                <w:szCs w:val="24"/>
              </w:rPr>
            </w:pPr>
          </w:p>
        </w:tc>
        <w:tc>
          <w:tcPr>
            <w:tcW w:w="2552" w:type="dxa"/>
            <w:vAlign w:val="center"/>
          </w:tcPr>
          <w:p>
            <w:pPr>
              <w:adjustRightInd w:val="0"/>
              <w:snapToGrid w:val="0"/>
              <w:rPr>
                <w:rFonts w:ascii="Times New Roman" w:hAnsi="Times New Roman" w:eastAsia="仿宋_GB2312" w:cs="Times New Roman"/>
                <w:sz w:val="24"/>
                <w:szCs w:val="24"/>
              </w:rPr>
            </w:pPr>
            <w:r>
              <w:rPr>
                <w:rFonts w:ascii="Times New Roman" w:hAnsi="Times New Roman" w:eastAsia="仿宋_GB2312" w:cs="Times New Roman"/>
                <w:sz w:val="24"/>
                <w:szCs w:val="24"/>
              </w:rPr>
              <w:t>焦化产业集群</w:t>
            </w:r>
          </w:p>
        </w:tc>
        <w:tc>
          <w:tcPr>
            <w:tcW w:w="4819" w:type="dxa"/>
            <w:vAlign w:val="center"/>
          </w:tcPr>
          <w:p>
            <w:pPr>
              <w:adjustRightInd w:val="0"/>
              <w:snapToGrid w:val="0"/>
              <w:rPr>
                <w:rFonts w:ascii="Times New Roman" w:hAnsi="Times New Roman" w:eastAsia="仿宋_GB2312" w:cs="Times New Roman"/>
                <w:sz w:val="24"/>
                <w:szCs w:val="24"/>
              </w:rPr>
            </w:pPr>
            <w:r>
              <w:rPr>
                <w:rFonts w:ascii="Times New Roman" w:hAnsi="Times New Roman" w:eastAsia="仿宋_GB2312" w:cs="Times New Roman"/>
                <w:sz w:val="24"/>
                <w:szCs w:val="24"/>
              </w:rPr>
              <w:t>鄂托克经济开发区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7" w:type="dxa"/>
            <w:vMerge w:val="restart"/>
            <w:vAlign w:val="center"/>
          </w:tcPr>
          <w:p>
            <w:pPr>
              <w:adjustRightInd w:val="0"/>
              <w:snapToGrid w:val="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特色产业</w:t>
            </w:r>
          </w:p>
        </w:tc>
        <w:tc>
          <w:tcPr>
            <w:tcW w:w="2552" w:type="dxa"/>
            <w:vAlign w:val="center"/>
          </w:tcPr>
          <w:p>
            <w:pPr>
              <w:adjustRightInd w:val="0"/>
              <w:snapToGrid w:val="0"/>
              <w:rPr>
                <w:rFonts w:ascii="Times New Roman" w:hAnsi="Times New Roman" w:eastAsia="仿宋_GB2312" w:cs="Times New Roman"/>
                <w:sz w:val="24"/>
                <w:szCs w:val="24"/>
              </w:rPr>
            </w:pPr>
            <w:r>
              <w:rPr>
                <w:rFonts w:ascii="Times New Roman" w:hAnsi="Times New Roman" w:eastAsia="仿宋_GB2312" w:cs="Times New Roman"/>
                <w:sz w:val="24"/>
                <w:szCs w:val="24"/>
              </w:rPr>
              <w:t>羊绒产业集群</w:t>
            </w:r>
          </w:p>
        </w:tc>
        <w:tc>
          <w:tcPr>
            <w:tcW w:w="4819" w:type="dxa"/>
            <w:vAlign w:val="center"/>
          </w:tcPr>
          <w:p>
            <w:pPr>
              <w:adjustRightInd w:val="0"/>
              <w:snapToGrid w:val="0"/>
              <w:rPr>
                <w:rFonts w:ascii="Times New Roman" w:hAnsi="Times New Roman" w:eastAsia="仿宋_GB2312" w:cs="Times New Roman"/>
                <w:sz w:val="24"/>
                <w:szCs w:val="24"/>
              </w:rPr>
            </w:pPr>
            <w:r>
              <w:rPr>
                <w:rFonts w:ascii="Times New Roman" w:hAnsi="Times New Roman" w:eastAsia="仿宋_GB2312" w:cs="Times New Roman"/>
                <w:sz w:val="24"/>
                <w:szCs w:val="24"/>
              </w:rPr>
              <w:t>轻纺工业园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7" w:type="dxa"/>
            <w:vMerge w:val="continue"/>
            <w:vAlign w:val="center"/>
          </w:tcPr>
          <w:p>
            <w:pPr>
              <w:adjustRightInd w:val="0"/>
              <w:snapToGrid w:val="0"/>
              <w:jc w:val="center"/>
              <w:rPr>
                <w:rFonts w:ascii="Times New Roman" w:hAnsi="Times New Roman" w:eastAsia="仿宋_GB2312" w:cs="Times New Roman"/>
                <w:sz w:val="24"/>
                <w:szCs w:val="24"/>
              </w:rPr>
            </w:pPr>
          </w:p>
        </w:tc>
        <w:tc>
          <w:tcPr>
            <w:tcW w:w="2552" w:type="dxa"/>
            <w:vAlign w:val="center"/>
          </w:tcPr>
          <w:p>
            <w:pPr>
              <w:adjustRightInd w:val="0"/>
              <w:snapToGrid w:val="0"/>
              <w:rPr>
                <w:rFonts w:ascii="Times New Roman" w:hAnsi="Times New Roman" w:eastAsia="仿宋_GB2312" w:cs="Times New Roman"/>
                <w:sz w:val="24"/>
                <w:szCs w:val="24"/>
              </w:rPr>
            </w:pPr>
            <w:r>
              <w:rPr>
                <w:rFonts w:ascii="Times New Roman" w:hAnsi="Times New Roman" w:eastAsia="仿宋_GB2312" w:cs="Times New Roman"/>
                <w:sz w:val="24"/>
                <w:szCs w:val="24"/>
              </w:rPr>
              <w:t>陶瓷产业集群</w:t>
            </w:r>
          </w:p>
        </w:tc>
        <w:tc>
          <w:tcPr>
            <w:tcW w:w="4819" w:type="dxa"/>
            <w:vAlign w:val="center"/>
          </w:tcPr>
          <w:p>
            <w:pPr>
              <w:adjustRightInd w:val="0"/>
              <w:snapToGrid w:val="0"/>
              <w:rPr>
                <w:rFonts w:ascii="Times New Roman" w:hAnsi="Times New Roman" w:eastAsia="仿宋_GB2312" w:cs="Times New Roman"/>
                <w:sz w:val="24"/>
                <w:szCs w:val="24"/>
              </w:rPr>
            </w:pPr>
            <w:r>
              <w:rPr>
                <w:rFonts w:ascii="Times New Roman" w:hAnsi="Times New Roman" w:eastAsia="仿宋_GB2312" w:cs="Times New Roman"/>
                <w:sz w:val="24"/>
                <w:szCs w:val="24"/>
              </w:rPr>
              <w:t>准格尔经济开发区、达拉特经济开发区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7" w:type="dxa"/>
            <w:vMerge w:val="continue"/>
            <w:vAlign w:val="center"/>
          </w:tcPr>
          <w:p>
            <w:pPr>
              <w:adjustRightInd w:val="0"/>
              <w:snapToGrid w:val="0"/>
              <w:jc w:val="center"/>
              <w:rPr>
                <w:rFonts w:ascii="Times New Roman" w:hAnsi="Times New Roman" w:eastAsia="仿宋_GB2312" w:cs="Times New Roman"/>
                <w:sz w:val="24"/>
                <w:szCs w:val="24"/>
              </w:rPr>
            </w:pPr>
          </w:p>
        </w:tc>
        <w:tc>
          <w:tcPr>
            <w:tcW w:w="2552" w:type="dxa"/>
            <w:vAlign w:val="center"/>
          </w:tcPr>
          <w:p>
            <w:pPr>
              <w:adjustRightInd w:val="0"/>
              <w:snapToGrid w:val="0"/>
              <w:rPr>
                <w:rFonts w:ascii="Times New Roman" w:hAnsi="Times New Roman" w:eastAsia="仿宋_GB2312" w:cs="Times New Roman"/>
                <w:sz w:val="24"/>
                <w:szCs w:val="24"/>
              </w:rPr>
            </w:pPr>
            <w:r>
              <w:rPr>
                <w:rFonts w:ascii="Times New Roman" w:hAnsi="Times New Roman" w:eastAsia="仿宋_GB2312" w:cs="Times New Roman"/>
                <w:sz w:val="24"/>
                <w:szCs w:val="24"/>
              </w:rPr>
              <w:t>新能源产业集群</w:t>
            </w:r>
          </w:p>
        </w:tc>
        <w:tc>
          <w:tcPr>
            <w:tcW w:w="4819" w:type="dxa"/>
            <w:vAlign w:val="center"/>
          </w:tcPr>
          <w:p>
            <w:pPr>
              <w:adjustRightInd w:val="0"/>
              <w:snapToGrid w:val="0"/>
              <w:rPr>
                <w:rFonts w:ascii="Times New Roman" w:hAnsi="Times New Roman" w:eastAsia="仿宋_GB2312" w:cs="Times New Roman"/>
                <w:sz w:val="24"/>
                <w:szCs w:val="24"/>
              </w:rPr>
            </w:pPr>
            <w:r>
              <w:rPr>
                <w:rFonts w:ascii="Times New Roman" w:hAnsi="Times New Roman" w:eastAsia="仿宋_GB2312" w:cs="Times New Roman"/>
                <w:sz w:val="24"/>
                <w:szCs w:val="24"/>
              </w:rPr>
              <w:t>新能源示范区、达拉特经济开发区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7" w:type="dxa"/>
            <w:vMerge w:val="restart"/>
            <w:vAlign w:val="center"/>
          </w:tcPr>
          <w:p>
            <w:pPr>
              <w:adjustRightInd w:val="0"/>
              <w:snapToGrid w:val="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新兴产业</w:t>
            </w:r>
          </w:p>
        </w:tc>
        <w:tc>
          <w:tcPr>
            <w:tcW w:w="2552" w:type="dxa"/>
            <w:vAlign w:val="center"/>
          </w:tcPr>
          <w:p>
            <w:pPr>
              <w:adjustRightInd w:val="0"/>
              <w:snapToGrid w:val="0"/>
              <w:rPr>
                <w:rFonts w:ascii="Times New Roman" w:hAnsi="Times New Roman" w:eastAsia="仿宋_GB2312" w:cs="Times New Roman"/>
                <w:sz w:val="24"/>
                <w:szCs w:val="24"/>
              </w:rPr>
            </w:pPr>
            <w:r>
              <w:rPr>
                <w:rFonts w:ascii="Times New Roman" w:hAnsi="Times New Roman" w:eastAsia="仿宋_GB2312" w:cs="Times New Roman"/>
                <w:sz w:val="24"/>
                <w:szCs w:val="24"/>
              </w:rPr>
              <w:t>装备制造产业集群</w:t>
            </w:r>
          </w:p>
        </w:tc>
        <w:tc>
          <w:tcPr>
            <w:tcW w:w="4819" w:type="dxa"/>
            <w:vAlign w:val="center"/>
          </w:tcPr>
          <w:p>
            <w:pPr>
              <w:adjustRightInd w:val="0"/>
              <w:snapToGrid w:val="0"/>
              <w:rPr>
                <w:rFonts w:ascii="Times New Roman" w:hAnsi="Times New Roman" w:eastAsia="仿宋_GB2312" w:cs="Times New Roman"/>
                <w:sz w:val="24"/>
                <w:szCs w:val="24"/>
              </w:rPr>
            </w:pPr>
            <w:r>
              <w:rPr>
                <w:rFonts w:ascii="Times New Roman" w:hAnsi="Times New Roman" w:eastAsia="仿宋_GB2312" w:cs="Times New Roman"/>
                <w:sz w:val="24"/>
                <w:szCs w:val="24"/>
              </w:rPr>
              <w:t>鄂尔多斯装备制造工业园区、江苏工业园区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7" w:type="dxa"/>
            <w:vMerge w:val="continue"/>
            <w:vAlign w:val="center"/>
          </w:tcPr>
          <w:p>
            <w:pPr>
              <w:adjustRightInd w:val="0"/>
              <w:snapToGrid w:val="0"/>
              <w:jc w:val="center"/>
              <w:rPr>
                <w:rFonts w:ascii="Times New Roman" w:hAnsi="Times New Roman" w:eastAsia="仿宋_GB2312" w:cs="Times New Roman"/>
                <w:sz w:val="24"/>
                <w:szCs w:val="24"/>
              </w:rPr>
            </w:pPr>
          </w:p>
        </w:tc>
        <w:tc>
          <w:tcPr>
            <w:tcW w:w="2552" w:type="dxa"/>
            <w:vAlign w:val="center"/>
          </w:tcPr>
          <w:p>
            <w:pPr>
              <w:adjustRightInd w:val="0"/>
              <w:snapToGrid w:val="0"/>
              <w:rPr>
                <w:rFonts w:ascii="Times New Roman" w:hAnsi="Times New Roman" w:eastAsia="仿宋_GB2312" w:cs="Times New Roman"/>
                <w:sz w:val="24"/>
                <w:szCs w:val="24"/>
              </w:rPr>
            </w:pPr>
            <w:r>
              <w:rPr>
                <w:rFonts w:ascii="Times New Roman" w:hAnsi="Times New Roman" w:eastAsia="仿宋_GB2312" w:cs="Times New Roman"/>
                <w:sz w:val="24"/>
                <w:szCs w:val="24"/>
              </w:rPr>
              <w:t>电子信息产业集群</w:t>
            </w:r>
          </w:p>
        </w:tc>
        <w:tc>
          <w:tcPr>
            <w:tcW w:w="4819" w:type="dxa"/>
            <w:vAlign w:val="center"/>
          </w:tcPr>
          <w:p>
            <w:pPr>
              <w:adjustRightInd w:val="0"/>
              <w:snapToGrid w:val="0"/>
              <w:rPr>
                <w:rFonts w:ascii="Times New Roman" w:hAnsi="Times New Roman" w:eastAsia="仿宋_GB2312" w:cs="Times New Roman"/>
                <w:sz w:val="24"/>
                <w:szCs w:val="24"/>
              </w:rPr>
            </w:pPr>
            <w:r>
              <w:rPr>
                <w:rFonts w:ascii="Times New Roman" w:hAnsi="Times New Roman" w:eastAsia="仿宋_GB2312" w:cs="Times New Roman"/>
                <w:sz w:val="24"/>
                <w:szCs w:val="24"/>
              </w:rPr>
              <w:t>鄂尔多斯高新技术产业开发区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7" w:type="dxa"/>
            <w:vMerge w:val="continue"/>
            <w:vAlign w:val="center"/>
          </w:tcPr>
          <w:p>
            <w:pPr>
              <w:adjustRightInd w:val="0"/>
              <w:snapToGrid w:val="0"/>
              <w:jc w:val="center"/>
              <w:rPr>
                <w:rFonts w:ascii="Times New Roman" w:hAnsi="Times New Roman" w:eastAsia="仿宋_GB2312" w:cs="Times New Roman"/>
                <w:sz w:val="24"/>
                <w:szCs w:val="24"/>
              </w:rPr>
            </w:pPr>
          </w:p>
        </w:tc>
        <w:tc>
          <w:tcPr>
            <w:tcW w:w="2552" w:type="dxa"/>
            <w:vAlign w:val="center"/>
          </w:tcPr>
          <w:p>
            <w:pPr>
              <w:adjustRightInd w:val="0"/>
              <w:snapToGrid w:val="0"/>
              <w:rPr>
                <w:rFonts w:ascii="Times New Roman" w:hAnsi="Times New Roman" w:eastAsia="仿宋_GB2312" w:cs="Times New Roman"/>
                <w:sz w:val="24"/>
                <w:szCs w:val="24"/>
              </w:rPr>
            </w:pPr>
            <w:r>
              <w:rPr>
                <w:rFonts w:ascii="Times New Roman" w:hAnsi="Times New Roman" w:eastAsia="仿宋_GB2312" w:cs="Times New Roman"/>
                <w:sz w:val="24"/>
                <w:szCs w:val="24"/>
              </w:rPr>
              <w:t>绿色环保产业集群</w:t>
            </w:r>
          </w:p>
        </w:tc>
        <w:tc>
          <w:tcPr>
            <w:tcW w:w="4819" w:type="dxa"/>
            <w:vAlign w:val="center"/>
          </w:tcPr>
          <w:p>
            <w:pPr>
              <w:adjustRightInd w:val="0"/>
              <w:snapToGrid w:val="0"/>
              <w:rPr>
                <w:rFonts w:ascii="Times New Roman" w:hAnsi="Times New Roman" w:eastAsia="仿宋_GB2312" w:cs="Times New Roman"/>
                <w:sz w:val="24"/>
                <w:szCs w:val="24"/>
              </w:rPr>
            </w:pPr>
            <w:r>
              <w:rPr>
                <w:rFonts w:ascii="Times New Roman" w:hAnsi="Times New Roman" w:eastAsia="仿宋_GB2312" w:cs="Times New Roman"/>
                <w:sz w:val="24"/>
                <w:szCs w:val="24"/>
              </w:rPr>
              <w:t>鄂尔多斯高新技术产业开发区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7" w:type="dxa"/>
            <w:vMerge w:val="continue"/>
            <w:vAlign w:val="center"/>
          </w:tcPr>
          <w:p>
            <w:pPr>
              <w:adjustRightInd w:val="0"/>
              <w:snapToGrid w:val="0"/>
              <w:jc w:val="center"/>
              <w:rPr>
                <w:rFonts w:ascii="Times New Roman" w:hAnsi="Times New Roman" w:eastAsia="仿宋_GB2312" w:cs="Times New Roman"/>
                <w:sz w:val="24"/>
                <w:szCs w:val="24"/>
              </w:rPr>
            </w:pPr>
          </w:p>
        </w:tc>
        <w:tc>
          <w:tcPr>
            <w:tcW w:w="2552" w:type="dxa"/>
            <w:vAlign w:val="center"/>
          </w:tcPr>
          <w:p>
            <w:pPr>
              <w:adjustRightInd w:val="0"/>
              <w:snapToGrid w:val="0"/>
              <w:rPr>
                <w:rFonts w:ascii="Times New Roman" w:hAnsi="Times New Roman" w:eastAsia="仿宋_GB2312" w:cs="Times New Roman"/>
                <w:sz w:val="24"/>
                <w:szCs w:val="24"/>
              </w:rPr>
            </w:pPr>
            <w:r>
              <w:rPr>
                <w:rFonts w:ascii="Times New Roman" w:hAnsi="Times New Roman" w:eastAsia="仿宋_GB2312" w:cs="Times New Roman"/>
                <w:sz w:val="24"/>
                <w:szCs w:val="24"/>
              </w:rPr>
              <w:t>新材料产业集群</w:t>
            </w:r>
          </w:p>
        </w:tc>
        <w:tc>
          <w:tcPr>
            <w:tcW w:w="4819" w:type="dxa"/>
            <w:vAlign w:val="center"/>
          </w:tcPr>
          <w:p>
            <w:pPr>
              <w:adjustRightInd w:val="0"/>
              <w:snapToGrid w:val="0"/>
              <w:rPr>
                <w:rFonts w:ascii="Times New Roman" w:hAnsi="Times New Roman" w:eastAsia="仿宋_GB2312" w:cs="Times New Roman"/>
                <w:sz w:val="24"/>
                <w:szCs w:val="24"/>
              </w:rPr>
            </w:pPr>
            <w:r>
              <w:rPr>
                <w:rFonts w:ascii="Times New Roman" w:hAnsi="Times New Roman" w:eastAsia="仿宋_GB2312" w:cs="Times New Roman"/>
                <w:sz w:val="24"/>
                <w:szCs w:val="24"/>
              </w:rPr>
              <w:t>大路工业园区、准格尔经济开发区、苏里格经济开发区、独贵塔拉工业园区</w:t>
            </w:r>
          </w:p>
        </w:tc>
      </w:tr>
    </w:tbl>
    <w:p>
      <w:pPr>
        <w:pStyle w:val="4"/>
        <w:spacing w:before="0" w:after="0" w:line="360" w:lineRule="auto"/>
        <w:ind w:firstLine="640" w:firstLineChars="200"/>
        <w:rPr>
          <w:rStyle w:val="47"/>
          <w:b w:val="0"/>
          <w:bCs w:val="0"/>
          <w:color w:val="auto"/>
        </w:rPr>
      </w:pPr>
      <w:r>
        <w:rPr>
          <w:rStyle w:val="47"/>
          <w:b w:val="0"/>
          <w:bCs w:val="0"/>
          <w:color w:val="auto"/>
        </w:rPr>
        <w:t>三、园区绿色转型初见成效</w:t>
      </w:r>
    </w:p>
    <w:p>
      <w:pPr>
        <w:spacing w:line="560" w:lineRule="exact"/>
        <w:ind w:firstLine="640" w:firstLineChars="200"/>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绿色制造体系建设方面，全市已创建5个绿色园区、15家绿色工厂和3种绿色产品，其中3个绿色园区、9家绿色工厂为国家级绿色制造示范单位。目前，全市创建国家生态工业示范园区2个、国家和自治区循环经济示范试点单位14个，10个矿山入选国家级绿色矿山试点单位，工业废弃物综合利用率逐年提高，工业绿色发展水平不断提升。</w:t>
      </w:r>
    </w:p>
    <w:p>
      <w:pPr>
        <w:spacing w:line="560" w:lineRule="exact"/>
        <w:jc w:val="center"/>
        <w:rPr>
          <w:rFonts w:hint="eastAsia" w:ascii="黑体" w:hAnsi="黑体" w:eastAsia="黑体" w:cs="黑体"/>
          <w:sz w:val="28"/>
          <w:szCs w:val="28"/>
        </w:rPr>
      </w:pPr>
      <w:r>
        <w:rPr>
          <w:rFonts w:hint="eastAsia" w:ascii="黑体" w:hAnsi="黑体" w:eastAsia="黑体" w:cs="黑体"/>
          <w:sz w:val="28"/>
          <w:szCs w:val="28"/>
        </w:rPr>
        <w:t>表1-2</w:t>
      </w:r>
      <w:r>
        <w:rPr>
          <w:rFonts w:hint="eastAsia" w:ascii="黑体" w:hAnsi="黑体" w:eastAsia="黑体" w:cs="黑体"/>
          <w:sz w:val="28"/>
          <w:szCs w:val="28"/>
          <w:lang w:val="en-US" w:eastAsia="zh-CN"/>
        </w:rPr>
        <w:t xml:space="preserve"> </w:t>
      </w:r>
      <w:r>
        <w:rPr>
          <w:rFonts w:hint="eastAsia" w:ascii="黑体" w:hAnsi="黑体" w:eastAsia="黑体" w:cs="黑体"/>
          <w:sz w:val="28"/>
          <w:szCs w:val="28"/>
        </w:rPr>
        <w:t>鄂尔多斯市工业园区绿色发展情况</w:t>
      </w:r>
    </w:p>
    <w:tbl>
      <w:tblPr>
        <w:tblStyle w:val="2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
        <w:gridCol w:w="2693"/>
        <w:gridCol w:w="1276"/>
        <w:gridCol w:w="35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851" w:type="dxa"/>
            <w:vAlign w:val="center"/>
          </w:tcPr>
          <w:p>
            <w:pPr>
              <w:adjustRightInd w:val="0"/>
              <w:snapToGrid w:val="0"/>
              <w:jc w:val="center"/>
              <w:rPr>
                <w:rFonts w:hint="eastAsia" w:ascii="黑体" w:hAnsi="黑体" w:eastAsia="黑体" w:cs="黑体"/>
                <w:b w:val="0"/>
                <w:bCs w:val="0"/>
                <w:sz w:val="24"/>
                <w:szCs w:val="24"/>
              </w:rPr>
            </w:pPr>
            <w:r>
              <w:rPr>
                <w:rFonts w:hint="eastAsia" w:ascii="黑体" w:hAnsi="黑体" w:eastAsia="黑体" w:cs="黑体"/>
                <w:b w:val="0"/>
                <w:bCs w:val="0"/>
                <w:sz w:val="24"/>
                <w:szCs w:val="24"/>
              </w:rPr>
              <w:t>类别</w:t>
            </w:r>
          </w:p>
        </w:tc>
        <w:tc>
          <w:tcPr>
            <w:tcW w:w="2693" w:type="dxa"/>
            <w:vAlign w:val="center"/>
          </w:tcPr>
          <w:p>
            <w:pPr>
              <w:adjustRightInd w:val="0"/>
              <w:snapToGrid w:val="0"/>
              <w:jc w:val="center"/>
              <w:rPr>
                <w:rFonts w:hint="eastAsia" w:ascii="黑体" w:hAnsi="黑体" w:eastAsia="黑体" w:cs="黑体"/>
                <w:b w:val="0"/>
                <w:bCs w:val="0"/>
                <w:sz w:val="24"/>
                <w:szCs w:val="24"/>
              </w:rPr>
            </w:pPr>
            <w:r>
              <w:rPr>
                <w:rFonts w:hint="eastAsia" w:ascii="黑体" w:hAnsi="黑体" w:eastAsia="黑体" w:cs="黑体"/>
                <w:b w:val="0"/>
                <w:bCs w:val="0"/>
                <w:sz w:val="24"/>
                <w:szCs w:val="24"/>
              </w:rPr>
              <w:t>名称</w:t>
            </w:r>
          </w:p>
        </w:tc>
        <w:tc>
          <w:tcPr>
            <w:tcW w:w="1276" w:type="dxa"/>
            <w:vAlign w:val="center"/>
          </w:tcPr>
          <w:p>
            <w:pPr>
              <w:adjustRightInd w:val="0"/>
              <w:snapToGrid w:val="0"/>
              <w:jc w:val="center"/>
              <w:rPr>
                <w:rFonts w:hint="eastAsia" w:ascii="黑体" w:hAnsi="黑体" w:eastAsia="黑体" w:cs="黑体"/>
                <w:b w:val="0"/>
                <w:bCs w:val="0"/>
                <w:sz w:val="24"/>
                <w:szCs w:val="24"/>
              </w:rPr>
            </w:pPr>
            <w:r>
              <w:rPr>
                <w:rFonts w:hint="eastAsia" w:ascii="黑体" w:hAnsi="黑体" w:eastAsia="黑体" w:cs="黑体"/>
                <w:b w:val="0"/>
                <w:bCs w:val="0"/>
                <w:sz w:val="24"/>
                <w:szCs w:val="24"/>
              </w:rPr>
              <w:t>级别</w:t>
            </w:r>
          </w:p>
        </w:tc>
        <w:tc>
          <w:tcPr>
            <w:tcW w:w="3594" w:type="dxa"/>
            <w:vAlign w:val="center"/>
          </w:tcPr>
          <w:p>
            <w:pPr>
              <w:adjustRightInd w:val="0"/>
              <w:snapToGrid w:val="0"/>
              <w:jc w:val="center"/>
              <w:rPr>
                <w:rFonts w:hint="eastAsia" w:ascii="黑体" w:hAnsi="黑体" w:eastAsia="黑体" w:cs="黑体"/>
                <w:b w:val="0"/>
                <w:bCs w:val="0"/>
                <w:sz w:val="24"/>
                <w:szCs w:val="24"/>
              </w:rPr>
            </w:pPr>
            <w:r>
              <w:rPr>
                <w:rFonts w:hint="eastAsia" w:ascii="黑体" w:hAnsi="黑体" w:eastAsia="黑体" w:cs="黑体"/>
                <w:b w:val="0"/>
                <w:bCs w:val="0"/>
                <w:sz w:val="24"/>
                <w:szCs w:val="24"/>
              </w:rPr>
              <w:t>认定依据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5" w:hRule="atLeast"/>
          <w:jc w:val="center"/>
        </w:trPr>
        <w:tc>
          <w:tcPr>
            <w:tcW w:w="851" w:type="dxa"/>
            <w:vMerge w:val="restart"/>
            <w:vAlign w:val="center"/>
          </w:tcPr>
          <w:p>
            <w:pPr>
              <w:adjustRightInd w:val="0"/>
              <w:snapToGrid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绿色园区</w:t>
            </w:r>
          </w:p>
        </w:tc>
        <w:tc>
          <w:tcPr>
            <w:tcW w:w="2693" w:type="dxa"/>
            <w:vAlign w:val="center"/>
          </w:tcPr>
          <w:p>
            <w:pPr>
              <w:adjustRightInd w:val="0"/>
              <w:snapToGrid w:val="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鄂托克经济开发区</w:t>
            </w:r>
          </w:p>
        </w:tc>
        <w:tc>
          <w:tcPr>
            <w:tcW w:w="1276" w:type="dxa"/>
            <w:vAlign w:val="center"/>
          </w:tcPr>
          <w:p>
            <w:pPr>
              <w:adjustRightInd w:val="0"/>
              <w:snapToGrid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国家级</w:t>
            </w:r>
          </w:p>
        </w:tc>
        <w:tc>
          <w:tcPr>
            <w:tcW w:w="3594" w:type="dxa"/>
            <w:vAlign w:val="center"/>
          </w:tcPr>
          <w:p>
            <w:pPr>
              <w:adjustRightInd w:val="0"/>
              <w:snapToGrid w:val="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《工业和信息化部办公厅关于发布2017年第一批绿色制造示范名单的通知》（工信厅节函〔2017〕491号）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8" w:hRule="atLeast"/>
          <w:jc w:val="center"/>
        </w:trPr>
        <w:tc>
          <w:tcPr>
            <w:tcW w:w="851" w:type="dxa"/>
            <w:vMerge w:val="continue"/>
            <w:vAlign w:val="center"/>
          </w:tcPr>
          <w:p>
            <w:pPr>
              <w:adjustRightInd w:val="0"/>
              <w:snapToGrid w:val="0"/>
              <w:jc w:val="center"/>
              <w:rPr>
                <w:rFonts w:hint="eastAsia" w:ascii="仿宋_GB2312" w:hAnsi="仿宋_GB2312" w:eastAsia="仿宋_GB2312" w:cs="仿宋_GB2312"/>
                <w:sz w:val="24"/>
                <w:szCs w:val="24"/>
              </w:rPr>
            </w:pPr>
          </w:p>
        </w:tc>
        <w:tc>
          <w:tcPr>
            <w:tcW w:w="2693" w:type="dxa"/>
            <w:vAlign w:val="center"/>
          </w:tcPr>
          <w:p>
            <w:pPr>
              <w:adjustRightInd w:val="0"/>
              <w:snapToGrid w:val="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蒙西高新技术工业园区</w:t>
            </w:r>
          </w:p>
        </w:tc>
        <w:tc>
          <w:tcPr>
            <w:tcW w:w="1276" w:type="dxa"/>
            <w:vAlign w:val="center"/>
          </w:tcPr>
          <w:p>
            <w:pPr>
              <w:adjustRightInd w:val="0"/>
              <w:snapToGrid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国家级</w:t>
            </w:r>
          </w:p>
        </w:tc>
        <w:tc>
          <w:tcPr>
            <w:tcW w:w="3594" w:type="dxa"/>
            <w:vAlign w:val="center"/>
          </w:tcPr>
          <w:p>
            <w:pPr>
              <w:adjustRightInd w:val="0"/>
              <w:snapToGrid w:val="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《工业和信息化部办公厅关于公布第二批绿色制造名单的通知》（工信厅节函〔2018〕60号）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3" w:hRule="atLeast"/>
          <w:jc w:val="center"/>
        </w:trPr>
        <w:tc>
          <w:tcPr>
            <w:tcW w:w="851" w:type="dxa"/>
            <w:vMerge w:val="continue"/>
            <w:vAlign w:val="center"/>
          </w:tcPr>
          <w:p>
            <w:pPr>
              <w:adjustRightInd w:val="0"/>
              <w:snapToGrid w:val="0"/>
              <w:jc w:val="center"/>
              <w:rPr>
                <w:rFonts w:hint="eastAsia" w:ascii="仿宋_GB2312" w:hAnsi="仿宋_GB2312" w:eastAsia="仿宋_GB2312" w:cs="仿宋_GB2312"/>
                <w:sz w:val="24"/>
                <w:szCs w:val="24"/>
              </w:rPr>
            </w:pPr>
          </w:p>
        </w:tc>
        <w:tc>
          <w:tcPr>
            <w:tcW w:w="2693" w:type="dxa"/>
            <w:vAlign w:val="center"/>
          </w:tcPr>
          <w:p>
            <w:pPr>
              <w:adjustRightInd w:val="0"/>
              <w:snapToGrid w:val="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准格尔经济开发区</w:t>
            </w:r>
          </w:p>
        </w:tc>
        <w:tc>
          <w:tcPr>
            <w:tcW w:w="1276" w:type="dxa"/>
            <w:vAlign w:val="center"/>
          </w:tcPr>
          <w:p>
            <w:pPr>
              <w:adjustRightInd w:val="0"/>
              <w:snapToGrid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国家级</w:t>
            </w:r>
          </w:p>
        </w:tc>
        <w:tc>
          <w:tcPr>
            <w:tcW w:w="3594" w:type="dxa"/>
            <w:vAlign w:val="center"/>
          </w:tcPr>
          <w:p>
            <w:pPr>
              <w:adjustRightInd w:val="0"/>
              <w:snapToGrid w:val="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《工业和信息化部办公厅关于公布第五批绿色制造名单的通知》（工信厅节函〔2020〕246号）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5" w:hRule="atLeast"/>
          <w:jc w:val="center"/>
        </w:trPr>
        <w:tc>
          <w:tcPr>
            <w:tcW w:w="851" w:type="dxa"/>
            <w:vMerge w:val="continue"/>
            <w:vAlign w:val="center"/>
          </w:tcPr>
          <w:p>
            <w:pPr>
              <w:adjustRightInd w:val="0"/>
              <w:snapToGrid w:val="0"/>
              <w:jc w:val="center"/>
              <w:rPr>
                <w:rFonts w:hint="eastAsia" w:ascii="仿宋_GB2312" w:hAnsi="仿宋_GB2312" w:eastAsia="仿宋_GB2312" w:cs="仿宋_GB2312"/>
                <w:sz w:val="24"/>
                <w:szCs w:val="24"/>
              </w:rPr>
            </w:pPr>
          </w:p>
        </w:tc>
        <w:tc>
          <w:tcPr>
            <w:tcW w:w="2693" w:type="dxa"/>
            <w:vAlign w:val="center"/>
          </w:tcPr>
          <w:p>
            <w:pPr>
              <w:adjustRightInd w:val="0"/>
              <w:snapToGrid w:val="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大路工业园区</w:t>
            </w:r>
          </w:p>
        </w:tc>
        <w:tc>
          <w:tcPr>
            <w:tcW w:w="1276" w:type="dxa"/>
            <w:vAlign w:val="center"/>
          </w:tcPr>
          <w:p>
            <w:pPr>
              <w:adjustRightInd w:val="0"/>
              <w:snapToGrid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自治区级</w:t>
            </w:r>
          </w:p>
        </w:tc>
        <w:tc>
          <w:tcPr>
            <w:tcW w:w="3594" w:type="dxa"/>
            <w:vAlign w:val="center"/>
          </w:tcPr>
          <w:p>
            <w:pPr>
              <w:adjustRightInd w:val="0"/>
              <w:snapToGrid w:val="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《内蒙古自治区经济和信息化委员会关于公布内蒙古自治区第二批绿色制造示范名单的通知》（内经信节综字〔2018〕493号）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0" w:hRule="atLeast"/>
          <w:jc w:val="center"/>
        </w:trPr>
        <w:tc>
          <w:tcPr>
            <w:tcW w:w="851" w:type="dxa"/>
            <w:vMerge w:val="continue"/>
            <w:vAlign w:val="center"/>
          </w:tcPr>
          <w:p>
            <w:pPr>
              <w:adjustRightInd w:val="0"/>
              <w:snapToGrid w:val="0"/>
              <w:jc w:val="center"/>
              <w:rPr>
                <w:rFonts w:hint="eastAsia" w:ascii="仿宋_GB2312" w:hAnsi="仿宋_GB2312" w:eastAsia="仿宋_GB2312" w:cs="仿宋_GB2312"/>
                <w:sz w:val="24"/>
                <w:szCs w:val="24"/>
              </w:rPr>
            </w:pPr>
          </w:p>
        </w:tc>
        <w:tc>
          <w:tcPr>
            <w:tcW w:w="2693" w:type="dxa"/>
            <w:vAlign w:val="center"/>
          </w:tcPr>
          <w:p>
            <w:pPr>
              <w:adjustRightInd w:val="0"/>
              <w:snapToGrid w:val="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达拉特经济开发区</w:t>
            </w:r>
          </w:p>
        </w:tc>
        <w:tc>
          <w:tcPr>
            <w:tcW w:w="1276" w:type="dxa"/>
            <w:vAlign w:val="center"/>
          </w:tcPr>
          <w:p>
            <w:pPr>
              <w:adjustRightInd w:val="0"/>
              <w:snapToGrid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自治区级</w:t>
            </w:r>
          </w:p>
        </w:tc>
        <w:tc>
          <w:tcPr>
            <w:tcW w:w="3594" w:type="dxa"/>
            <w:vAlign w:val="center"/>
          </w:tcPr>
          <w:p>
            <w:pPr>
              <w:adjustRightInd w:val="0"/>
              <w:snapToGrid w:val="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《内蒙古自治区工业和信息化厅关于公布2020年绿色制造示范名单的通知》（内工信节综字〔2020〕223号）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1" w:type="dxa"/>
            <w:vMerge w:val="restart"/>
            <w:vAlign w:val="center"/>
          </w:tcPr>
          <w:p>
            <w:pPr>
              <w:adjustRightInd w:val="0"/>
              <w:snapToGrid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绿色工厂</w:t>
            </w:r>
          </w:p>
        </w:tc>
        <w:tc>
          <w:tcPr>
            <w:tcW w:w="2693" w:type="dxa"/>
            <w:vAlign w:val="center"/>
          </w:tcPr>
          <w:p>
            <w:pPr>
              <w:adjustRightInd w:val="0"/>
              <w:snapToGrid w:val="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内蒙古双欣环保材料股份有限公司</w:t>
            </w:r>
          </w:p>
        </w:tc>
        <w:tc>
          <w:tcPr>
            <w:tcW w:w="1276" w:type="dxa"/>
            <w:vAlign w:val="center"/>
          </w:tcPr>
          <w:p>
            <w:pPr>
              <w:adjustRightInd w:val="0"/>
              <w:snapToGrid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国家级</w:t>
            </w:r>
          </w:p>
        </w:tc>
        <w:tc>
          <w:tcPr>
            <w:tcW w:w="3594" w:type="dxa"/>
            <w:vAlign w:val="center"/>
          </w:tcPr>
          <w:p>
            <w:pPr>
              <w:adjustRightInd w:val="0"/>
              <w:snapToGrid w:val="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《工业和信息化部办公厅关于发布2017年第一批绿色制造示范名单的通知》（工信厅节函〔2017〕491号）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jc w:val="center"/>
        </w:trPr>
        <w:tc>
          <w:tcPr>
            <w:tcW w:w="851" w:type="dxa"/>
            <w:vMerge w:val="continue"/>
            <w:vAlign w:val="center"/>
          </w:tcPr>
          <w:p>
            <w:pPr>
              <w:adjustRightInd w:val="0"/>
              <w:snapToGrid w:val="0"/>
              <w:jc w:val="center"/>
              <w:rPr>
                <w:rFonts w:hint="eastAsia" w:ascii="仿宋_GB2312" w:hAnsi="仿宋_GB2312" w:eastAsia="仿宋_GB2312" w:cs="仿宋_GB2312"/>
                <w:sz w:val="24"/>
                <w:szCs w:val="24"/>
              </w:rPr>
            </w:pPr>
          </w:p>
        </w:tc>
        <w:tc>
          <w:tcPr>
            <w:tcW w:w="2693" w:type="dxa"/>
            <w:vAlign w:val="center"/>
          </w:tcPr>
          <w:p>
            <w:pPr>
              <w:adjustRightInd w:val="0"/>
              <w:snapToGrid w:val="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内蒙古德晟金属制品有限公司</w:t>
            </w:r>
          </w:p>
        </w:tc>
        <w:tc>
          <w:tcPr>
            <w:tcW w:w="1276" w:type="dxa"/>
            <w:vAlign w:val="center"/>
          </w:tcPr>
          <w:p>
            <w:pPr>
              <w:adjustRightInd w:val="0"/>
              <w:snapToGrid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国家级</w:t>
            </w:r>
          </w:p>
        </w:tc>
        <w:tc>
          <w:tcPr>
            <w:tcW w:w="3594" w:type="dxa"/>
            <w:vMerge w:val="restart"/>
            <w:vAlign w:val="center"/>
          </w:tcPr>
          <w:p>
            <w:pPr>
              <w:adjustRightInd w:val="0"/>
              <w:snapToGrid w:val="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《工业和信息化部办公厅关于公布第二批绿色制造名单的通知》（工信厅节函〔2018〕60号）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2" w:hRule="atLeast"/>
          <w:jc w:val="center"/>
        </w:trPr>
        <w:tc>
          <w:tcPr>
            <w:tcW w:w="851" w:type="dxa"/>
            <w:vMerge w:val="continue"/>
            <w:vAlign w:val="center"/>
          </w:tcPr>
          <w:p>
            <w:pPr>
              <w:adjustRightInd w:val="0"/>
              <w:snapToGrid w:val="0"/>
              <w:jc w:val="center"/>
              <w:rPr>
                <w:rFonts w:hint="eastAsia" w:ascii="仿宋_GB2312" w:hAnsi="仿宋_GB2312" w:eastAsia="仿宋_GB2312" w:cs="仿宋_GB2312"/>
                <w:sz w:val="24"/>
                <w:szCs w:val="24"/>
              </w:rPr>
            </w:pPr>
          </w:p>
        </w:tc>
        <w:tc>
          <w:tcPr>
            <w:tcW w:w="2693" w:type="dxa"/>
            <w:vAlign w:val="center"/>
          </w:tcPr>
          <w:p>
            <w:pPr>
              <w:adjustRightInd w:val="0"/>
              <w:snapToGrid w:val="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内蒙古鄂尔多斯资源股份有限公司</w:t>
            </w:r>
          </w:p>
        </w:tc>
        <w:tc>
          <w:tcPr>
            <w:tcW w:w="1276" w:type="dxa"/>
            <w:vAlign w:val="center"/>
          </w:tcPr>
          <w:p>
            <w:pPr>
              <w:adjustRightInd w:val="0"/>
              <w:snapToGrid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国家级</w:t>
            </w:r>
          </w:p>
        </w:tc>
        <w:tc>
          <w:tcPr>
            <w:tcW w:w="3594" w:type="dxa"/>
            <w:vMerge w:val="continue"/>
            <w:vAlign w:val="center"/>
          </w:tcPr>
          <w:p>
            <w:pPr>
              <w:adjustRightInd w:val="0"/>
              <w:snapToGrid w:val="0"/>
              <w:rPr>
                <w:rFonts w:hint="eastAsia"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1" w:type="dxa"/>
            <w:vMerge w:val="continue"/>
            <w:vAlign w:val="center"/>
          </w:tcPr>
          <w:p>
            <w:pPr>
              <w:adjustRightInd w:val="0"/>
              <w:snapToGrid w:val="0"/>
              <w:jc w:val="center"/>
              <w:rPr>
                <w:rFonts w:hint="eastAsia" w:ascii="仿宋_GB2312" w:hAnsi="仿宋_GB2312" w:eastAsia="仿宋_GB2312" w:cs="仿宋_GB2312"/>
                <w:sz w:val="24"/>
                <w:szCs w:val="24"/>
              </w:rPr>
            </w:pPr>
          </w:p>
        </w:tc>
        <w:tc>
          <w:tcPr>
            <w:tcW w:w="2693" w:type="dxa"/>
            <w:vAlign w:val="center"/>
          </w:tcPr>
          <w:p>
            <w:pPr>
              <w:adjustRightInd w:val="0"/>
              <w:snapToGrid w:val="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鄂尔多斯市新杭能源有限公司</w:t>
            </w:r>
          </w:p>
        </w:tc>
        <w:tc>
          <w:tcPr>
            <w:tcW w:w="1276" w:type="dxa"/>
            <w:vAlign w:val="center"/>
          </w:tcPr>
          <w:p>
            <w:pPr>
              <w:adjustRightInd w:val="0"/>
              <w:snapToGrid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国家级</w:t>
            </w:r>
          </w:p>
        </w:tc>
        <w:tc>
          <w:tcPr>
            <w:tcW w:w="3594" w:type="dxa"/>
            <w:vMerge w:val="continue"/>
            <w:vAlign w:val="center"/>
          </w:tcPr>
          <w:p>
            <w:pPr>
              <w:adjustRightInd w:val="0"/>
              <w:snapToGrid w:val="0"/>
              <w:rPr>
                <w:rFonts w:hint="eastAsia"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8" w:hRule="atLeast"/>
          <w:jc w:val="center"/>
        </w:trPr>
        <w:tc>
          <w:tcPr>
            <w:tcW w:w="851" w:type="dxa"/>
            <w:vMerge w:val="continue"/>
            <w:vAlign w:val="center"/>
          </w:tcPr>
          <w:p>
            <w:pPr>
              <w:adjustRightInd w:val="0"/>
              <w:snapToGrid w:val="0"/>
              <w:jc w:val="center"/>
              <w:rPr>
                <w:rFonts w:hint="eastAsia" w:ascii="仿宋_GB2312" w:hAnsi="仿宋_GB2312" w:eastAsia="仿宋_GB2312" w:cs="仿宋_GB2312"/>
                <w:sz w:val="24"/>
                <w:szCs w:val="24"/>
              </w:rPr>
            </w:pPr>
          </w:p>
        </w:tc>
        <w:tc>
          <w:tcPr>
            <w:tcW w:w="2693" w:type="dxa"/>
            <w:vAlign w:val="center"/>
          </w:tcPr>
          <w:p>
            <w:pPr>
              <w:adjustRightInd w:val="0"/>
              <w:snapToGrid w:val="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内蒙古鄂尔多斯电力冶金集团股份有限公司</w:t>
            </w:r>
          </w:p>
          <w:p>
            <w:pPr>
              <w:adjustRightInd w:val="0"/>
              <w:snapToGrid w:val="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氯碱化工分公司</w:t>
            </w:r>
          </w:p>
        </w:tc>
        <w:tc>
          <w:tcPr>
            <w:tcW w:w="1276" w:type="dxa"/>
            <w:vAlign w:val="center"/>
          </w:tcPr>
          <w:p>
            <w:pPr>
              <w:adjustRightInd w:val="0"/>
              <w:snapToGrid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国家级</w:t>
            </w:r>
          </w:p>
        </w:tc>
        <w:tc>
          <w:tcPr>
            <w:tcW w:w="3594" w:type="dxa"/>
            <w:vAlign w:val="center"/>
          </w:tcPr>
          <w:p>
            <w:pPr>
              <w:adjustRightInd w:val="0"/>
              <w:snapToGrid w:val="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《工业和信息化部办公厅关于公布第三批绿色制造名单的通知》（工信厅节函〔2018〕341号）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3" w:hRule="atLeast"/>
          <w:jc w:val="center"/>
        </w:trPr>
        <w:tc>
          <w:tcPr>
            <w:tcW w:w="851" w:type="dxa"/>
            <w:vMerge w:val="continue"/>
            <w:vAlign w:val="center"/>
          </w:tcPr>
          <w:p>
            <w:pPr>
              <w:adjustRightInd w:val="0"/>
              <w:snapToGrid w:val="0"/>
              <w:jc w:val="center"/>
              <w:rPr>
                <w:rFonts w:hint="eastAsia" w:ascii="仿宋_GB2312" w:hAnsi="仿宋_GB2312" w:eastAsia="仿宋_GB2312" w:cs="仿宋_GB2312"/>
                <w:sz w:val="24"/>
                <w:szCs w:val="24"/>
              </w:rPr>
            </w:pPr>
          </w:p>
        </w:tc>
        <w:tc>
          <w:tcPr>
            <w:tcW w:w="2693" w:type="dxa"/>
            <w:vAlign w:val="center"/>
          </w:tcPr>
          <w:p>
            <w:pPr>
              <w:adjustRightInd w:val="0"/>
              <w:snapToGrid w:val="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奇瑞汽车股份有限公司鄂尔多斯分公司</w:t>
            </w:r>
          </w:p>
        </w:tc>
        <w:tc>
          <w:tcPr>
            <w:tcW w:w="1276" w:type="dxa"/>
            <w:vAlign w:val="center"/>
          </w:tcPr>
          <w:p>
            <w:pPr>
              <w:adjustRightInd w:val="0"/>
              <w:snapToGrid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国家级</w:t>
            </w:r>
          </w:p>
        </w:tc>
        <w:tc>
          <w:tcPr>
            <w:tcW w:w="3594" w:type="dxa"/>
            <w:vAlign w:val="center"/>
          </w:tcPr>
          <w:p>
            <w:pPr>
              <w:adjustRightInd w:val="0"/>
              <w:snapToGrid w:val="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《工业和信息化部办公厅关于公布第四批绿色制造名单的通知》（工信厅节函〔2019〕196号）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1" w:type="dxa"/>
            <w:vMerge w:val="continue"/>
            <w:vAlign w:val="center"/>
          </w:tcPr>
          <w:p>
            <w:pPr>
              <w:adjustRightInd w:val="0"/>
              <w:snapToGrid w:val="0"/>
              <w:jc w:val="center"/>
              <w:rPr>
                <w:rFonts w:hint="eastAsia" w:ascii="仿宋_GB2312" w:hAnsi="仿宋_GB2312" w:eastAsia="仿宋_GB2312" w:cs="仿宋_GB2312"/>
                <w:sz w:val="24"/>
                <w:szCs w:val="24"/>
              </w:rPr>
            </w:pPr>
          </w:p>
        </w:tc>
        <w:tc>
          <w:tcPr>
            <w:tcW w:w="2693" w:type="dxa"/>
            <w:vAlign w:val="center"/>
          </w:tcPr>
          <w:p>
            <w:pPr>
              <w:adjustRightInd w:val="0"/>
              <w:snapToGrid w:val="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内蒙古亿利制药有限公司</w:t>
            </w:r>
          </w:p>
        </w:tc>
        <w:tc>
          <w:tcPr>
            <w:tcW w:w="1276" w:type="dxa"/>
            <w:vAlign w:val="center"/>
          </w:tcPr>
          <w:p>
            <w:pPr>
              <w:adjustRightInd w:val="0"/>
              <w:snapToGrid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国家级</w:t>
            </w:r>
          </w:p>
        </w:tc>
        <w:tc>
          <w:tcPr>
            <w:tcW w:w="3594" w:type="dxa"/>
            <w:vMerge w:val="restart"/>
            <w:vAlign w:val="center"/>
          </w:tcPr>
          <w:p>
            <w:pPr>
              <w:adjustRightInd w:val="0"/>
              <w:snapToGrid w:val="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《工业和信息化部办公厅关于公布第五批绿色制造名单的通知》（工信厅节函〔2020〕246号）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1" w:type="dxa"/>
            <w:vMerge w:val="continue"/>
            <w:vAlign w:val="center"/>
          </w:tcPr>
          <w:p>
            <w:pPr>
              <w:adjustRightInd w:val="0"/>
              <w:snapToGrid w:val="0"/>
              <w:jc w:val="center"/>
              <w:rPr>
                <w:rFonts w:hint="eastAsia" w:ascii="仿宋_GB2312" w:hAnsi="仿宋_GB2312" w:eastAsia="仿宋_GB2312" w:cs="仿宋_GB2312"/>
                <w:sz w:val="24"/>
                <w:szCs w:val="24"/>
              </w:rPr>
            </w:pPr>
          </w:p>
        </w:tc>
        <w:tc>
          <w:tcPr>
            <w:tcW w:w="2693" w:type="dxa"/>
            <w:vAlign w:val="center"/>
          </w:tcPr>
          <w:p>
            <w:pPr>
              <w:adjustRightInd w:val="0"/>
              <w:snapToGrid w:val="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内蒙古博大实地化学有限公司</w:t>
            </w:r>
          </w:p>
        </w:tc>
        <w:tc>
          <w:tcPr>
            <w:tcW w:w="1276" w:type="dxa"/>
            <w:vAlign w:val="center"/>
          </w:tcPr>
          <w:p>
            <w:pPr>
              <w:adjustRightInd w:val="0"/>
              <w:snapToGrid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国家级</w:t>
            </w:r>
          </w:p>
        </w:tc>
        <w:tc>
          <w:tcPr>
            <w:tcW w:w="3594" w:type="dxa"/>
            <w:vMerge w:val="continue"/>
            <w:vAlign w:val="center"/>
          </w:tcPr>
          <w:p>
            <w:pPr>
              <w:adjustRightInd w:val="0"/>
              <w:snapToGrid w:val="0"/>
              <w:rPr>
                <w:rFonts w:hint="eastAsia"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1" w:type="dxa"/>
            <w:vMerge w:val="continue"/>
            <w:vAlign w:val="center"/>
          </w:tcPr>
          <w:p>
            <w:pPr>
              <w:adjustRightInd w:val="0"/>
              <w:snapToGrid w:val="0"/>
              <w:jc w:val="center"/>
              <w:rPr>
                <w:rFonts w:hint="eastAsia" w:ascii="仿宋_GB2312" w:hAnsi="仿宋_GB2312" w:eastAsia="仿宋_GB2312" w:cs="仿宋_GB2312"/>
                <w:sz w:val="24"/>
                <w:szCs w:val="24"/>
              </w:rPr>
            </w:pPr>
          </w:p>
        </w:tc>
        <w:tc>
          <w:tcPr>
            <w:tcW w:w="2693" w:type="dxa"/>
            <w:vAlign w:val="center"/>
          </w:tcPr>
          <w:p>
            <w:pPr>
              <w:adjustRightInd w:val="0"/>
              <w:snapToGrid w:val="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内蒙古亿利冀东水泥有限责任公司</w:t>
            </w:r>
          </w:p>
        </w:tc>
        <w:tc>
          <w:tcPr>
            <w:tcW w:w="1276" w:type="dxa"/>
            <w:vAlign w:val="center"/>
          </w:tcPr>
          <w:p>
            <w:pPr>
              <w:adjustRightInd w:val="0"/>
              <w:snapToGrid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国家级</w:t>
            </w:r>
          </w:p>
        </w:tc>
        <w:tc>
          <w:tcPr>
            <w:tcW w:w="3594" w:type="dxa"/>
            <w:vMerge w:val="continue"/>
            <w:vAlign w:val="center"/>
          </w:tcPr>
          <w:p>
            <w:pPr>
              <w:adjustRightInd w:val="0"/>
              <w:snapToGrid w:val="0"/>
              <w:rPr>
                <w:rFonts w:hint="eastAsia"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1" w:type="dxa"/>
            <w:vMerge w:val="continue"/>
            <w:vAlign w:val="center"/>
          </w:tcPr>
          <w:p>
            <w:pPr>
              <w:adjustRightInd w:val="0"/>
              <w:snapToGrid w:val="0"/>
              <w:jc w:val="center"/>
              <w:rPr>
                <w:rFonts w:hint="eastAsia" w:ascii="仿宋_GB2312" w:hAnsi="仿宋_GB2312" w:eastAsia="仿宋_GB2312" w:cs="仿宋_GB2312"/>
                <w:sz w:val="24"/>
                <w:szCs w:val="24"/>
              </w:rPr>
            </w:pPr>
          </w:p>
        </w:tc>
        <w:tc>
          <w:tcPr>
            <w:tcW w:w="2693" w:type="dxa"/>
            <w:vAlign w:val="center"/>
          </w:tcPr>
          <w:p>
            <w:pPr>
              <w:adjustRightInd w:val="0"/>
              <w:snapToGrid w:val="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内蒙古新创资源再生有限公司</w:t>
            </w:r>
          </w:p>
        </w:tc>
        <w:tc>
          <w:tcPr>
            <w:tcW w:w="1276" w:type="dxa"/>
            <w:vAlign w:val="center"/>
          </w:tcPr>
          <w:p>
            <w:pPr>
              <w:adjustRightInd w:val="0"/>
              <w:snapToGrid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自治区级</w:t>
            </w:r>
          </w:p>
        </w:tc>
        <w:tc>
          <w:tcPr>
            <w:tcW w:w="3594" w:type="dxa"/>
            <w:vAlign w:val="center"/>
          </w:tcPr>
          <w:p>
            <w:pPr>
              <w:adjustRightInd w:val="0"/>
              <w:snapToGrid w:val="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《内蒙古自治区经济和信息化委员会关于公布内蒙古自治区第二批绿色制造示范名单的通知》（内经信节综字〔2018〕493号）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1" w:type="dxa"/>
            <w:vMerge w:val="continue"/>
            <w:vAlign w:val="center"/>
          </w:tcPr>
          <w:p>
            <w:pPr>
              <w:adjustRightInd w:val="0"/>
              <w:snapToGrid w:val="0"/>
              <w:jc w:val="center"/>
              <w:rPr>
                <w:rFonts w:hint="eastAsia" w:ascii="仿宋_GB2312" w:hAnsi="仿宋_GB2312" w:eastAsia="仿宋_GB2312" w:cs="仿宋_GB2312"/>
                <w:sz w:val="24"/>
                <w:szCs w:val="24"/>
              </w:rPr>
            </w:pPr>
          </w:p>
        </w:tc>
        <w:tc>
          <w:tcPr>
            <w:tcW w:w="2693" w:type="dxa"/>
            <w:vAlign w:val="center"/>
          </w:tcPr>
          <w:p>
            <w:pPr>
              <w:adjustRightInd w:val="0"/>
              <w:snapToGrid w:val="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内蒙古蒙西水泥股份有限公司</w:t>
            </w:r>
          </w:p>
        </w:tc>
        <w:tc>
          <w:tcPr>
            <w:tcW w:w="1276" w:type="dxa"/>
            <w:vAlign w:val="center"/>
          </w:tcPr>
          <w:p>
            <w:pPr>
              <w:adjustRightInd w:val="0"/>
              <w:snapToGrid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自治区级</w:t>
            </w:r>
          </w:p>
        </w:tc>
        <w:tc>
          <w:tcPr>
            <w:tcW w:w="3594" w:type="dxa"/>
            <w:vMerge w:val="restart"/>
            <w:vAlign w:val="center"/>
          </w:tcPr>
          <w:p>
            <w:pPr>
              <w:adjustRightInd w:val="0"/>
              <w:snapToGrid w:val="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《内蒙古自治区工业和信息化厅关于公布2019年绿色制造示范名单的通知》（内工信节综字〔2019〕414号）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1" w:type="dxa"/>
            <w:vMerge w:val="continue"/>
            <w:vAlign w:val="center"/>
          </w:tcPr>
          <w:p>
            <w:pPr>
              <w:adjustRightInd w:val="0"/>
              <w:snapToGrid w:val="0"/>
              <w:jc w:val="center"/>
              <w:rPr>
                <w:rFonts w:hint="eastAsia" w:ascii="仿宋_GB2312" w:hAnsi="仿宋_GB2312" w:eastAsia="仿宋_GB2312" w:cs="仿宋_GB2312"/>
                <w:sz w:val="24"/>
                <w:szCs w:val="24"/>
              </w:rPr>
            </w:pPr>
          </w:p>
        </w:tc>
        <w:tc>
          <w:tcPr>
            <w:tcW w:w="2693" w:type="dxa"/>
            <w:vAlign w:val="center"/>
          </w:tcPr>
          <w:p>
            <w:pPr>
              <w:adjustRightInd w:val="0"/>
              <w:snapToGrid w:val="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内蒙古中谷矿业有限责任公司</w:t>
            </w:r>
          </w:p>
        </w:tc>
        <w:tc>
          <w:tcPr>
            <w:tcW w:w="1276" w:type="dxa"/>
            <w:vAlign w:val="center"/>
          </w:tcPr>
          <w:p>
            <w:pPr>
              <w:adjustRightInd w:val="0"/>
              <w:snapToGrid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自治区级</w:t>
            </w:r>
          </w:p>
        </w:tc>
        <w:tc>
          <w:tcPr>
            <w:tcW w:w="3594" w:type="dxa"/>
            <w:vMerge w:val="continue"/>
            <w:vAlign w:val="center"/>
          </w:tcPr>
          <w:p>
            <w:pPr>
              <w:adjustRightInd w:val="0"/>
              <w:snapToGrid w:val="0"/>
              <w:rPr>
                <w:rFonts w:hint="eastAsia"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1" w:type="dxa"/>
            <w:vMerge w:val="continue"/>
            <w:vAlign w:val="center"/>
          </w:tcPr>
          <w:p>
            <w:pPr>
              <w:adjustRightInd w:val="0"/>
              <w:snapToGrid w:val="0"/>
              <w:jc w:val="center"/>
              <w:rPr>
                <w:rFonts w:hint="eastAsia" w:ascii="仿宋_GB2312" w:hAnsi="仿宋_GB2312" w:eastAsia="仿宋_GB2312" w:cs="仿宋_GB2312"/>
                <w:sz w:val="24"/>
                <w:szCs w:val="24"/>
              </w:rPr>
            </w:pPr>
          </w:p>
        </w:tc>
        <w:tc>
          <w:tcPr>
            <w:tcW w:w="2693" w:type="dxa"/>
            <w:vAlign w:val="center"/>
          </w:tcPr>
          <w:p>
            <w:pPr>
              <w:adjustRightInd w:val="0"/>
              <w:snapToGrid w:val="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瑞隆汽车动力有限公司</w:t>
            </w:r>
          </w:p>
        </w:tc>
        <w:tc>
          <w:tcPr>
            <w:tcW w:w="1276" w:type="dxa"/>
            <w:vAlign w:val="center"/>
          </w:tcPr>
          <w:p>
            <w:pPr>
              <w:adjustRightInd w:val="0"/>
              <w:snapToGrid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自治区级</w:t>
            </w:r>
          </w:p>
        </w:tc>
        <w:tc>
          <w:tcPr>
            <w:tcW w:w="3594" w:type="dxa"/>
            <w:vMerge w:val="restart"/>
            <w:vAlign w:val="center"/>
          </w:tcPr>
          <w:p>
            <w:pPr>
              <w:adjustRightInd w:val="0"/>
              <w:snapToGrid w:val="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《内蒙古自治区工业和信息化厅关于公布2020年绿色制造示范名单的通知》（内工信节综字〔2020〕223号）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1" w:type="dxa"/>
            <w:vMerge w:val="continue"/>
            <w:vAlign w:val="center"/>
          </w:tcPr>
          <w:p>
            <w:pPr>
              <w:adjustRightInd w:val="0"/>
              <w:snapToGrid w:val="0"/>
              <w:jc w:val="center"/>
              <w:rPr>
                <w:rFonts w:hint="eastAsia" w:ascii="仿宋_GB2312" w:hAnsi="仿宋_GB2312" w:eastAsia="仿宋_GB2312" w:cs="仿宋_GB2312"/>
                <w:sz w:val="24"/>
                <w:szCs w:val="24"/>
              </w:rPr>
            </w:pPr>
          </w:p>
        </w:tc>
        <w:tc>
          <w:tcPr>
            <w:tcW w:w="2693" w:type="dxa"/>
            <w:vAlign w:val="center"/>
          </w:tcPr>
          <w:p>
            <w:pPr>
              <w:adjustRightInd w:val="0"/>
              <w:snapToGrid w:val="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亿利洁能股份有限公司达拉特分公司</w:t>
            </w:r>
          </w:p>
        </w:tc>
        <w:tc>
          <w:tcPr>
            <w:tcW w:w="1276" w:type="dxa"/>
            <w:vAlign w:val="center"/>
          </w:tcPr>
          <w:p>
            <w:pPr>
              <w:adjustRightInd w:val="0"/>
              <w:snapToGrid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自治区级</w:t>
            </w:r>
          </w:p>
        </w:tc>
        <w:tc>
          <w:tcPr>
            <w:tcW w:w="3594" w:type="dxa"/>
            <w:vMerge w:val="continue"/>
            <w:vAlign w:val="center"/>
          </w:tcPr>
          <w:p>
            <w:pPr>
              <w:adjustRightInd w:val="0"/>
              <w:snapToGrid w:val="0"/>
              <w:rPr>
                <w:rFonts w:hint="eastAsia"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1" w:type="dxa"/>
            <w:vMerge w:val="continue"/>
            <w:vAlign w:val="center"/>
          </w:tcPr>
          <w:p>
            <w:pPr>
              <w:adjustRightInd w:val="0"/>
              <w:snapToGrid w:val="0"/>
              <w:jc w:val="center"/>
              <w:rPr>
                <w:rFonts w:hint="eastAsia" w:ascii="仿宋_GB2312" w:hAnsi="仿宋_GB2312" w:eastAsia="仿宋_GB2312" w:cs="仿宋_GB2312"/>
                <w:sz w:val="24"/>
                <w:szCs w:val="24"/>
              </w:rPr>
            </w:pPr>
          </w:p>
        </w:tc>
        <w:tc>
          <w:tcPr>
            <w:tcW w:w="2693" w:type="dxa"/>
            <w:vAlign w:val="center"/>
          </w:tcPr>
          <w:p>
            <w:pPr>
              <w:adjustRightInd w:val="0"/>
              <w:snapToGrid w:val="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鄂尔多斯市君正能源化工有限公司</w:t>
            </w:r>
          </w:p>
        </w:tc>
        <w:tc>
          <w:tcPr>
            <w:tcW w:w="1276" w:type="dxa"/>
            <w:vAlign w:val="center"/>
          </w:tcPr>
          <w:p>
            <w:pPr>
              <w:adjustRightInd w:val="0"/>
              <w:snapToGrid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自治区级</w:t>
            </w:r>
          </w:p>
        </w:tc>
        <w:tc>
          <w:tcPr>
            <w:tcW w:w="3594" w:type="dxa"/>
            <w:vMerge w:val="continue"/>
            <w:vAlign w:val="center"/>
          </w:tcPr>
          <w:p>
            <w:pPr>
              <w:adjustRightInd w:val="0"/>
              <w:snapToGrid w:val="0"/>
              <w:rPr>
                <w:rFonts w:hint="eastAsia"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1" w:type="dxa"/>
            <w:vMerge w:val="restart"/>
            <w:vAlign w:val="center"/>
          </w:tcPr>
          <w:p>
            <w:pPr>
              <w:adjustRightInd w:val="0"/>
              <w:snapToGrid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绿色产品</w:t>
            </w:r>
          </w:p>
        </w:tc>
        <w:tc>
          <w:tcPr>
            <w:tcW w:w="2693" w:type="dxa"/>
            <w:vAlign w:val="center"/>
          </w:tcPr>
          <w:p>
            <w:pPr>
              <w:adjustRightInd w:val="0"/>
              <w:snapToGrid w:val="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内蒙古鄂尔多斯资源股份有限公司羊绒针织制品</w:t>
            </w:r>
          </w:p>
        </w:tc>
        <w:tc>
          <w:tcPr>
            <w:tcW w:w="1276" w:type="dxa"/>
            <w:vAlign w:val="center"/>
          </w:tcPr>
          <w:p>
            <w:pPr>
              <w:adjustRightInd w:val="0"/>
              <w:snapToGrid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国家级</w:t>
            </w:r>
          </w:p>
        </w:tc>
        <w:tc>
          <w:tcPr>
            <w:tcW w:w="3594" w:type="dxa"/>
            <w:vMerge w:val="restart"/>
            <w:vAlign w:val="center"/>
          </w:tcPr>
          <w:p>
            <w:pPr>
              <w:adjustRightInd w:val="0"/>
              <w:snapToGrid w:val="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《工业和信息化部办公厅关于公布第二批绿色制造名单的通知》（工信厅节函〔2018〕60号）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1" w:type="dxa"/>
            <w:vMerge w:val="continue"/>
            <w:vAlign w:val="center"/>
          </w:tcPr>
          <w:p>
            <w:pPr>
              <w:adjustRightInd w:val="0"/>
              <w:snapToGrid w:val="0"/>
              <w:jc w:val="center"/>
              <w:rPr>
                <w:rFonts w:hint="eastAsia" w:ascii="仿宋_GB2312" w:hAnsi="仿宋_GB2312" w:eastAsia="仿宋_GB2312" w:cs="仿宋_GB2312"/>
                <w:sz w:val="24"/>
                <w:szCs w:val="24"/>
              </w:rPr>
            </w:pPr>
          </w:p>
        </w:tc>
        <w:tc>
          <w:tcPr>
            <w:tcW w:w="2693" w:type="dxa"/>
            <w:vAlign w:val="center"/>
          </w:tcPr>
          <w:p>
            <w:pPr>
              <w:adjustRightInd w:val="0"/>
              <w:snapToGrid w:val="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内蒙古鄂尔多斯资源股份有限公司羊绒针织纱线</w:t>
            </w:r>
          </w:p>
        </w:tc>
        <w:tc>
          <w:tcPr>
            <w:tcW w:w="1276" w:type="dxa"/>
            <w:vAlign w:val="center"/>
          </w:tcPr>
          <w:p>
            <w:pPr>
              <w:adjustRightInd w:val="0"/>
              <w:snapToGrid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国家级</w:t>
            </w:r>
          </w:p>
        </w:tc>
        <w:tc>
          <w:tcPr>
            <w:tcW w:w="3594" w:type="dxa"/>
            <w:vMerge w:val="continue"/>
            <w:vAlign w:val="center"/>
          </w:tcPr>
          <w:p>
            <w:pPr>
              <w:adjustRightInd w:val="0"/>
              <w:snapToGrid w:val="0"/>
              <w:rPr>
                <w:rFonts w:hint="eastAsia"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1" w:type="dxa"/>
            <w:vMerge w:val="continue"/>
            <w:vAlign w:val="center"/>
          </w:tcPr>
          <w:p>
            <w:pPr>
              <w:adjustRightInd w:val="0"/>
              <w:snapToGrid w:val="0"/>
              <w:jc w:val="center"/>
              <w:rPr>
                <w:rFonts w:hint="eastAsia" w:ascii="仿宋_GB2312" w:hAnsi="仿宋_GB2312" w:eastAsia="仿宋_GB2312" w:cs="仿宋_GB2312"/>
                <w:sz w:val="24"/>
                <w:szCs w:val="24"/>
              </w:rPr>
            </w:pPr>
          </w:p>
        </w:tc>
        <w:tc>
          <w:tcPr>
            <w:tcW w:w="2693" w:type="dxa"/>
            <w:vAlign w:val="center"/>
          </w:tcPr>
          <w:p>
            <w:pPr>
              <w:adjustRightInd w:val="0"/>
              <w:snapToGrid w:val="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内蒙古鄂尔多斯多晶硅业有限公司多晶硅产品</w:t>
            </w:r>
          </w:p>
        </w:tc>
        <w:tc>
          <w:tcPr>
            <w:tcW w:w="1276" w:type="dxa"/>
            <w:vAlign w:val="center"/>
          </w:tcPr>
          <w:p>
            <w:pPr>
              <w:adjustRightInd w:val="0"/>
              <w:snapToGrid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国家级</w:t>
            </w:r>
          </w:p>
        </w:tc>
        <w:tc>
          <w:tcPr>
            <w:tcW w:w="3594" w:type="dxa"/>
            <w:vAlign w:val="center"/>
          </w:tcPr>
          <w:p>
            <w:pPr>
              <w:adjustRightInd w:val="0"/>
              <w:snapToGrid w:val="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《工业和信息化部办公厅关于公布第五批绿色制造名单的通知》（工信厅节函〔2020〕246号）</w:t>
            </w:r>
          </w:p>
        </w:tc>
      </w:tr>
    </w:tbl>
    <w:p>
      <w:pPr>
        <w:pStyle w:val="4"/>
        <w:spacing w:before="0" w:after="0" w:line="360" w:lineRule="auto"/>
        <w:ind w:firstLine="640" w:firstLineChars="200"/>
        <w:rPr>
          <w:rStyle w:val="47"/>
          <w:b w:val="0"/>
          <w:bCs w:val="0"/>
          <w:color w:val="auto"/>
        </w:rPr>
      </w:pPr>
      <w:r>
        <w:rPr>
          <w:rStyle w:val="47"/>
          <w:b w:val="0"/>
          <w:bCs w:val="0"/>
          <w:color w:val="auto"/>
        </w:rPr>
        <w:t>四、园区配套设施逐步完善</w:t>
      </w:r>
    </w:p>
    <w:p>
      <w:pPr>
        <w:spacing w:line="560" w:lineRule="exact"/>
        <w:ind w:firstLine="640" w:firstLineChars="200"/>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全市已建立工业园区基础设施建设项目储备库，统筹完善园区基础设施建设，提高园区承载力。截至2020年底，全市园区基础设施累计投入超900亿元，用于补齐园区污水处理、灰渣场建设、道路、管网等基础设施短板，工业园区产业承载能力进一步提升。</w:t>
      </w:r>
    </w:p>
    <w:p>
      <w:pPr>
        <w:spacing w:line="560" w:lineRule="exact"/>
        <w:jc w:val="center"/>
        <w:rPr>
          <w:rFonts w:hint="eastAsia" w:ascii="黑体" w:hAnsi="黑体" w:eastAsia="黑体" w:cs="黑体"/>
          <w:sz w:val="28"/>
          <w:szCs w:val="28"/>
        </w:rPr>
      </w:pPr>
      <w:r>
        <w:rPr>
          <w:rFonts w:hint="eastAsia" w:ascii="黑体" w:hAnsi="黑体" w:eastAsia="黑体" w:cs="黑体"/>
          <w:sz w:val="28"/>
          <w:szCs w:val="28"/>
        </w:rPr>
        <w:t>表1-3</w:t>
      </w:r>
      <w:r>
        <w:rPr>
          <w:rFonts w:hint="eastAsia" w:ascii="黑体" w:hAnsi="黑体" w:eastAsia="黑体" w:cs="黑体"/>
          <w:sz w:val="28"/>
          <w:szCs w:val="28"/>
          <w:lang w:val="en-US" w:eastAsia="zh-CN"/>
        </w:rPr>
        <w:t xml:space="preserve"> </w:t>
      </w:r>
      <w:r>
        <w:rPr>
          <w:rFonts w:hint="eastAsia" w:ascii="黑体" w:hAnsi="黑体" w:eastAsia="黑体" w:cs="黑体"/>
          <w:sz w:val="28"/>
          <w:szCs w:val="28"/>
        </w:rPr>
        <w:t>鄂尔多斯市工业园区环保设施配套情况</w:t>
      </w:r>
    </w:p>
    <w:tbl>
      <w:tblPr>
        <w:tblStyle w:val="2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64"/>
        <w:gridCol w:w="2401"/>
        <w:gridCol w:w="2548"/>
        <w:gridCol w:w="24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blHeader/>
          <w:jc w:val="center"/>
        </w:trPr>
        <w:tc>
          <w:tcPr>
            <w:tcW w:w="918" w:type="pct"/>
            <w:vAlign w:val="center"/>
          </w:tcPr>
          <w:p>
            <w:pPr>
              <w:adjustRightInd w:val="0"/>
              <w:snapToGrid w:val="0"/>
              <w:jc w:val="center"/>
              <w:rPr>
                <w:rFonts w:hint="eastAsia" w:ascii="黑体" w:hAnsi="黑体" w:eastAsia="黑体" w:cs="黑体"/>
                <w:b w:val="0"/>
                <w:bCs w:val="0"/>
                <w:sz w:val="24"/>
                <w:szCs w:val="24"/>
              </w:rPr>
            </w:pPr>
            <w:r>
              <w:rPr>
                <w:rFonts w:hint="eastAsia" w:ascii="黑体" w:hAnsi="黑体" w:eastAsia="黑体" w:cs="黑体"/>
                <w:b w:val="0"/>
                <w:bCs w:val="0"/>
                <w:sz w:val="24"/>
                <w:szCs w:val="24"/>
              </w:rPr>
              <w:t>园区名称</w:t>
            </w:r>
          </w:p>
        </w:tc>
        <w:tc>
          <w:tcPr>
            <w:tcW w:w="1325" w:type="pct"/>
            <w:vAlign w:val="center"/>
          </w:tcPr>
          <w:p>
            <w:pPr>
              <w:adjustRightInd w:val="0"/>
              <w:snapToGrid w:val="0"/>
              <w:jc w:val="center"/>
              <w:rPr>
                <w:rFonts w:hint="eastAsia" w:ascii="黑体" w:hAnsi="黑体" w:eastAsia="黑体" w:cs="黑体"/>
                <w:b w:val="0"/>
                <w:bCs w:val="0"/>
                <w:sz w:val="24"/>
                <w:szCs w:val="24"/>
              </w:rPr>
            </w:pPr>
            <w:r>
              <w:rPr>
                <w:rFonts w:hint="eastAsia" w:ascii="黑体" w:hAnsi="黑体" w:eastAsia="黑体" w:cs="黑体"/>
                <w:b w:val="0"/>
                <w:bCs w:val="0"/>
                <w:sz w:val="24"/>
                <w:szCs w:val="24"/>
              </w:rPr>
              <w:t>固废渣场建设情况</w:t>
            </w:r>
          </w:p>
        </w:tc>
        <w:tc>
          <w:tcPr>
            <w:tcW w:w="1406" w:type="pct"/>
            <w:vAlign w:val="center"/>
          </w:tcPr>
          <w:p>
            <w:pPr>
              <w:adjustRightInd w:val="0"/>
              <w:snapToGrid w:val="0"/>
              <w:jc w:val="center"/>
              <w:rPr>
                <w:rFonts w:hint="eastAsia" w:ascii="黑体" w:hAnsi="黑体" w:eastAsia="黑体" w:cs="黑体"/>
                <w:b w:val="0"/>
                <w:bCs w:val="0"/>
                <w:sz w:val="24"/>
                <w:szCs w:val="24"/>
              </w:rPr>
            </w:pPr>
            <w:r>
              <w:rPr>
                <w:rFonts w:hint="eastAsia" w:ascii="黑体" w:hAnsi="黑体" w:eastAsia="黑体" w:cs="黑体"/>
                <w:b w:val="0"/>
                <w:bCs w:val="0"/>
                <w:sz w:val="24"/>
                <w:szCs w:val="24"/>
              </w:rPr>
              <w:t>污水处理厂建设情况</w:t>
            </w:r>
          </w:p>
        </w:tc>
        <w:tc>
          <w:tcPr>
            <w:tcW w:w="1351" w:type="pct"/>
            <w:vAlign w:val="center"/>
          </w:tcPr>
          <w:p>
            <w:pPr>
              <w:adjustRightInd w:val="0"/>
              <w:snapToGrid w:val="0"/>
              <w:jc w:val="center"/>
              <w:rPr>
                <w:rFonts w:hint="eastAsia" w:ascii="黑体" w:hAnsi="黑体" w:eastAsia="黑体" w:cs="黑体"/>
                <w:b w:val="0"/>
                <w:bCs w:val="0"/>
                <w:sz w:val="24"/>
                <w:szCs w:val="24"/>
              </w:rPr>
            </w:pPr>
            <w:r>
              <w:rPr>
                <w:rFonts w:hint="eastAsia" w:ascii="黑体" w:hAnsi="黑体" w:eastAsia="黑体" w:cs="黑体"/>
                <w:b w:val="0"/>
                <w:bCs w:val="0"/>
                <w:sz w:val="24"/>
                <w:szCs w:val="24"/>
              </w:rPr>
              <w:t>集中供热建设情况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11" w:hRule="atLeast"/>
          <w:jc w:val="center"/>
        </w:trPr>
        <w:tc>
          <w:tcPr>
            <w:tcW w:w="918" w:type="pct"/>
            <w:vAlign w:val="center"/>
          </w:tcPr>
          <w:p>
            <w:pPr>
              <w:widowControl/>
              <w:snapToGrid w:val="0"/>
              <w:rPr>
                <w:rFonts w:hint="eastAsia" w:ascii="仿宋_GB2312" w:hAnsi="仿宋_GB2312" w:eastAsia="仿宋_GB2312" w:cs="仿宋_GB2312"/>
                <w:bCs/>
                <w:kern w:val="0"/>
                <w:sz w:val="24"/>
                <w:szCs w:val="24"/>
              </w:rPr>
            </w:pPr>
            <w:r>
              <w:rPr>
                <w:rFonts w:hint="eastAsia" w:ascii="仿宋_GB2312" w:hAnsi="仿宋_GB2312" w:eastAsia="仿宋_GB2312" w:cs="仿宋_GB2312"/>
                <w:bCs/>
                <w:kern w:val="0"/>
                <w:sz w:val="24"/>
                <w:szCs w:val="24"/>
              </w:rPr>
              <w:t>鄂尔多斯高新技术产业开发区</w:t>
            </w:r>
          </w:p>
        </w:tc>
        <w:tc>
          <w:tcPr>
            <w:tcW w:w="1325" w:type="pct"/>
            <w:vAlign w:val="center"/>
          </w:tcPr>
          <w:p>
            <w:pPr>
              <w:adjustRightInd w:val="0"/>
              <w:snapToGrid w:val="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园区无需建设固废渣场，园区京能热电厂1家企业产生固体废渣，企业自建渣场处理。</w:t>
            </w:r>
          </w:p>
        </w:tc>
        <w:tc>
          <w:tcPr>
            <w:tcW w:w="1406" w:type="pct"/>
            <w:vAlign w:val="center"/>
          </w:tcPr>
          <w:p>
            <w:pPr>
              <w:adjustRightInd w:val="0"/>
              <w:snapToGrid w:val="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目前园区未建立污水处理厂，园区生活污水依托康巴什污水处理厂处理，可以满足园区污水处理需求。</w:t>
            </w:r>
          </w:p>
        </w:tc>
        <w:tc>
          <w:tcPr>
            <w:tcW w:w="1351" w:type="pct"/>
            <w:vAlign w:val="center"/>
          </w:tcPr>
          <w:p>
            <w:pPr>
              <w:adjustRightInd w:val="0"/>
              <w:snapToGrid w:val="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依托装备制造基地巨鼎热源厂集中供热。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57" w:hRule="atLeast"/>
          <w:jc w:val="center"/>
        </w:trPr>
        <w:tc>
          <w:tcPr>
            <w:tcW w:w="918" w:type="pct"/>
            <w:vAlign w:val="center"/>
          </w:tcPr>
          <w:p>
            <w:pPr>
              <w:widowControl/>
              <w:snapToGrid w:val="0"/>
              <w:rPr>
                <w:rFonts w:hint="eastAsia" w:ascii="仿宋_GB2312" w:hAnsi="仿宋_GB2312" w:eastAsia="仿宋_GB2312" w:cs="仿宋_GB2312"/>
                <w:bCs/>
                <w:kern w:val="0"/>
                <w:sz w:val="24"/>
                <w:szCs w:val="24"/>
              </w:rPr>
            </w:pPr>
            <w:r>
              <w:rPr>
                <w:rFonts w:hint="eastAsia" w:ascii="仿宋_GB2312" w:hAnsi="仿宋_GB2312" w:eastAsia="仿宋_GB2312" w:cs="仿宋_GB2312"/>
                <w:bCs/>
                <w:kern w:val="0"/>
                <w:sz w:val="24"/>
                <w:szCs w:val="24"/>
              </w:rPr>
              <w:t>鄂尔多斯装备制造工业园区</w:t>
            </w:r>
          </w:p>
        </w:tc>
        <w:tc>
          <w:tcPr>
            <w:tcW w:w="1325" w:type="pct"/>
            <w:vAlign w:val="center"/>
          </w:tcPr>
          <w:p>
            <w:pPr>
              <w:adjustRightInd w:val="0"/>
              <w:snapToGrid w:val="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建成废渣临时储存厂1个。</w:t>
            </w:r>
          </w:p>
        </w:tc>
        <w:tc>
          <w:tcPr>
            <w:tcW w:w="1406" w:type="pct"/>
            <w:vAlign w:val="center"/>
          </w:tcPr>
          <w:p>
            <w:pPr>
              <w:adjustRightInd w:val="0"/>
              <w:snapToGrid w:val="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建成污水处理厂1座。</w:t>
            </w:r>
          </w:p>
        </w:tc>
        <w:tc>
          <w:tcPr>
            <w:tcW w:w="1351" w:type="pct"/>
            <w:vAlign w:val="center"/>
          </w:tcPr>
          <w:p>
            <w:pPr>
              <w:adjustRightInd w:val="0"/>
              <w:snapToGrid w:val="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建成装备制造基地巨鼎热源厂1座。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91" w:hRule="atLeast"/>
          <w:jc w:val="center"/>
        </w:trPr>
        <w:tc>
          <w:tcPr>
            <w:tcW w:w="918" w:type="pct"/>
            <w:vAlign w:val="center"/>
          </w:tcPr>
          <w:p>
            <w:pPr>
              <w:widowControl/>
              <w:snapToGrid w:val="0"/>
              <w:jc w:val="left"/>
              <w:rPr>
                <w:rFonts w:hint="eastAsia" w:ascii="仿宋_GB2312" w:hAnsi="仿宋_GB2312" w:eastAsia="仿宋_GB2312" w:cs="仿宋_GB2312"/>
                <w:bCs/>
                <w:kern w:val="0"/>
                <w:sz w:val="24"/>
                <w:szCs w:val="24"/>
              </w:rPr>
            </w:pPr>
            <w:r>
              <w:rPr>
                <w:rFonts w:hint="eastAsia" w:ascii="仿宋_GB2312" w:hAnsi="仿宋_GB2312" w:eastAsia="仿宋_GB2312" w:cs="仿宋_GB2312"/>
                <w:bCs/>
                <w:kern w:val="0"/>
                <w:sz w:val="24"/>
                <w:szCs w:val="24"/>
              </w:rPr>
              <w:t>东胜经济科教（轻纺工业）园区</w:t>
            </w:r>
          </w:p>
        </w:tc>
        <w:tc>
          <w:tcPr>
            <w:tcW w:w="1325" w:type="pct"/>
            <w:vAlign w:val="center"/>
          </w:tcPr>
          <w:p>
            <w:pPr>
              <w:adjustRightInd w:val="0"/>
              <w:snapToGrid w:val="0"/>
              <w:rPr>
                <w:rFonts w:hint="eastAsia" w:ascii="仿宋_GB2312" w:hAnsi="仿宋_GB2312" w:eastAsia="仿宋_GB2312" w:cs="仿宋_GB2312"/>
                <w:sz w:val="24"/>
                <w:szCs w:val="24"/>
              </w:rPr>
            </w:pPr>
            <w:r>
              <w:rPr>
                <w:rFonts w:hint="eastAsia" w:ascii="仿宋_GB2312" w:hAnsi="仿宋_GB2312" w:eastAsia="仿宋_GB2312" w:cs="仿宋_GB2312"/>
              </w:rPr>
              <w:t>园区无需建设固废渣场，鄂尔多斯热电有限责任公司1家企业产生灰渣，热电厂自建灰渣场处理。</w:t>
            </w:r>
          </w:p>
        </w:tc>
        <w:tc>
          <w:tcPr>
            <w:tcW w:w="1406" w:type="pct"/>
            <w:vAlign w:val="center"/>
          </w:tcPr>
          <w:p>
            <w:pPr>
              <w:adjustRightInd w:val="0"/>
              <w:snapToGrid w:val="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建成污水处理厂1座。</w:t>
            </w:r>
          </w:p>
        </w:tc>
        <w:tc>
          <w:tcPr>
            <w:tcW w:w="1351" w:type="pct"/>
            <w:vAlign w:val="center"/>
          </w:tcPr>
          <w:p>
            <w:pPr>
              <w:adjustRightInd w:val="0"/>
              <w:snapToGrid w:val="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由鄂尔多斯热电有限责任公司供热。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918" w:type="pct"/>
            <w:vAlign w:val="center"/>
          </w:tcPr>
          <w:p>
            <w:pPr>
              <w:widowControl/>
              <w:snapToGrid w:val="0"/>
              <w:rPr>
                <w:rFonts w:hint="eastAsia" w:ascii="仿宋_GB2312" w:hAnsi="仿宋_GB2312" w:eastAsia="仿宋_GB2312" w:cs="仿宋_GB2312"/>
                <w:bCs/>
                <w:kern w:val="0"/>
                <w:sz w:val="24"/>
                <w:szCs w:val="24"/>
              </w:rPr>
            </w:pPr>
            <w:r>
              <w:rPr>
                <w:rFonts w:hint="eastAsia" w:ascii="仿宋_GB2312" w:hAnsi="仿宋_GB2312" w:eastAsia="仿宋_GB2312" w:cs="仿宋_GB2312"/>
                <w:bCs/>
                <w:kern w:val="0"/>
                <w:sz w:val="24"/>
                <w:szCs w:val="24"/>
              </w:rPr>
              <w:t>达拉特经济开发区</w:t>
            </w:r>
          </w:p>
        </w:tc>
        <w:tc>
          <w:tcPr>
            <w:tcW w:w="1325" w:type="pct"/>
            <w:vAlign w:val="center"/>
          </w:tcPr>
          <w:p>
            <w:pPr>
              <w:adjustRightInd w:val="0"/>
              <w:snapToGrid w:val="0"/>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建成园区渣场1个。</w:t>
            </w:r>
          </w:p>
        </w:tc>
        <w:tc>
          <w:tcPr>
            <w:tcW w:w="1406" w:type="pct"/>
            <w:vAlign w:val="center"/>
          </w:tcPr>
          <w:p>
            <w:pPr>
              <w:adjustRightInd w:val="0"/>
              <w:snapToGrid w:val="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建成3家污水处理厂，污水、浓盐水、高盐水处理厂各1家。</w:t>
            </w:r>
          </w:p>
        </w:tc>
        <w:tc>
          <w:tcPr>
            <w:tcW w:w="1351" w:type="pct"/>
            <w:vAlign w:val="center"/>
          </w:tcPr>
          <w:p>
            <w:pPr>
              <w:adjustRightInd w:val="0"/>
              <w:snapToGrid w:val="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企业余热或清洁能源供热，正在为新入园企业</w:t>
            </w:r>
            <w:r>
              <w:rPr>
                <w:rFonts w:hint="eastAsia" w:ascii="仿宋_GB2312" w:hAnsi="仿宋_GB2312" w:eastAsia="仿宋_GB2312" w:cs="仿宋_GB2312"/>
                <w:sz w:val="24"/>
                <w:szCs w:val="24"/>
                <w:lang w:eastAsia="zh-CN"/>
              </w:rPr>
              <w:t>建设</w:t>
            </w:r>
            <w:bookmarkStart w:id="44" w:name="_GoBack"/>
            <w:bookmarkEnd w:id="44"/>
            <w:r>
              <w:rPr>
                <w:rFonts w:hint="eastAsia" w:ascii="仿宋_GB2312" w:hAnsi="仿宋_GB2312" w:eastAsia="仿宋_GB2312" w:cs="仿宋_GB2312"/>
                <w:sz w:val="24"/>
                <w:szCs w:val="24"/>
              </w:rPr>
              <w:t>集中供暖项目可为新入园企业提供蒸汽和采暖，也可做为原燃气供热企业供热改造。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918" w:type="pct"/>
            <w:vAlign w:val="center"/>
          </w:tcPr>
          <w:p>
            <w:pPr>
              <w:widowControl/>
              <w:snapToGrid w:val="0"/>
              <w:rPr>
                <w:rFonts w:hint="eastAsia" w:ascii="仿宋_GB2312" w:hAnsi="仿宋_GB2312" w:eastAsia="仿宋_GB2312" w:cs="仿宋_GB2312"/>
                <w:bCs/>
                <w:kern w:val="0"/>
                <w:sz w:val="24"/>
                <w:szCs w:val="24"/>
              </w:rPr>
            </w:pPr>
            <w:r>
              <w:rPr>
                <w:rFonts w:hint="eastAsia" w:ascii="仿宋_GB2312" w:hAnsi="仿宋_GB2312" w:eastAsia="仿宋_GB2312" w:cs="仿宋_GB2312"/>
                <w:bCs/>
                <w:kern w:val="0"/>
                <w:sz w:val="24"/>
                <w:szCs w:val="24"/>
              </w:rPr>
              <w:t>准格尔经济开发区</w:t>
            </w:r>
          </w:p>
        </w:tc>
        <w:tc>
          <w:tcPr>
            <w:tcW w:w="1325" w:type="pct"/>
            <w:vAlign w:val="center"/>
          </w:tcPr>
          <w:p>
            <w:pPr>
              <w:adjustRightInd w:val="0"/>
              <w:snapToGrid w:val="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建成灰渣固化处置项目1个。</w:t>
            </w:r>
          </w:p>
        </w:tc>
        <w:tc>
          <w:tcPr>
            <w:tcW w:w="1406" w:type="pct"/>
            <w:vAlign w:val="center"/>
          </w:tcPr>
          <w:p>
            <w:pPr>
              <w:adjustRightInd w:val="0"/>
              <w:snapToGrid w:val="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建成污水处理厂2座。</w:t>
            </w:r>
          </w:p>
        </w:tc>
        <w:tc>
          <w:tcPr>
            <w:tcW w:w="1351" w:type="pct"/>
            <w:vAlign w:val="center"/>
          </w:tcPr>
          <w:p>
            <w:pPr>
              <w:adjustRightInd w:val="0"/>
              <w:snapToGrid w:val="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已实现集中供热。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918" w:type="pct"/>
            <w:vAlign w:val="center"/>
          </w:tcPr>
          <w:p>
            <w:pPr>
              <w:widowControl/>
              <w:snapToGrid w:val="0"/>
              <w:rPr>
                <w:rFonts w:hint="eastAsia" w:ascii="仿宋_GB2312" w:hAnsi="仿宋_GB2312" w:eastAsia="仿宋_GB2312" w:cs="仿宋_GB2312"/>
                <w:bCs/>
                <w:kern w:val="0"/>
                <w:sz w:val="24"/>
                <w:szCs w:val="24"/>
              </w:rPr>
            </w:pPr>
            <w:r>
              <w:rPr>
                <w:rFonts w:hint="eastAsia" w:ascii="仿宋_GB2312" w:hAnsi="仿宋_GB2312" w:eastAsia="仿宋_GB2312" w:cs="仿宋_GB2312"/>
                <w:bCs/>
                <w:kern w:val="0"/>
                <w:sz w:val="24"/>
                <w:szCs w:val="24"/>
              </w:rPr>
              <w:t>大路工业园区</w:t>
            </w:r>
          </w:p>
        </w:tc>
        <w:tc>
          <w:tcPr>
            <w:tcW w:w="1325" w:type="pct"/>
            <w:vAlign w:val="center"/>
          </w:tcPr>
          <w:p>
            <w:pPr>
              <w:adjustRightInd w:val="0"/>
              <w:snapToGrid w:val="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建成1个工业废渣处理厂1个和大路西区固废渣场1个。</w:t>
            </w:r>
          </w:p>
        </w:tc>
        <w:tc>
          <w:tcPr>
            <w:tcW w:w="1406" w:type="pct"/>
            <w:vAlign w:val="center"/>
          </w:tcPr>
          <w:p>
            <w:pPr>
              <w:adjustRightInd w:val="0"/>
              <w:snapToGrid w:val="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建成污水理厂1座。</w:t>
            </w:r>
          </w:p>
        </w:tc>
        <w:tc>
          <w:tcPr>
            <w:tcW w:w="1351" w:type="pct"/>
            <w:vAlign w:val="center"/>
          </w:tcPr>
          <w:p>
            <w:pPr>
              <w:adjustRightInd w:val="0"/>
              <w:snapToGrid w:val="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已建成1座热电厂，实现集中供热。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16" w:hRule="atLeast"/>
          <w:jc w:val="center"/>
        </w:trPr>
        <w:tc>
          <w:tcPr>
            <w:tcW w:w="918" w:type="pct"/>
            <w:vAlign w:val="center"/>
          </w:tcPr>
          <w:p>
            <w:pPr>
              <w:widowControl/>
              <w:snapToGrid w:val="0"/>
              <w:rPr>
                <w:rFonts w:hint="eastAsia" w:ascii="仿宋_GB2312" w:hAnsi="仿宋_GB2312" w:eastAsia="仿宋_GB2312" w:cs="仿宋_GB2312"/>
                <w:bCs/>
                <w:kern w:val="0"/>
                <w:sz w:val="24"/>
                <w:szCs w:val="24"/>
              </w:rPr>
            </w:pPr>
            <w:r>
              <w:rPr>
                <w:rFonts w:hint="eastAsia" w:ascii="仿宋_GB2312" w:hAnsi="仿宋_GB2312" w:eastAsia="仿宋_GB2312" w:cs="仿宋_GB2312"/>
                <w:bCs/>
                <w:kern w:val="0"/>
                <w:sz w:val="24"/>
                <w:szCs w:val="24"/>
              </w:rPr>
              <w:t>鄂尔多斯江苏工业园区</w:t>
            </w:r>
          </w:p>
        </w:tc>
        <w:tc>
          <w:tcPr>
            <w:tcW w:w="1325" w:type="pct"/>
            <w:vAlign w:val="center"/>
          </w:tcPr>
          <w:p>
            <w:pPr>
              <w:adjustRightInd w:val="0"/>
              <w:snapToGrid w:val="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园区生活垃圾依托阿镇建筑垃圾填埋场，无工业固废产生。</w:t>
            </w:r>
          </w:p>
        </w:tc>
        <w:tc>
          <w:tcPr>
            <w:tcW w:w="1406" w:type="pct"/>
            <w:vAlign w:val="center"/>
          </w:tcPr>
          <w:p>
            <w:pPr>
              <w:adjustRightInd w:val="0"/>
              <w:snapToGrid w:val="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园区无工业污水，无需建设工业污水处理厂。</w:t>
            </w:r>
          </w:p>
        </w:tc>
        <w:tc>
          <w:tcPr>
            <w:tcW w:w="1351" w:type="pct"/>
            <w:vAlign w:val="center"/>
          </w:tcPr>
          <w:p>
            <w:pPr>
              <w:adjustRightInd w:val="0"/>
              <w:snapToGrid w:val="0"/>
              <w:rPr>
                <w:rFonts w:hint="eastAsia" w:ascii="仿宋_GB2312" w:hAnsi="仿宋_GB2312" w:eastAsia="仿宋_GB2312" w:cs="仿宋_GB2312"/>
                <w:sz w:val="24"/>
                <w:szCs w:val="24"/>
              </w:rPr>
            </w:pPr>
            <w:r>
              <w:rPr>
                <w:rFonts w:hint="eastAsia" w:ascii="仿宋_GB2312" w:hAnsi="仿宋_GB2312" w:eastAsia="仿宋_GB2312" w:cs="仿宋_GB2312"/>
                <w:color w:val="000000" w:themeColor="text1"/>
                <w:sz w:val="24"/>
                <w:szCs w:val="24"/>
                <w14:textFill>
                  <w14:solidFill>
                    <w14:schemeClr w14:val="tx1"/>
                  </w14:solidFill>
                </w14:textFill>
              </w:rPr>
              <w:t>东片区依托伊金霍洛旗九泰热力公司；西片区由伊旗九泰热力公司建成一座煤改电集中供暖站。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70" w:hRule="atLeast"/>
          <w:jc w:val="center"/>
        </w:trPr>
        <w:tc>
          <w:tcPr>
            <w:tcW w:w="918" w:type="pct"/>
            <w:vAlign w:val="center"/>
          </w:tcPr>
          <w:p>
            <w:pPr>
              <w:widowControl/>
              <w:snapToGrid w:val="0"/>
              <w:rPr>
                <w:rFonts w:hint="eastAsia" w:ascii="仿宋_GB2312" w:hAnsi="仿宋_GB2312" w:eastAsia="仿宋_GB2312" w:cs="仿宋_GB2312"/>
                <w:bCs/>
                <w:kern w:val="0"/>
                <w:sz w:val="24"/>
                <w:szCs w:val="24"/>
              </w:rPr>
            </w:pPr>
            <w:r>
              <w:rPr>
                <w:rFonts w:hint="eastAsia" w:ascii="仿宋_GB2312" w:hAnsi="仿宋_GB2312" w:eastAsia="仿宋_GB2312" w:cs="仿宋_GB2312"/>
                <w:bCs/>
                <w:kern w:val="0"/>
                <w:sz w:val="24"/>
                <w:szCs w:val="24"/>
              </w:rPr>
              <w:t>圣圆煤化工基地</w:t>
            </w:r>
          </w:p>
        </w:tc>
        <w:tc>
          <w:tcPr>
            <w:tcW w:w="1325" w:type="pct"/>
            <w:vAlign w:val="center"/>
          </w:tcPr>
          <w:p>
            <w:pPr>
              <w:adjustRightInd w:val="0"/>
              <w:snapToGrid w:val="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无需建设，依托内蒙古汇能煤化工有限公司灰渣场或企业自建渣场。</w:t>
            </w:r>
          </w:p>
        </w:tc>
        <w:tc>
          <w:tcPr>
            <w:tcW w:w="1406" w:type="pct"/>
            <w:vAlign w:val="center"/>
          </w:tcPr>
          <w:p>
            <w:pPr>
              <w:adjustRightInd w:val="0"/>
              <w:snapToGrid w:val="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园区工业企业均自建污水处理厂，园区无集中工业污水处理厂。</w:t>
            </w:r>
          </w:p>
        </w:tc>
        <w:tc>
          <w:tcPr>
            <w:tcW w:w="1351" w:type="pct"/>
            <w:vAlign w:val="center"/>
          </w:tcPr>
          <w:p>
            <w:pPr>
              <w:adjustRightInd w:val="0"/>
              <w:snapToGrid w:val="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园区企业均实现余热供热采暖。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92" w:hRule="atLeast"/>
          <w:jc w:val="center"/>
        </w:trPr>
        <w:tc>
          <w:tcPr>
            <w:tcW w:w="918" w:type="pct"/>
            <w:vAlign w:val="center"/>
          </w:tcPr>
          <w:p>
            <w:pPr>
              <w:widowControl/>
              <w:snapToGrid w:val="0"/>
              <w:rPr>
                <w:rFonts w:hint="eastAsia" w:ascii="仿宋_GB2312" w:hAnsi="仿宋_GB2312" w:eastAsia="仿宋_GB2312" w:cs="仿宋_GB2312"/>
                <w:bCs/>
                <w:kern w:val="0"/>
                <w:sz w:val="24"/>
                <w:szCs w:val="24"/>
              </w:rPr>
            </w:pPr>
            <w:r>
              <w:rPr>
                <w:rFonts w:hint="eastAsia" w:ascii="仿宋_GB2312" w:hAnsi="仿宋_GB2312" w:eastAsia="仿宋_GB2312" w:cs="仿宋_GB2312"/>
                <w:bCs/>
                <w:kern w:val="0"/>
                <w:sz w:val="24"/>
                <w:szCs w:val="24"/>
              </w:rPr>
              <w:t>苏里格经济开发区</w:t>
            </w:r>
          </w:p>
        </w:tc>
        <w:tc>
          <w:tcPr>
            <w:tcW w:w="1325" w:type="pct"/>
            <w:vAlign w:val="center"/>
          </w:tcPr>
          <w:p>
            <w:pPr>
              <w:adjustRightInd w:val="0"/>
              <w:snapToGrid w:val="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乌兰陶勒盖工业项目区建成渣厂1个；图克工业项目区建成固废渣场1个;乌审召化工项目区依托中煤蒙大渣场。</w:t>
            </w:r>
          </w:p>
        </w:tc>
        <w:tc>
          <w:tcPr>
            <w:tcW w:w="1406" w:type="pct"/>
            <w:vAlign w:val="center"/>
          </w:tcPr>
          <w:p>
            <w:pPr>
              <w:adjustRightInd w:val="0"/>
              <w:snapToGrid w:val="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乌兰陶勒盖工业项目区、图克工业项目区、乌审召化工项目区各建成1座集中污水处理厂。</w:t>
            </w:r>
          </w:p>
        </w:tc>
        <w:tc>
          <w:tcPr>
            <w:tcW w:w="1351" w:type="pct"/>
            <w:vAlign w:val="center"/>
          </w:tcPr>
          <w:p>
            <w:pPr>
              <w:adjustRightInd w:val="0"/>
              <w:snapToGrid w:val="0"/>
              <w:rPr>
                <w:rFonts w:hint="eastAsia" w:ascii="仿宋_GB2312" w:hAnsi="仿宋_GB2312" w:eastAsia="仿宋_GB2312" w:cs="仿宋_GB2312"/>
                <w:sz w:val="24"/>
                <w:szCs w:val="24"/>
              </w:rPr>
            </w:pPr>
            <w:r>
              <w:rPr>
                <w:rFonts w:hint="eastAsia" w:ascii="仿宋_GB2312" w:hAnsi="仿宋_GB2312" w:eastAsia="仿宋_GB2312" w:cs="仿宋_GB2312"/>
                <w:color w:val="000000" w:themeColor="text1"/>
                <w:sz w:val="24"/>
                <w:szCs w:val="24"/>
                <w14:textFill>
                  <w14:solidFill>
                    <w14:schemeClr w14:val="tx1"/>
                  </w14:solidFill>
                </w14:textFill>
              </w:rPr>
              <w:t>乌兰陶勒盖工业项目区建成供热站1座；图克工业项目区、乌审召化工项目区企业全部实现余热采暖。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2" w:hRule="atLeast"/>
          <w:jc w:val="center"/>
        </w:trPr>
        <w:tc>
          <w:tcPr>
            <w:tcW w:w="918" w:type="pct"/>
            <w:vAlign w:val="center"/>
          </w:tcPr>
          <w:p>
            <w:pPr>
              <w:widowControl/>
              <w:snapToGrid w:val="0"/>
              <w:rPr>
                <w:rFonts w:hint="eastAsia" w:ascii="仿宋_GB2312" w:hAnsi="仿宋_GB2312" w:eastAsia="仿宋_GB2312" w:cs="仿宋_GB2312"/>
                <w:bCs/>
                <w:kern w:val="0"/>
                <w:sz w:val="24"/>
                <w:szCs w:val="24"/>
              </w:rPr>
            </w:pPr>
            <w:r>
              <w:rPr>
                <w:rFonts w:hint="eastAsia" w:ascii="仿宋_GB2312" w:hAnsi="仿宋_GB2312" w:eastAsia="仿宋_GB2312" w:cs="仿宋_GB2312"/>
                <w:bCs/>
                <w:kern w:val="0"/>
                <w:sz w:val="24"/>
                <w:szCs w:val="24"/>
              </w:rPr>
              <w:t>纳林河工业园区</w:t>
            </w:r>
          </w:p>
        </w:tc>
        <w:tc>
          <w:tcPr>
            <w:tcW w:w="1325" w:type="pct"/>
            <w:vAlign w:val="center"/>
          </w:tcPr>
          <w:p>
            <w:pPr>
              <w:adjustRightInd w:val="0"/>
              <w:snapToGrid w:val="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建成固废渣场1个。</w:t>
            </w:r>
          </w:p>
        </w:tc>
        <w:tc>
          <w:tcPr>
            <w:tcW w:w="1406" w:type="pct"/>
            <w:vAlign w:val="center"/>
          </w:tcPr>
          <w:p>
            <w:pPr>
              <w:adjustRightInd w:val="0"/>
              <w:snapToGrid w:val="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建成1座污水处理厂。</w:t>
            </w:r>
          </w:p>
        </w:tc>
        <w:tc>
          <w:tcPr>
            <w:tcW w:w="1351" w:type="pct"/>
            <w:vAlign w:val="center"/>
          </w:tcPr>
          <w:p>
            <w:pPr>
              <w:adjustRightInd w:val="0"/>
              <w:snapToGrid w:val="0"/>
              <w:rPr>
                <w:rFonts w:hint="eastAsia" w:ascii="仿宋_GB2312" w:hAnsi="仿宋_GB2312" w:eastAsia="仿宋_GB2312" w:cs="仿宋_GB2312"/>
                <w:sz w:val="24"/>
                <w:szCs w:val="24"/>
              </w:rPr>
            </w:pPr>
            <w:r>
              <w:rPr>
                <w:rFonts w:hint="eastAsia" w:ascii="仿宋_GB2312" w:hAnsi="仿宋_GB2312" w:eastAsia="仿宋_GB2312" w:cs="仿宋_GB2312"/>
                <w:color w:val="000000" w:themeColor="text1"/>
                <w:sz w:val="24"/>
                <w:szCs w:val="24"/>
                <w14:textFill>
                  <w14:solidFill>
                    <w14:schemeClr w14:val="tx1"/>
                  </w14:solidFill>
                </w14:textFill>
              </w:rPr>
              <w:t>入园企业全部利用余热供热。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83" w:hRule="atLeast"/>
          <w:jc w:val="center"/>
        </w:trPr>
        <w:tc>
          <w:tcPr>
            <w:tcW w:w="918" w:type="pct"/>
            <w:vAlign w:val="center"/>
          </w:tcPr>
          <w:p>
            <w:pPr>
              <w:widowControl/>
              <w:snapToGrid w:val="0"/>
              <w:rPr>
                <w:rFonts w:hint="eastAsia" w:ascii="仿宋_GB2312" w:hAnsi="仿宋_GB2312" w:eastAsia="仿宋_GB2312" w:cs="仿宋_GB2312"/>
                <w:bCs/>
                <w:kern w:val="0"/>
                <w:sz w:val="24"/>
                <w:szCs w:val="24"/>
              </w:rPr>
            </w:pPr>
            <w:r>
              <w:rPr>
                <w:rFonts w:hint="eastAsia" w:ascii="仿宋_GB2312" w:hAnsi="仿宋_GB2312" w:eastAsia="仿宋_GB2312" w:cs="仿宋_GB2312"/>
                <w:bCs/>
                <w:kern w:val="0"/>
                <w:sz w:val="24"/>
                <w:szCs w:val="24"/>
              </w:rPr>
              <w:t>独贵塔拉工业园区</w:t>
            </w:r>
          </w:p>
        </w:tc>
        <w:tc>
          <w:tcPr>
            <w:tcW w:w="1325" w:type="pct"/>
            <w:vAlign w:val="center"/>
          </w:tcPr>
          <w:p>
            <w:pPr>
              <w:adjustRightInd w:val="0"/>
              <w:snapToGrid w:val="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建成北项目区固废填埋场1个；南项目区固废填埋场1个。</w:t>
            </w:r>
          </w:p>
        </w:tc>
        <w:tc>
          <w:tcPr>
            <w:tcW w:w="1406" w:type="pct"/>
            <w:vAlign w:val="center"/>
          </w:tcPr>
          <w:p>
            <w:pPr>
              <w:adjustRightInd w:val="0"/>
              <w:snapToGrid w:val="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建成1座污水处理厂。</w:t>
            </w:r>
          </w:p>
        </w:tc>
        <w:tc>
          <w:tcPr>
            <w:tcW w:w="1351" w:type="pct"/>
            <w:vAlign w:val="center"/>
          </w:tcPr>
          <w:p>
            <w:pPr>
              <w:adjustRightInd w:val="0"/>
              <w:snapToGrid w:val="0"/>
              <w:rPr>
                <w:rFonts w:hint="eastAsia" w:ascii="仿宋_GB2312" w:hAnsi="仿宋_GB2312" w:eastAsia="仿宋_GB2312" w:cs="仿宋_GB2312"/>
                <w:sz w:val="24"/>
                <w:szCs w:val="24"/>
              </w:rPr>
            </w:pPr>
            <w:r>
              <w:rPr>
                <w:rFonts w:hint="eastAsia" w:ascii="仿宋_GB2312" w:hAnsi="仿宋_GB2312" w:eastAsia="仿宋_GB2312" w:cs="仿宋_GB2312"/>
                <w:color w:val="000000" w:themeColor="text1"/>
                <w:sz w:val="24"/>
                <w:szCs w:val="24"/>
                <w14:textFill>
                  <w14:solidFill>
                    <w14:schemeClr w14:val="tx1"/>
                  </w14:solidFill>
                </w14:textFill>
              </w:rPr>
              <w:t>园区企业均实现余热供热采暖。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918" w:type="pct"/>
            <w:vAlign w:val="center"/>
          </w:tcPr>
          <w:p>
            <w:pPr>
              <w:widowControl/>
              <w:snapToGrid w:val="0"/>
              <w:rPr>
                <w:rFonts w:hint="eastAsia" w:ascii="仿宋_GB2312" w:hAnsi="仿宋_GB2312" w:eastAsia="仿宋_GB2312" w:cs="仿宋_GB2312"/>
                <w:bCs/>
                <w:kern w:val="0"/>
                <w:sz w:val="24"/>
                <w:szCs w:val="24"/>
              </w:rPr>
            </w:pPr>
            <w:r>
              <w:rPr>
                <w:rFonts w:hint="eastAsia" w:ascii="仿宋_GB2312" w:hAnsi="仿宋_GB2312" w:eastAsia="仿宋_GB2312" w:cs="仿宋_GB2312"/>
                <w:bCs/>
                <w:kern w:val="0"/>
                <w:sz w:val="24"/>
                <w:szCs w:val="24"/>
              </w:rPr>
              <w:t>新能源产业示范区</w:t>
            </w:r>
          </w:p>
        </w:tc>
        <w:tc>
          <w:tcPr>
            <w:tcW w:w="1325" w:type="pct"/>
            <w:vAlign w:val="center"/>
          </w:tcPr>
          <w:p>
            <w:pPr>
              <w:adjustRightInd w:val="0"/>
              <w:snapToGrid w:val="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工业依托独贵塔拉北项目区渣场，生活垃圾依托镇区垃圾填埋场。</w:t>
            </w:r>
          </w:p>
        </w:tc>
        <w:tc>
          <w:tcPr>
            <w:tcW w:w="1406" w:type="pct"/>
            <w:vAlign w:val="center"/>
          </w:tcPr>
          <w:p>
            <w:pPr>
              <w:adjustRightInd w:val="0"/>
              <w:snapToGrid w:val="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建成1座污水处理厂。</w:t>
            </w:r>
          </w:p>
        </w:tc>
        <w:tc>
          <w:tcPr>
            <w:tcW w:w="1351" w:type="pct"/>
            <w:vAlign w:val="center"/>
          </w:tcPr>
          <w:p>
            <w:pPr>
              <w:adjustRightInd w:val="0"/>
              <w:snapToGrid w:val="0"/>
              <w:rPr>
                <w:rFonts w:hint="eastAsia" w:ascii="仿宋_GB2312" w:hAnsi="仿宋_GB2312" w:eastAsia="仿宋_GB2312" w:cs="仿宋_GB2312"/>
                <w:sz w:val="24"/>
                <w:szCs w:val="24"/>
              </w:rPr>
            </w:pPr>
            <w:r>
              <w:rPr>
                <w:rFonts w:hint="eastAsia" w:ascii="仿宋_GB2312" w:hAnsi="仿宋_GB2312" w:eastAsia="仿宋_GB2312" w:cs="仿宋_GB2312"/>
                <w:color w:val="000000" w:themeColor="text1"/>
                <w:sz w:val="24"/>
                <w:szCs w:val="24"/>
                <w14:textFill>
                  <w14:solidFill>
                    <w14:schemeClr w14:val="tx1"/>
                  </w14:solidFill>
                </w14:textFill>
              </w:rPr>
              <w:t>集中供热设施已配套完成，依托源丰公司发电余热供热。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22" w:hRule="atLeast"/>
          <w:jc w:val="center"/>
        </w:trPr>
        <w:tc>
          <w:tcPr>
            <w:tcW w:w="918" w:type="pct"/>
            <w:vAlign w:val="center"/>
          </w:tcPr>
          <w:p>
            <w:pPr>
              <w:widowControl/>
              <w:snapToGrid w:val="0"/>
              <w:rPr>
                <w:rFonts w:hint="eastAsia" w:ascii="仿宋_GB2312" w:hAnsi="仿宋_GB2312" w:eastAsia="仿宋_GB2312" w:cs="仿宋_GB2312"/>
                <w:bCs/>
                <w:kern w:val="0"/>
                <w:sz w:val="24"/>
                <w:szCs w:val="24"/>
              </w:rPr>
            </w:pPr>
            <w:r>
              <w:rPr>
                <w:rFonts w:hint="eastAsia" w:ascii="仿宋_GB2312" w:hAnsi="仿宋_GB2312" w:eastAsia="仿宋_GB2312" w:cs="仿宋_GB2312"/>
                <w:bCs/>
                <w:kern w:val="0"/>
                <w:sz w:val="24"/>
                <w:szCs w:val="24"/>
              </w:rPr>
              <w:t>棋盘井工业园区</w:t>
            </w:r>
          </w:p>
        </w:tc>
        <w:tc>
          <w:tcPr>
            <w:tcW w:w="1325" w:type="pct"/>
            <w:vAlign w:val="center"/>
          </w:tcPr>
          <w:p>
            <w:pPr>
              <w:adjustRightInd w:val="0"/>
              <w:snapToGrid w:val="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建成布尔嘎斯太塔拉储灰场1个和鄂托克旗矿友灰渣填埋场1个。</w:t>
            </w:r>
          </w:p>
        </w:tc>
        <w:tc>
          <w:tcPr>
            <w:tcW w:w="1406" w:type="pct"/>
            <w:vAlign w:val="center"/>
          </w:tcPr>
          <w:p>
            <w:pPr>
              <w:adjustRightInd w:val="0"/>
              <w:snapToGrid w:val="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建成2座污水处理厂。鄂托克旗北控水务有限公司生活污厂；鄂尔多斯西清环保工程有限公司工业污水和1高盐水处理项目。</w:t>
            </w:r>
          </w:p>
        </w:tc>
        <w:tc>
          <w:tcPr>
            <w:tcW w:w="1351" w:type="pct"/>
            <w:vAlign w:val="center"/>
          </w:tcPr>
          <w:p>
            <w:pPr>
              <w:adjustRightInd w:val="0"/>
              <w:snapToGrid w:val="0"/>
              <w:rPr>
                <w:rFonts w:hint="eastAsia" w:ascii="仿宋_GB2312" w:hAnsi="仿宋_GB2312" w:eastAsia="仿宋_GB2312" w:cs="仿宋_GB2312"/>
                <w:sz w:val="24"/>
                <w:szCs w:val="24"/>
              </w:rPr>
            </w:pPr>
            <w:r>
              <w:rPr>
                <w:rFonts w:hint="eastAsia" w:ascii="仿宋_GB2312" w:hAnsi="仿宋_GB2312" w:eastAsia="仿宋_GB2312" w:cs="仿宋_GB2312"/>
                <w:color w:val="000000" w:themeColor="text1"/>
                <w:sz w:val="24"/>
                <w:szCs w:val="24"/>
                <w14:textFill>
                  <w14:solidFill>
                    <w14:schemeClr w14:val="tx1"/>
                  </w14:solidFill>
                </w14:textFill>
              </w:rPr>
              <w:t>集中供热设施已配套完成，依托园区企业热源供热。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7" w:hRule="atLeast"/>
          <w:jc w:val="center"/>
        </w:trPr>
        <w:tc>
          <w:tcPr>
            <w:tcW w:w="918" w:type="pct"/>
            <w:vAlign w:val="center"/>
          </w:tcPr>
          <w:p>
            <w:pPr>
              <w:widowControl/>
              <w:snapToGrid w:val="0"/>
              <w:rPr>
                <w:rFonts w:hint="eastAsia" w:ascii="仿宋_GB2312" w:hAnsi="仿宋_GB2312" w:eastAsia="仿宋_GB2312" w:cs="仿宋_GB2312"/>
                <w:bCs/>
                <w:kern w:val="0"/>
                <w:sz w:val="24"/>
                <w:szCs w:val="24"/>
              </w:rPr>
            </w:pPr>
            <w:r>
              <w:rPr>
                <w:rFonts w:hint="eastAsia" w:ascii="仿宋_GB2312" w:hAnsi="仿宋_GB2312" w:eastAsia="仿宋_GB2312" w:cs="仿宋_GB2312"/>
                <w:bCs/>
                <w:kern w:val="0"/>
                <w:sz w:val="24"/>
                <w:szCs w:val="24"/>
              </w:rPr>
              <w:t>蒙西高新技术工业园区</w:t>
            </w:r>
          </w:p>
        </w:tc>
        <w:tc>
          <w:tcPr>
            <w:tcW w:w="1325" w:type="pct"/>
            <w:vAlign w:val="center"/>
          </w:tcPr>
          <w:p>
            <w:pPr>
              <w:adjustRightInd w:val="0"/>
              <w:snapToGrid w:val="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建成渣厂1个。</w:t>
            </w:r>
          </w:p>
        </w:tc>
        <w:tc>
          <w:tcPr>
            <w:tcW w:w="1406" w:type="pct"/>
            <w:vAlign w:val="center"/>
          </w:tcPr>
          <w:p>
            <w:pPr>
              <w:adjustRightInd w:val="0"/>
              <w:snapToGrid w:val="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建成1座污水处理厂。</w:t>
            </w:r>
          </w:p>
        </w:tc>
        <w:tc>
          <w:tcPr>
            <w:tcW w:w="1351" w:type="pct"/>
            <w:vAlign w:val="center"/>
          </w:tcPr>
          <w:p>
            <w:pPr>
              <w:adjustRightInd w:val="0"/>
              <w:snapToGrid w:val="0"/>
              <w:rPr>
                <w:rFonts w:hint="eastAsia" w:ascii="仿宋_GB2312" w:hAnsi="仿宋_GB2312" w:eastAsia="仿宋_GB2312" w:cs="仿宋_GB2312"/>
                <w:sz w:val="24"/>
                <w:szCs w:val="24"/>
              </w:rPr>
            </w:pPr>
            <w:r>
              <w:rPr>
                <w:rFonts w:hint="eastAsia" w:ascii="仿宋_GB2312" w:hAnsi="仿宋_GB2312" w:eastAsia="仿宋_GB2312" w:cs="仿宋_GB2312"/>
                <w:color w:val="000000" w:themeColor="text1"/>
                <w:sz w:val="24"/>
                <w:szCs w:val="24"/>
                <w14:textFill>
                  <w14:solidFill>
                    <w14:schemeClr w14:val="tx1"/>
                  </w14:solidFill>
                </w14:textFill>
              </w:rPr>
              <w:t>集中供热工程已建成。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7" w:hRule="atLeast"/>
          <w:jc w:val="center"/>
        </w:trPr>
        <w:tc>
          <w:tcPr>
            <w:tcW w:w="918" w:type="pct"/>
            <w:vAlign w:val="center"/>
          </w:tcPr>
          <w:p>
            <w:pPr>
              <w:widowControl/>
              <w:snapToGrid w:val="0"/>
              <w:rPr>
                <w:rFonts w:hint="eastAsia" w:ascii="仿宋_GB2312" w:hAnsi="仿宋_GB2312" w:eastAsia="仿宋_GB2312" w:cs="仿宋_GB2312"/>
                <w:bCs/>
                <w:kern w:val="0"/>
                <w:sz w:val="24"/>
                <w:szCs w:val="24"/>
              </w:rPr>
            </w:pPr>
            <w:r>
              <w:rPr>
                <w:rFonts w:hint="eastAsia" w:ascii="仿宋_GB2312" w:hAnsi="仿宋_GB2312" w:eastAsia="仿宋_GB2312" w:cs="仿宋_GB2312"/>
                <w:bCs/>
                <w:kern w:val="0"/>
                <w:sz w:val="24"/>
                <w:szCs w:val="24"/>
              </w:rPr>
              <w:t>上海庙经济开发区</w:t>
            </w:r>
          </w:p>
        </w:tc>
        <w:tc>
          <w:tcPr>
            <w:tcW w:w="1325" w:type="pct"/>
            <w:vAlign w:val="center"/>
          </w:tcPr>
          <w:p>
            <w:pPr>
              <w:adjustRightInd w:val="0"/>
              <w:snapToGrid w:val="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建成渣厂1个。</w:t>
            </w:r>
          </w:p>
        </w:tc>
        <w:tc>
          <w:tcPr>
            <w:tcW w:w="1406" w:type="pct"/>
            <w:vAlign w:val="center"/>
          </w:tcPr>
          <w:p>
            <w:pPr>
              <w:adjustRightInd w:val="0"/>
              <w:snapToGrid w:val="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建成1座污水处理厂。</w:t>
            </w:r>
          </w:p>
        </w:tc>
        <w:tc>
          <w:tcPr>
            <w:tcW w:w="1351" w:type="pct"/>
            <w:vAlign w:val="center"/>
          </w:tcPr>
          <w:p>
            <w:pPr>
              <w:adjustRightInd w:val="0"/>
              <w:snapToGrid w:val="0"/>
              <w:rPr>
                <w:rFonts w:hint="eastAsia" w:ascii="仿宋_GB2312" w:hAnsi="仿宋_GB2312" w:eastAsia="仿宋_GB2312" w:cs="仿宋_GB2312"/>
                <w:sz w:val="24"/>
                <w:szCs w:val="24"/>
              </w:rPr>
            </w:pPr>
            <w:r>
              <w:rPr>
                <w:rFonts w:hint="eastAsia" w:ascii="仿宋_GB2312" w:hAnsi="仿宋_GB2312" w:eastAsia="仿宋_GB2312" w:cs="仿宋_GB2312"/>
                <w:color w:val="000000" w:themeColor="text1"/>
                <w:sz w:val="24"/>
                <w:szCs w:val="24"/>
                <w14:textFill>
                  <w14:solidFill>
                    <w14:schemeClr w14:val="tx1"/>
                  </w14:solidFill>
                </w14:textFill>
              </w:rPr>
              <w:t>集中供热工程已建成。</w:t>
            </w:r>
          </w:p>
        </w:tc>
      </w:tr>
    </w:tbl>
    <w:p>
      <w:pPr>
        <w:pStyle w:val="3"/>
        <w:tabs>
          <w:tab w:val="left" w:pos="4830"/>
        </w:tabs>
        <w:spacing w:before="312" w:beforeLines="100" w:after="312" w:afterLines="100"/>
        <w:rPr>
          <w:rFonts w:ascii="Times New Roman" w:hAnsi="Times New Roman" w:eastAsia="楷体_GB2312"/>
          <w:sz w:val="32"/>
        </w:rPr>
      </w:pPr>
      <w:bookmarkStart w:id="2" w:name="_Toc67411010"/>
      <w:bookmarkStart w:id="3" w:name="_Toc22103"/>
    </w:p>
    <w:p>
      <w:pPr>
        <w:pStyle w:val="3"/>
        <w:tabs>
          <w:tab w:val="left" w:pos="4830"/>
        </w:tabs>
        <w:spacing w:before="312" w:beforeLines="100" w:after="312" w:afterLines="100"/>
        <w:rPr>
          <w:rFonts w:ascii="Times New Roman" w:hAnsi="Times New Roman" w:eastAsia="楷体_GB2312"/>
          <w:b w:val="0"/>
          <w:bCs w:val="0"/>
          <w:sz w:val="32"/>
        </w:rPr>
      </w:pPr>
      <w:r>
        <w:rPr>
          <w:rFonts w:ascii="Times New Roman" w:hAnsi="Times New Roman" w:eastAsia="楷体_GB2312"/>
          <w:b w:val="0"/>
          <w:bCs w:val="0"/>
          <w:sz w:val="32"/>
        </w:rPr>
        <w:t>第二节 存在问题</w:t>
      </w:r>
      <w:bookmarkEnd w:id="2"/>
      <w:bookmarkEnd w:id="3"/>
    </w:p>
    <w:p>
      <w:pPr>
        <w:pStyle w:val="4"/>
        <w:spacing w:before="0" w:after="0" w:line="360" w:lineRule="auto"/>
        <w:ind w:firstLine="640" w:firstLineChars="200"/>
        <w:rPr>
          <w:rStyle w:val="47"/>
          <w:b w:val="0"/>
          <w:bCs w:val="0"/>
          <w:color w:val="auto"/>
        </w:rPr>
      </w:pPr>
      <w:r>
        <w:rPr>
          <w:rStyle w:val="47"/>
          <w:b w:val="0"/>
          <w:bCs w:val="0"/>
          <w:color w:val="auto"/>
        </w:rPr>
        <w:t>一、园区产业趋同有待统筹引导</w:t>
      </w:r>
    </w:p>
    <w:p>
      <w:pPr>
        <w:spacing w:line="560" w:lineRule="exact"/>
        <w:ind w:firstLine="640" w:firstLineChars="200"/>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鄂尔多斯多数园区处于起步和成长阶段，数量多、差距大、体量小、布局分散，全市尚未形成在国内有较大影响力的园区，而且全市多数园区产业定位不精准、产业类别分散，包括5类、6类甚至更多，主导产业不突出。全市列入《国家开发区目录（2018）》的9个园区中7个产业定位包含煤炭和煤化工相关产业，园区产业结构高度雷同，导致园区间同质化竞争不同程度存在，产业链互补和错位发展的优势尚未形成。</w:t>
      </w:r>
    </w:p>
    <w:p>
      <w:pPr>
        <w:pStyle w:val="4"/>
        <w:spacing w:before="0" w:after="0" w:line="360" w:lineRule="auto"/>
        <w:ind w:firstLine="640" w:firstLineChars="200"/>
        <w:rPr>
          <w:rStyle w:val="47"/>
          <w:b w:val="0"/>
          <w:bCs w:val="0"/>
          <w:color w:val="auto"/>
        </w:rPr>
      </w:pPr>
      <w:r>
        <w:rPr>
          <w:rStyle w:val="47"/>
          <w:b w:val="0"/>
          <w:bCs w:val="0"/>
          <w:color w:val="auto"/>
        </w:rPr>
        <w:t>二、园区科技创新能力有待提升</w:t>
      </w:r>
    </w:p>
    <w:p>
      <w:pPr>
        <w:spacing w:line="560" w:lineRule="exact"/>
        <w:ind w:firstLine="640" w:firstLineChars="200"/>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全市工业园区现有产业发展层次不高、工业产品附加值和产品就地转化率低、战略性新兴产业比重小、产业“四多四少”问题突出，产业高端化发展任重道远。园区企业竞争力弱，依赖性强，研发投入不足，自主创新能力不强，缺乏核心竞争力，企业智能化建设不足。入园项目“原字号”产品多，受工业品价格波动影响较大。与国内发达地区相比，园区招才引智力度不大，普遍缺乏高层次研发中心、创业中心等创新载体和平台。2020年全市共有高新技术企业132家、引进研发机构62家，多数机构层次不高、科技创新和辐射带动效应较弱。囿于区位、经济、环境等因素影响，科技前沿人才、行业领军者、海归创业者等高层次科技人才吸引能力严重不足。</w:t>
      </w:r>
    </w:p>
    <w:p>
      <w:pPr>
        <w:pStyle w:val="4"/>
        <w:spacing w:before="0" w:after="0" w:line="360" w:lineRule="auto"/>
        <w:ind w:firstLine="640" w:firstLineChars="200"/>
        <w:rPr>
          <w:rStyle w:val="47"/>
          <w:b w:val="0"/>
          <w:bCs w:val="0"/>
          <w:color w:val="auto"/>
        </w:rPr>
      </w:pPr>
      <w:r>
        <w:rPr>
          <w:rStyle w:val="47"/>
          <w:b w:val="0"/>
          <w:bCs w:val="0"/>
          <w:color w:val="auto"/>
        </w:rPr>
        <w:t>三、园区发展软硬环境有待改善</w:t>
      </w:r>
    </w:p>
    <w:p>
      <w:pPr>
        <w:spacing w:line="560" w:lineRule="exact"/>
        <w:ind w:firstLine="640" w:firstLineChars="200"/>
        <w:rPr>
          <w:rFonts w:ascii="Times New Roman" w:hAnsi="Times New Roman" w:eastAsia="仿宋_GB2312" w:cs="Times New Roman"/>
          <w:sz w:val="32"/>
          <w:szCs w:val="28"/>
        </w:rPr>
      </w:pPr>
      <w:r>
        <w:rPr>
          <w:rFonts w:ascii="Times New Roman" w:hAnsi="Times New Roman" w:eastAsia="仿宋_GB2312" w:cs="Times New Roman"/>
          <w:sz w:val="32"/>
          <w:szCs w:val="28"/>
        </w:rPr>
        <w:t>部分工业园区基础设施配套不够完善，项目落地急需的供水、供电、供气、道路管网等硬件配套相对滞后，成为制约园区发展的瓶颈。部分旗区中小学、医院、综合性文化活动场所建设不到位，职工子女上学、看病就医等不便，生活成本高，影响职工队伍稳定。全市园区管理体制机制有待完善，园区管</w:t>
      </w:r>
      <w:r>
        <w:rPr>
          <w:rFonts w:hint="eastAsia" w:ascii="Times New Roman" w:hAnsi="Times New Roman" w:eastAsia="仿宋_GB2312" w:cs="Times New Roman"/>
          <w:sz w:val="32"/>
          <w:szCs w:val="28"/>
          <w:lang w:eastAsia="zh-CN"/>
        </w:rPr>
        <w:t>理</w:t>
      </w:r>
      <w:r>
        <w:rPr>
          <w:rFonts w:ascii="Times New Roman" w:hAnsi="Times New Roman" w:eastAsia="仿宋_GB2312" w:cs="Times New Roman"/>
          <w:sz w:val="32"/>
          <w:szCs w:val="28"/>
        </w:rPr>
        <w:t>委</w:t>
      </w:r>
      <w:r>
        <w:rPr>
          <w:rFonts w:hint="eastAsia" w:ascii="Times New Roman" w:hAnsi="Times New Roman" w:eastAsia="仿宋_GB2312" w:cs="Times New Roman"/>
          <w:sz w:val="32"/>
          <w:szCs w:val="28"/>
          <w:lang w:eastAsia="zh-CN"/>
        </w:rPr>
        <w:t>员</w:t>
      </w:r>
      <w:r>
        <w:rPr>
          <w:rFonts w:ascii="Times New Roman" w:hAnsi="Times New Roman" w:eastAsia="仿宋_GB2312" w:cs="Times New Roman"/>
          <w:sz w:val="32"/>
          <w:szCs w:val="28"/>
        </w:rPr>
        <w:t>会面临年轻干部流失、专业型人才匮乏、管理力量薄弱的局面。</w:t>
      </w:r>
    </w:p>
    <w:p>
      <w:pPr>
        <w:pStyle w:val="4"/>
        <w:spacing w:before="0" w:after="0" w:line="360" w:lineRule="auto"/>
        <w:ind w:firstLine="640" w:firstLineChars="200"/>
        <w:rPr>
          <w:rStyle w:val="47"/>
          <w:b w:val="0"/>
          <w:bCs w:val="0"/>
          <w:color w:val="auto"/>
        </w:rPr>
      </w:pPr>
      <w:r>
        <w:rPr>
          <w:rStyle w:val="47"/>
          <w:b w:val="0"/>
          <w:bCs w:val="0"/>
          <w:color w:val="auto"/>
        </w:rPr>
        <w:t>四、园区资源生态要素制约明显</w:t>
      </w:r>
    </w:p>
    <w:p>
      <w:pPr>
        <w:spacing w:line="560" w:lineRule="exact"/>
        <w:ind w:firstLine="640" w:firstLineChars="200"/>
        <w:rPr>
          <w:rFonts w:ascii="Times New Roman" w:hAnsi="Times New Roman" w:eastAsia="仿宋_GB2312" w:cs="Times New Roman"/>
          <w:sz w:val="32"/>
          <w:szCs w:val="28"/>
        </w:rPr>
      </w:pPr>
      <w:r>
        <w:rPr>
          <w:rFonts w:ascii="Times New Roman" w:hAnsi="Times New Roman" w:eastAsia="仿宋_GB2312" w:cs="Times New Roman"/>
          <w:sz w:val="32"/>
          <w:szCs w:val="28"/>
        </w:rPr>
        <w:t>目前，部分园区的环境容量、水资源、能耗等指标要素已趋近饱和，严重制约着部分园区项目承载能力，产业绿色化发展迫在眉睫。另外，园区土地资源约束趋紧，新增产业用地指标紧缺，发展空间受限，支撑重大产业项目的落地发展存在困难。同时，园区低效、无效工业用地普遍存在，部分土地长期闲置，造成土地节约集约利用水平不高。</w:t>
      </w:r>
    </w:p>
    <w:p>
      <w:pPr>
        <w:pStyle w:val="3"/>
        <w:spacing w:before="312" w:beforeLines="100" w:after="312" w:afterLines="100"/>
        <w:rPr>
          <w:rFonts w:ascii="Times New Roman" w:hAnsi="Times New Roman" w:eastAsia="楷体_GB2312"/>
          <w:b w:val="0"/>
          <w:bCs w:val="0"/>
          <w:sz w:val="32"/>
        </w:rPr>
      </w:pPr>
      <w:bookmarkStart w:id="4" w:name="_Toc11472"/>
      <w:r>
        <w:rPr>
          <w:rFonts w:ascii="Times New Roman" w:hAnsi="Times New Roman" w:eastAsia="楷体_GB2312"/>
          <w:b w:val="0"/>
          <w:bCs w:val="0"/>
          <w:sz w:val="32"/>
        </w:rPr>
        <w:t>第三节 面临形势</w:t>
      </w:r>
      <w:bookmarkEnd w:id="4"/>
    </w:p>
    <w:p>
      <w:pPr>
        <w:pStyle w:val="4"/>
        <w:spacing w:before="0" w:after="0" w:line="360" w:lineRule="auto"/>
        <w:ind w:firstLine="640" w:firstLineChars="200"/>
        <w:rPr>
          <w:rStyle w:val="47"/>
          <w:b w:val="0"/>
          <w:bCs w:val="0"/>
          <w:color w:val="auto"/>
        </w:rPr>
      </w:pPr>
      <w:r>
        <w:rPr>
          <w:rStyle w:val="47"/>
          <w:b w:val="0"/>
          <w:bCs w:val="0"/>
          <w:color w:val="auto"/>
        </w:rPr>
        <w:t>一、科技创新，赋能园区多层次变革升级</w:t>
      </w:r>
    </w:p>
    <w:p>
      <w:pPr>
        <w:spacing w:line="560" w:lineRule="exact"/>
        <w:ind w:firstLine="640" w:firstLineChars="200"/>
        <w:rPr>
          <w:rFonts w:ascii="Times New Roman" w:hAnsi="Times New Roman" w:eastAsia="仿宋_GB2312" w:cs="Times New Roman"/>
          <w:sz w:val="32"/>
          <w:szCs w:val="28"/>
        </w:rPr>
      </w:pPr>
      <w:r>
        <w:rPr>
          <w:rFonts w:ascii="Times New Roman" w:hAnsi="Times New Roman" w:eastAsia="仿宋_GB2312" w:cs="Times New Roman"/>
          <w:sz w:val="32"/>
          <w:szCs w:val="28"/>
        </w:rPr>
        <w:t>作为科技创新产业的主要聚集区和重要承载体，工业园区承担着鄂尔多斯市经济转型升级和新动能打造的重要使命。随着工业园区从开发主导进入运营为王的时代，园区运营效率成为工业园区竞争的关键，鄂尔多斯市工业园区应加快产业结构、集聚形态及配套设施的多层次变革，提升产业创新能力和产业链水平，针对性补链、强链、固链。</w:t>
      </w:r>
    </w:p>
    <w:p>
      <w:pPr>
        <w:pStyle w:val="4"/>
        <w:spacing w:before="0" w:after="0" w:line="360" w:lineRule="auto"/>
        <w:ind w:firstLine="640" w:firstLineChars="200"/>
        <w:rPr>
          <w:rStyle w:val="47"/>
          <w:b w:val="0"/>
          <w:bCs w:val="0"/>
          <w:color w:val="auto"/>
        </w:rPr>
      </w:pPr>
      <w:r>
        <w:rPr>
          <w:rStyle w:val="47"/>
          <w:b w:val="0"/>
          <w:bCs w:val="0"/>
          <w:color w:val="auto"/>
        </w:rPr>
        <w:t>二、多方合作，激发园区创新发展内生动力</w:t>
      </w:r>
    </w:p>
    <w:p>
      <w:pPr>
        <w:spacing w:line="560" w:lineRule="exact"/>
        <w:ind w:firstLine="640" w:firstLineChars="200"/>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工业园区开发运营市场主导态势逐步显现，近几年品牌房企、实业巨头、创投机构、轻资产园区运营商等均加快入局，整个行业呈现出“跑马圈地”“群雄逐鹿”的局面，多样化的市场竞争主体也将激发整个行业创新发展的内生动力，在行业内部产生“鲶鱼效应”。鄂尔多斯市工业园区应积极探索市场化开发运营模式，主动学习对标苏州工业园区等地先进经验做法，加快补短板、锻长板、夯基础、增优势，推动全市工业园区发展再上新台阶。</w:t>
      </w:r>
    </w:p>
    <w:p>
      <w:pPr>
        <w:pStyle w:val="4"/>
        <w:spacing w:before="0" w:after="0" w:line="360" w:lineRule="auto"/>
        <w:ind w:firstLine="640" w:firstLineChars="200"/>
        <w:rPr>
          <w:rStyle w:val="47"/>
          <w:b w:val="0"/>
          <w:bCs w:val="0"/>
          <w:color w:val="auto"/>
        </w:rPr>
      </w:pPr>
      <w:r>
        <w:rPr>
          <w:rStyle w:val="47"/>
          <w:b w:val="0"/>
          <w:bCs w:val="0"/>
          <w:color w:val="auto"/>
        </w:rPr>
        <w:t>三、理念变革，挖潜存量拓展园区发展空间</w:t>
      </w:r>
    </w:p>
    <w:p>
      <w:pPr>
        <w:spacing w:line="560" w:lineRule="exact"/>
        <w:ind w:firstLine="640" w:firstLineChars="200"/>
        <w:rPr>
          <w:rFonts w:ascii="Times New Roman" w:hAnsi="Times New Roman" w:eastAsia="仿宋_GB2312" w:cs="Times New Roman"/>
          <w:sz w:val="32"/>
          <w:szCs w:val="28"/>
        </w:rPr>
      </w:pPr>
      <w:r>
        <w:rPr>
          <w:rFonts w:ascii="Times New Roman" w:hAnsi="Times New Roman" w:eastAsia="仿宋_GB2312" w:cs="Times New Roman"/>
          <w:sz w:val="32"/>
          <w:szCs w:val="28"/>
        </w:rPr>
        <w:t>现阶段，鄂尔多斯产业园区存在定位趋同、特色不明显、园区品牌影响较弱等问题，因产业园区缺乏精准规划、产业配套跟不上，产业园区招商工作难以推进，全市工业园区亩均税收、产值与上海、苏州等东部城市发达园区差距明显。产业园区应摒弃传统的规模化布局，开始走向精细化发展之路，重点发展主导产业，加强园区的产业定位和产品、服务的精细化管理，完善园区配套建设和服务体系，提高土地利用率，提升项目效益，打造品牌效应。</w:t>
      </w:r>
    </w:p>
    <w:p>
      <w:pPr>
        <w:pStyle w:val="4"/>
        <w:spacing w:before="0" w:after="0" w:line="360" w:lineRule="auto"/>
        <w:ind w:firstLine="640" w:firstLineChars="200"/>
        <w:rPr>
          <w:rStyle w:val="47"/>
          <w:b w:val="0"/>
          <w:bCs w:val="0"/>
          <w:color w:val="auto"/>
        </w:rPr>
      </w:pPr>
      <w:r>
        <w:rPr>
          <w:rStyle w:val="47"/>
          <w:b w:val="0"/>
          <w:bCs w:val="0"/>
          <w:color w:val="auto"/>
        </w:rPr>
        <w:t>四、绿色转型，园区低碳发展面临更大挑战</w:t>
      </w:r>
    </w:p>
    <w:p>
      <w:pPr>
        <w:spacing w:line="560" w:lineRule="exact"/>
        <w:ind w:firstLine="640" w:firstLineChars="200"/>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“十四五”时期，自治区要求各</w:t>
      </w:r>
      <w:r>
        <w:rPr>
          <w:rFonts w:hint="eastAsia" w:ascii="仿宋_GB2312" w:hAnsi="仿宋_GB2312" w:eastAsia="仿宋_GB2312" w:cs="仿宋_GB2312"/>
          <w:sz w:val="32"/>
          <w:szCs w:val="28"/>
          <w:lang w:eastAsia="zh-CN"/>
        </w:rPr>
        <w:t>盟</w:t>
      </w:r>
      <w:r>
        <w:rPr>
          <w:rFonts w:hint="eastAsia" w:ascii="仿宋_GB2312" w:hAnsi="仿宋_GB2312" w:eastAsia="仿宋_GB2312" w:cs="仿宋_GB2312"/>
          <w:sz w:val="32"/>
          <w:szCs w:val="28"/>
        </w:rPr>
        <w:t>市将能耗双控约束挺在前面，坚决遏制高耗能产业盲目发展和低水平重复建设，从严控制存量高耗能企业新增用能，坚决守住能耗双控底线。鄂尔多斯市各工业园区必须切实抓住推动工业经济绿色转型的战略窗口期，科学论证和统筹园区定位，果断做好“减法”，审慎做好“加法”，引领全市工业园区加快构建绿色特色优势现代产业体系，主动谋划推进能源结构、产业结构整体优化和发展方式根本转变。</w:t>
      </w:r>
    </w:p>
    <w:p>
      <w:pPr>
        <w:spacing w:line="560" w:lineRule="exact"/>
        <w:ind w:firstLine="640" w:firstLineChars="200"/>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总体看，“十四五”时期鄂尔多斯市工业园区应牢牢把握发展形势，找准发展定位，取长补短，积极发挥创新引领作用，努力提升全市工业经济整体发展水平，更好地服务于国家战略和自治区部署要求。</w:t>
      </w:r>
    </w:p>
    <w:p>
      <w:pPr>
        <w:pStyle w:val="2"/>
        <w:spacing w:line="578" w:lineRule="atLeast"/>
        <w:jc w:val="center"/>
        <w:rPr>
          <w:rFonts w:ascii="Times New Roman" w:hAnsi="Times New Roman" w:eastAsia="黑体" w:cs="Times New Roman"/>
          <w:b w:val="0"/>
          <w:bCs w:val="0"/>
        </w:rPr>
      </w:pPr>
      <w:bookmarkStart w:id="5" w:name="_Toc12027"/>
    </w:p>
    <w:p>
      <w:pPr>
        <w:pStyle w:val="2"/>
        <w:spacing w:line="578" w:lineRule="atLeast"/>
        <w:jc w:val="center"/>
        <w:rPr>
          <w:rFonts w:hint="eastAsia" w:ascii="楷体_GB2312" w:hAnsi="楷体_GB2312" w:eastAsia="楷体_GB2312" w:cs="楷体_GB2312"/>
          <w:b w:val="0"/>
          <w:bCs w:val="0"/>
          <w:sz w:val="32"/>
          <w:szCs w:val="32"/>
        </w:rPr>
      </w:pPr>
      <w:r>
        <w:rPr>
          <w:rFonts w:ascii="Times New Roman" w:hAnsi="Times New Roman" w:eastAsia="黑体" w:cs="Times New Roman"/>
          <w:b w:val="0"/>
          <w:bCs w:val="0"/>
          <w:sz w:val="32"/>
          <w:szCs w:val="32"/>
        </w:rPr>
        <w:t>第二章 总体要求</w:t>
      </w:r>
      <w:bookmarkEnd w:id="5"/>
    </w:p>
    <w:p>
      <w:pPr>
        <w:pStyle w:val="3"/>
        <w:spacing w:before="312" w:beforeLines="100" w:after="312" w:afterLines="100"/>
        <w:rPr>
          <w:rFonts w:ascii="Times New Roman" w:hAnsi="Times New Roman" w:eastAsia="楷体_GB2312"/>
          <w:b w:val="0"/>
          <w:bCs w:val="0"/>
          <w:sz w:val="32"/>
        </w:rPr>
      </w:pPr>
      <w:bookmarkStart w:id="6" w:name="_Toc27243"/>
      <w:r>
        <w:rPr>
          <w:rFonts w:ascii="Times New Roman" w:hAnsi="Times New Roman" w:eastAsia="楷体_GB2312"/>
          <w:b w:val="0"/>
          <w:bCs w:val="0"/>
          <w:sz w:val="32"/>
        </w:rPr>
        <w:t>第一节 指导思想</w:t>
      </w:r>
      <w:bookmarkEnd w:id="6"/>
    </w:p>
    <w:p>
      <w:pPr>
        <w:spacing w:line="560" w:lineRule="exact"/>
        <w:ind w:firstLine="640" w:firstLineChars="200"/>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以习近平新时代中国特色社会主义思想为指导，深入贯彻党的十九大和十九届历次全会精神、中央经济工作会议精神，全面落实习近平总书记对内蒙古重要讲话重要指示批示精神，认真贯彻全区工业经济高质量发展大会、全市工业和民营经济高质量发展大会精神，完整、准确、全面贯彻新发展理念，积极融入</w:t>
      </w:r>
      <w:r>
        <w:rPr>
          <w:rFonts w:hint="eastAsia" w:ascii="仿宋_GB2312" w:hAnsi="仿宋_GB2312" w:eastAsia="仿宋_GB2312" w:cs="仿宋_GB2312"/>
          <w:sz w:val="32"/>
          <w:szCs w:val="28"/>
          <w:lang w:eastAsia="zh-CN"/>
        </w:rPr>
        <w:t>、</w:t>
      </w:r>
      <w:r>
        <w:rPr>
          <w:rFonts w:hint="eastAsia" w:ascii="仿宋_GB2312" w:hAnsi="仿宋_GB2312" w:eastAsia="仿宋_GB2312" w:cs="仿宋_GB2312"/>
          <w:sz w:val="32"/>
          <w:szCs w:val="28"/>
        </w:rPr>
        <w:t>服务黄河流域生态保护和高质量发展国家战略，牢牢立足自治区“两个屏障”“两个基地”和“一个桥头堡”的战略定位，打造建设“探索以生态优先、绿色发展为导向的高质量发展新路子”先行区的重要载体，以推动“碳达峰、碳中和”为契机，全力以赴转变产业结构和能源结构，统筹发展和安全两个层面工作。坚持工业经济是“立市之本、强市之基”基本原则，坚持“工业强市”战略导向，把产业园区打造成工业经济的主战场和主阵地，着力抓好产业园区提质升级，以培育千亿级产业集群为目标，以推进园区管理体制创新为抓手，加快提升全市园区经济规模和竞争力，深化“亩均效益”评价，不断提升产业高端化、智能化、绿色化发展水平，对标先进、加快补短板、锻长板、夯基础、增优势，推进工业经济上规模、结构上档次、质量上台阶，打造鄂尔多斯工业经济升级版。坚持项目为王、质量为王，强化单位面积投入强度和产出效率考核，倒逼园区集约高效发展。按照“企业集聚、产业集群、发展集约”原则，将全市工业园区建设成为高质量发展的引领区、创业创新的集聚区、开放型经济和体制改革的先行区、高水平营商环境的示范区，引领鄂尔多斯市工业经济高质量发展，打牢现代化鄂尔多斯建设的强大根基，为全国全区发展大局作出更大贡献。</w:t>
      </w:r>
      <w:bookmarkStart w:id="7" w:name="_Toc14902"/>
    </w:p>
    <w:p>
      <w:pPr>
        <w:spacing w:line="560" w:lineRule="exact"/>
        <w:ind w:firstLine="640" w:firstLineChars="200"/>
        <w:rPr>
          <w:rFonts w:hint="eastAsia" w:ascii="仿宋_GB2312" w:hAnsi="仿宋_GB2312" w:eastAsia="仿宋_GB2312" w:cs="仿宋_GB2312"/>
          <w:sz w:val="32"/>
          <w:szCs w:val="28"/>
        </w:rPr>
      </w:pPr>
    </w:p>
    <w:p>
      <w:pPr>
        <w:numPr>
          <w:ilvl w:val="0"/>
          <w:numId w:val="1"/>
        </w:numPr>
        <w:spacing w:line="560" w:lineRule="exact"/>
        <w:ind w:firstLine="640" w:firstLineChars="200"/>
        <w:jc w:val="center"/>
        <w:rPr>
          <w:rFonts w:ascii="Times New Roman" w:hAnsi="Times New Roman" w:eastAsia="楷体_GB2312"/>
          <w:sz w:val="32"/>
        </w:rPr>
      </w:pPr>
      <w:r>
        <w:rPr>
          <w:rFonts w:ascii="Times New Roman" w:hAnsi="Times New Roman" w:eastAsia="楷体_GB2312"/>
          <w:sz w:val="32"/>
        </w:rPr>
        <w:t>发展定位</w:t>
      </w:r>
      <w:bookmarkEnd w:id="7"/>
    </w:p>
    <w:p>
      <w:pPr>
        <w:numPr>
          <w:ilvl w:val="0"/>
          <w:numId w:val="0"/>
        </w:numPr>
        <w:spacing w:line="560" w:lineRule="exact"/>
        <w:rPr>
          <w:rFonts w:ascii="Times New Roman" w:hAnsi="Times New Roman" w:eastAsia="楷体_GB2312"/>
          <w:sz w:val="32"/>
        </w:rPr>
      </w:pPr>
    </w:p>
    <w:p>
      <w:pPr>
        <w:pStyle w:val="4"/>
        <w:spacing w:before="0" w:after="0" w:line="360" w:lineRule="auto"/>
        <w:ind w:firstLine="640" w:firstLineChars="200"/>
        <w:rPr>
          <w:rStyle w:val="47"/>
          <w:b w:val="0"/>
          <w:bCs w:val="0"/>
          <w:color w:val="auto"/>
        </w:rPr>
      </w:pPr>
      <w:r>
        <w:rPr>
          <w:rStyle w:val="47"/>
          <w:b w:val="0"/>
          <w:bCs w:val="0"/>
          <w:color w:val="auto"/>
        </w:rPr>
        <w:t>一、推进鄂尔多斯高质量发展的重要载体</w:t>
      </w:r>
    </w:p>
    <w:p>
      <w:pPr>
        <w:spacing w:line="560" w:lineRule="exact"/>
        <w:ind w:firstLine="640" w:firstLineChars="200"/>
        <w:rPr>
          <w:rFonts w:ascii="Times New Roman" w:hAnsi="Times New Roman" w:eastAsia="仿宋_GB2312" w:cs="Times New Roman"/>
          <w:sz w:val="32"/>
          <w:szCs w:val="28"/>
        </w:rPr>
      </w:pPr>
      <w:r>
        <w:rPr>
          <w:rFonts w:ascii="Times New Roman" w:hAnsi="Times New Roman" w:eastAsia="仿宋_GB2312" w:cs="Times New Roman"/>
          <w:sz w:val="32"/>
          <w:szCs w:val="28"/>
        </w:rPr>
        <w:t>优化开发区布局和功能定位，提升开发区产业基础能力和产业链水平，推动经济发展质量变革、效率变革、动力变革，不断提升全要素生产率，促进全市开发区产业迈向价值链中高端，形成以工业园区为载体、以产业集群为抓手、以重点项目为支撑、以科技创新为动力、以政策举措为保障的工业高质量发展新格局。</w:t>
      </w:r>
    </w:p>
    <w:p>
      <w:pPr>
        <w:pStyle w:val="4"/>
        <w:spacing w:before="0" w:after="0" w:line="360" w:lineRule="auto"/>
        <w:ind w:firstLine="640" w:firstLineChars="200"/>
        <w:rPr>
          <w:rStyle w:val="47"/>
          <w:b w:val="0"/>
          <w:bCs w:val="0"/>
          <w:color w:val="auto"/>
        </w:rPr>
      </w:pPr>
      <w:r>
        <w:rPr>
          <w:rStyle w:val="47"/>
          <w:b w:val="0"/>
          <w:bCs w:val="0"/>
          <w:color w:val="auto"/>
        </w:rPr>
        <w:t>二、加快鄂尔多斯创新发展的支柱平台</w:t>
      </w:r>
    </w:p>
    <w:p>
      <w:pPr>
        <w:spacing w:line="560" w:lineRule="exact"/>
        <w:ind w:firstLine="640" w:firstLineChars="200"/>
        <w:rPr>
          <w:rFonts w:ascii="Times New Roman" w:hAnsi="Times New Roman" w:eastAsia="仿宋_GB2312" w:cs="Times New Roman"/>
          <w:sz w:val="32"/>
          <w:szCs w:val="28"/>
        </w:rPr>
      </w:pPr>
      <w:r>
        <w:rPr>
          <w:rFonts w:ascii="Times New Roman" w:hAnsi="Times New Roman" w:eastAsia="仿宋_GB2312" w:cs="Times New Roman"/>
          <w:sz w:val="32"/>
          <w:szCs w:val="28"/>
        </w:rPr>
        <w:t>围绕产业链部署创新链，围绕创新链布局产业链，建立完善技术创新市场导向机制与产学研协同创新机制，培育一批具有国际竞争力的创新型企业和产业集群。加快建设区域创新体系，着眼国家战略需求、主动承接国家和自治区科技基础设施项目，进一步增强科技创新力量，培养造就一批具有国际水平的科技领军人才、青年科技人才和高水平创新团队。</w:t>
      </w:r>
    </w:p>
    <w:p>
      <w:pPr>
        <w:pStyle w:val="4"/>
        <w:spacing w:before="0" w:after="0" w:line="360" w:lineRule="auto"/>
        <w:ind w:firstLine="640" w:firstLineChars="200"/>
        <w:rPr>
          <w:rStyle w:val="47"/>
          <w:b w:val="0"/>
          <w:bCs w:val="0"/>
          <w:color w:val="auto"/>
        </w:rPr>
      </w:pPr>
      <w:r>
        <w:rPr>
          <w:rStyle w:val="47"/>
          <w:b w:val="0"/>
          <w:bCs w:val="0"/>
          <w:color w:val="auto"/>
        </w:rPr>
        <w:t>三、推动鄂尔多斯绿色发展的关键靶点</w:t>
      </w:r>
    </w:p>
    <w:p>
      <w:pPr>
        <w:spacing w:line="560" w:lineRule="exact"/>
        <w:ind w:firstLine="640" w:firstLineChars="200"/>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工业园区承担了密集的工业生产活动，是鄂尔多斯建设绿色制造体系最重要、最广泛的载体，尤其在当前至2035年大力推进生态文明建设的大战略下，工业园区零碳、低碳发展也将成为全市落实国家“碳达峰、碳中和”目标和实现精准减排的关键落脚点。</w:t>
      </w:r>
    </w:p>
    <w:p>
      <w:pPr>
        <w:pStyle w:val="4"/>
        <w:spacing w:before="0" w:after="0" w:line="360" w:lineRule="auto"/>
        <w:ind w:firstLine="640" w:firstLineChars="200"/>
        <w:rPr>
          <w:rStyle w:val="47"/>
          <w:b w:val="0"/>
          <w:bCs w:val="0"/>
          <w:color w:val="auto"/>
        </w:rPr>
      </w:pPr>
      <w:r>
        <w:rPr>
          <w:rStyle w:val="47"/>
          <w:b w:val="0"/>
          <w:bCs w:val="0"/>
          <w:color w:val="auto"/>
        </w:rPr>
        <w:t>四、促进鄂尔多斯开放发展的主要阵地</w:t>
      </w:r>
    </w:p>
    <w:p>
      <w:pPr>
        <w:spacing w:line="560" w:lineRule="exact"/>
        <w:ind w:firstLine="640" w:firstLineChars="200"/>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培育经济新模式新业态，创新对外投资方式，对内打造内蒙古开放新高地，对外构建俄罗斯、蒙古、欧洲的内陆开放支点，形成面向“一带一路”沿线国家、东部发达地区、周边区域的贸易、投资、生产、服务网络，打造鄂尔多斯向北开放和“一带一路”桥头堡和丝绸之路经济带建设的重要平台。以产业共建为纽带，加强各旗区开发区之间的联动与协调。强化重大项目和龙头企业带动，促进点、线、面多层次联动，推动重大产业的跨区域链接融合，形成优势互补联动发展的工业经济新格局。</w:t>
      </w:r>
    </w:p>
    <w:p>
      <w:pPr>
        <w:pStyle w:val="3"/>
        <w:spacing w:before="312" w:beforeLines="100" w:after="312" w:afterLines="100"/>
        <w:rPr>
          <w:rFonts w:ascii="Times New Roman" w:hAnsi="Times New Roman" w:eastAsia="楷体_GB2312"/>
          <w:b w:val="0"/>
          <w:bCs w:val="0"/>
          <w:sz w:val="32"/>
        </w:rPr>
      </w:pPr>
      <w:bookmarkStart w:id="8" w:name="_Toc11440"/>
      <w:r>
        <w:rPr>
          <w:rFonts w:ascii="Times New Roman" w:hAnsi="Times New Roman" w:eastAsia="楷体_GB2312"/>
          <w:b w:val="0"/>
          <w:bCs w:val="0"/>
          <w:sz w:val="32"/>
        </w:rPr>
        <w:t>第三节 总体思路</w:t>
      </w:r>
      <w:bookmarkEnd w:id="8"/>
    </w:p>
    <w:p>
      <w:pPr>
        <w:pStyle w:val="4"/>
        <w:spacing w:before="0" w:after="0" w:line="360" w:lineRule="auto"/>
        <w:ind w:firstLine="640" w:firstLineChars="200"/>
        <w:rPr>
          <w:rStyle w:val="47"/>
          <w:b w:val="0"/>
          <w:bCs w:val="0"/>
          <w:color w:val="auto"/>
        </w:rPr>
      </w:pPr>
      <w:r>
        <w:rPr>
          <w:rStyle w:val="47"/>
          <w:rFonts w:hint="eastAsia" w:ascii="黑体" w:hAnsi="黑体" w:eastAsia="黑体" w:cs="黑体"/>
          <w:b w:val="0"/>
          <w:bCs w:val="0"/>
          <w:color w:val="auto"/>
        </w:rPr>
        <w:t>一、加快“3个转变”，重塑园区发展战略理念</w:t>
      </w:r>
    </w:p>
    <w:p>
      <w:pPr>
        <w:spacing w:line="560" w:lineRule="exact"/>
        <w:ind w:firstLine="640" w:firstLineChars="200"/>
        <w:rPr>
          <w:rFonts w:hint="eastAsia" w:ascii="仿宋_GB2312" w:hAnsi="仿宋_GB2312" w:eastAsia="仿宋_GB2312" w:cs="仿宋_GB2312"/>
          <w:b w:val="0"/>
          <w:bCs w:val="0"/>
          <w:sz w:val="32"/>
          <w:szCs w:val="28"/>
        </w:rPr>
      </w:pPr>
      <w:r>
        <w:rPr>
          <w:rFonts w:hint="eastAsia" w:ascii="仿宋_GB2312" w:hAnsi="仿宋_GB2312" w:eastAsia="仿宋_GB2312" w:cs="仿宋_GB2312"/>
          <w:b w:val="0"/>
          <w:bCs w:val="0"/>
          <w:sz w:val="32"/>
          <w:szCs w:val="28"/>
        </w:rPr>
        <w:t>产业体系方面，由产能粗放扩张转向创新高效扩张。以产业链为抓手聚合创新链。一是实施“链长制”产业链精准招商，围绕全产业链抓集群。避免同质化竞争，聚焦“外引内培”，强化“主攻龙头企业，引进配套企业，形成产业集群”的产业链招商，形成多点支撑、协同发展的格局，使单打独斗的企业汇聚成以产业链关联为纽带的产业集群。二是以智能制造为方向加快产业转型升级。向创新要效益，以“生产模式升级”和“生产要素升级”为抓手，推动传统产业生产效率提升和品质品牌重塑，大力发展新能源、新材料、高端装备、绿色环保、电子信息等战略性新兴产业。</w:t>
      </w:r>
    </w:p>
    <w:p>
      <w:pPr>
        <w:spacing w:line="560" w:lineRule="exact"/>
        <w:ind w:firstLine="640" w:firstLineChars="200"/>
        <w:rPr>
          <w:rFonts w:hint="eastAsia" w:ascii="仿宋_GB2312" w:hAnsi="仿宋_GB2312" w:eastAsia="仿宋_GB2312" w:cs="仿宋_GB2312"/>
          <w:b w:val="0"/>
          <w:bCs w:val="0"/>
          <w:sz w:val="32"/>
          <w:szCs w:val="28"/>
        </w:rPr>
      </w:pPr>
      <w:r>
        <w:rPr>
          <w:rFonts w:hint="eastAsia" w:ascii="仿宋_GB2312" w:hAnsi="仿宋_GB2312" w:eastAsia="仿宋_GB2312" w:cs="仿宋_GB2312"/>
          <w:b w:val="0"/>
          <w:bCs w:val="0"/>
          <w:sz w:val="32"/>
          <w:szCs w:val="28"/>
        </w:rPr>
        <w:t>空间体系方面，由增量拓展转向存量挖潜。面向未来园区产业集聚、资源集约、绿色发展的发展导向，以“管控底线、活化路径、优化管理”为基本思路，从严格管控园区空间开发边界、构建存量用地评价退出机制、完善产业用地再开发分类引导等方面优化构建工业园区空间体系。推动具备条件的园区实施循环化改造，实现园区的能源、水、土地等资源利用效率大幅提升，二氧化碳、固体废物、废水、主要大气污染物排放量大幅降低。</w:t>
      </w:r>
    </w:p>
    <w:p>
      <w:pPr>
        <w:spacing w:line="560" w:lineRule="exact"/>
        <w:ind w:firstLine="640" w:firstLineChars="200"/>
        <w:rPr>
          <w:rFonts w:hint="eastAsia" w:ascii="仿宋_GB2312" w:hAnsi="仿宋_GB2312" w:eastAsia="仿宋_GB2312" w:cs="仿宋_GB2312"/>
          <w:b w:val="0"/>
          <w:bCs w:val="0"/>
          <w:sz w:val="32"/>
          <w:szCs w:val="28"/>
        </w:rPr>
      </w:pPr>
      <w:r>
        <w:rPr>
          <w:rFonts w:hint="eastAsia" w:ascii="仿宋_GB2312" w:hAnsi="仿宋_GB2312" w:eastAsia="仿宋_GB2312" w:cs="仿宋_GB2312"/>
          <w:b w:val="0"/>
          <w:bCs w:val="0"/>
          <w:sz w:val="32"/>
          <w:szCs w:val="28"/>
        </w:rPr>
        <w:t>治理体系方面，由政府主导转向多元参与。推动管理体制市场化改革，向产业服务的组织者、创新环境的营造者转变。充分释放和有效发挥城市、园区、企业以及社会组织等主观能动性、积极性和创造性，从政府主导走向多元联动。合理协调园区的开发建设和社会管理职能，从主导开发到引导开发转变，更多地由企业参与和承担开发功能。</w:t>
      </w:r>
      <w:r>
        <w:rPr>
          <w:rFonts w:hint="eastAsia" w:ascii="仿宋_GB2312" w:hAnsi="仿宋_GB2312" w:eastAsia="仿宋_GB2312" w:cs="仿宋_GB2312"/>
          <w:b w:val="0"/>
          <w:bCs w:val="0"/>
          <w:sz w:val="32"/>
          <w:szCs w:val="28"/>
          <w:lang w:eastAsia="zh-CN"/>
        </w:rPr>
        <w:t>园区</w:t>
      </w:r>
      <w:r>
        <w:rPr>
          <w:rFonts w:hint="eastAsia" w:ascii="仿宋_GB2312" w:hAnsi="仿宋_GB2312" w:eastAsia="仿宋_GB2312" w:cs="仿宋_GB2312"/>
          <w:b w:val="0"/>
          <w:bCs w:val="0"/>
          <w:sz w:val="32"/>
          <w:szCs w:val="28"/>
        </w:rPr>
        <w:t>管</w:t>
      </w:r>
      <w:r>
        <w:rPr>
          <w:rFonts w:hint="eastAsia" w:ascii="仿宋_GB2312" w:hAnsi="仿宋_GB2312" w:eastAsia="仿宋_GB2312" w:cs="仿宋_GB2312"/>
          <w:b w:val="0"/>
          <w:bCs w:val="0"/>
          <w:sz w:val="32"/>
          <w:szCs w:val="28"/>
          <w:lang w:eastAsia="zh-CN"/>
        </w:rPr>
        <w:t>理</w:t>
      </w:r>
      <w:r>
        <w:rPr>
          <w:rFonts w:hint="eastAsia" w:ascii="仿宋_GB2312" w:hAnsi="仿宋_GB2312" w:eastAsia="仿宋_GB2312" w:cs="仿宋_GB2312"/>
          <w:b w:val="0"/>
          <w:bCs w:val="0"/>
          <w:sz w:val="32"/>
          <w:szCs w:val="28"/>
        </w:rPr>
        <w:t>委</w:t>
      </w:r>
      <w:r>
        <w:rPr>
          <w:rFonts w:hint="eastAsia" w:ascii="仿宋_GB2312" w:hAnsi="仿宋_GB2312" w:eastAsia="仿宋_GB2312" w:cs="仿宋_GB2312"/>
          <w:b w:val="0"/>
          <w:bCs w:val="0"/>
          <w:sz w:val="32"/>
          <w:szCs w:val="28"/>
          <w:lang w:eastAsia="zh-CN"/>
        </w:rPr>
        <w:t>员</w:t>
      </w:r>
      <w:r>
        <w:rPr>
          <w:rFonts w:hint="eastAsia" w:ascii="仿宋_GB2312" w:hAnsi="仿宋_GB2312" w:eastAsia="仿宋_GB2312" w:cs="仿宋_GB2312"/>
          <w:b w:val="0"/>
          <w:bCs w:val="0"/>
          <w:sz w:val="32"/>
          <w:szCs w:val="28"/>
        </w:rPr>
        <w:t>会作为上级</w:t>
      </w:r>
      <w:r>
        <w:rPr>
          <w:rFonts w:hint="eastAsia" w:ascii="仿宋_GB2312" w:hAnsi="仿宋_GB2312" w:eastAsia="仿宋_GB2312" w:cs="仿宋_GB2312"/>
          <w:b w:val="0"/>
          <w:bCs w:val="0"/>
          <w:sz w:val="32"/>
          <w:szCs w:val="28"/>
          <w:lang w:eastAsia="zh-CN"/>
        </w:rPr>
        <w:t>人民</w:t>
      </w:r>
      <w:r>
        <w:rPr>
          <w:rFonts w:hint="eastAsia" w:ascii="仿宋_GB2312" w:hAnsi="仿宋_GB2312" w:eastAsia="仿宋_GB2312" w:cs="仿宋_GB2312"/>
          <w:b w:val="0"/>
          <w:bCs w:val="0"/>
          <w:sz w:val="32"/>
          <w:szCs w:val="28"/>
        </w:rPr>
        <w:t>政府的派出机构，以其高位统筹和调控开发区的开发建设</w:t>
      </w:r>
      <w:r>
        <w:rPr>
          <w:rFonts w:hint="eastAsia" w:ascii="仿宋_GB2312" w:hAnsi="仿宋_GB2312" w:eastAsia="仿宋_GB2312" w:cs="仿宋_GB2312"/>
          <w:b w:val="0"/>
          <w:bCs w:val="0"/>
          <w:sz w:val="32"/>
          <w:szCs w:val="28"/>
          <w:lang w:eastAsia="zh-CN"/>
        </w:rPr>
        <w:t>及</w:t>
      </w:r>
      <w:r>
        <w:rPr>
          <w:rFonts w:hint="eastAsia" w:ascii="仿宋_GB2312" w:hAnsi="仿宋_GB2312" w:eastAsia="仿宋_GB2312" w:cs="仿宋_GB2312"/>
          <w:b w:val="0"/>
          <w:bCs w:val="0"/>
          <w:sz w:val="32"/>
          <w:szCs w:val="28"/>
        </w:rPr>
        <w:t>经济发展，且重在形成促进产业转型和增强经济竞争力的良好的政策和公共服务环境。</w:t>
      </w:r>
    </w:p>
    <w:p>
      <w:pPr>
        <w:pStyle w:val="4"/>
        <w:spacing w:before="0" w:after="0" w:line="360" w:lineRule="auto"/>
        <w:ind w:firstLine="640" w:firstLineChars="200"/>
        <w:rPr>
          <w:rStyle w:val="47"/>
          <w:rFonts w:hint="eastAsia" w:ascii="黑体" w:hAnsi="黑体" w:eastAsia="黑体" w:cs="黑体"/>
          <w:b w:val="0"/>
          <w:bCs w:val="0"/>
          <w:color w:val="auto"/>
        </w:rPr>
      </w:pPr>
      <w:r>
        <w:rPr>
          <w:rStyle w:val="47"/>
          <w:rFonts w:hint="eastAsia" w:ascii="黑体" w:hAnsi="黑体" w:eastAsia="黑体" w:cs="黑体"/>
          <w:b w:val="0"/>
          <w:bCs w:val="0"/>
          <w:color w:val="auto"/>
        </w:rPr>
        <w:t>二、把握“3个主动”，拓展园区低碳转型空间</w:t>
      </w:r>
    </w:p>
    <w:p>
      <w:pPr>
        <w:spacing w:line="560" w:lineRule="exact"/>
        <w:ind w:firstLine="640" w:firstLineChars="200"/>
        <w:rPr>
          <w:rFonts w:hint="eastAsia" w:ascii="仿宋_GB2312" w:hAnsi="仿宋_GB2312" w:eastAsia="仿宋_GB2312" w:cs="仿宋_GB2312"/>
          <w:b w:val="0"/>
          <w:bCs/>
          <w:sz w:val="32"/>
          <w:szCs w:val="28"/>
        </w:rPr>
      </w:pPr>
      <w:r>
        <w:rPr>
          <w:rFonts w:hint="eastAsia" w:ascii="仿宋_GB2312" w:hAnsi="仿宋_GB2312" w:eastAsia="仿宋_GB2312" w:cs="仿宋_GB2312"/>
          <w:b w:val="0"/>
          <w:bCs/>
          <w:sz w:val="32"/>
          <w:szCs w:val="28"/>
        </w:rPr>
        <w:t>主动抑制“两高两低”</w:t>
      </w:r>
      <w:r>
        <w:rPr>
          <w:rStyle w:val="28"/>
          <w:rFonts w:hint="eastAsia" w:ascii="仿宋_GB2312" w:hAnsi="仿宋_GB2312" w:eastAsia="仿宋_GB2312" w:cs="仿宋_GB2312"/>
          <w:b w:val="0"/>
          <w:bCs/>
          <w:sz w:val="32"/>
          <w:szCs w:val="28"/>
        </w:rPr>
        <w:footnoteReference w:id="1"/>
      </w:r>
      <w:r>
        <w:rPr>
          <w:rFonts w:hint="eastAsia" w:ascii="仿宋_GB2312" w:hAnsi="仿宋_GB2312" w:eastAsia="仿宋_GB2312" w:cs="仿宋_GB2312"/>
          <w:b w:val="0"/>
          <w:bCs/>
          <w:sz w:val="32"/>
          <w:szCs w:val="28"/>
        </w:rPr>
        <w:t>项目上马冲动。调整和改变区域产业发展的思路和重点，减少对传统能源的依赖，实施更加严格的市场准入制度。严把项目准入关口，在项目谋划、包装、招商和落地过程中，建立项目能评、环评、安评联动审批机制，实行联动审批部门单项审批否决制。严控产能过剩项目新增产能，严控高耗能、高排放、高污染、低水平项目市场准入，严控存在重大安全隐患的项目。对新增高耗能项目，需提前报请审查。</w:t>
      </w:r>
    </w:p>
    <w:p>
      <w:pPr>
        <w:spacing w:line="560" w:lineRule="exact"/>
        <w:ind w:firstLine="640" w:firstLineChars="200"/>
        <w:rPr>
          <w:rFonts w:hint="eastAsia" w:ascii="仿宋_GB2312" w:hAnsi="仿宋_GB2312" w:eastAsia="仿宋_GB2312" w:cs="仿宋_GB2312"/>
          <w:b w:val="0"/>
          <w:bCs/>
          <w:sz w:val="32"/>
          <w:szCs w:val="28"/>
        </w:rPr>
      </w:pPr>
      <w:r>
        <w:rPr>
          <w:rFonts w:hint="eastAsia" w:ascii="仿宋_GB2312" w:hAnsi="仿宋_GB2312" w:eastAsia="仿宋_GB2312" w:cs="仿宋_GB2312"/>
          <w:b w:val="0"/>
          <w:bCs/>
          <w:sz w:val="32"/>
          <w:szCs w:val="28"/>
        </w:rPr>
        <w:t>主动引导和倒逼节能降碳。提升行业节能减排标准，制订有效的行业领跑者制度及实施方案，激发企业自主节能减排的积极性；强化政策约束机制，完善财税鼓励措施，完善行业推广机制；新上工业项目要严格控制高碳产业的重复建设，引导地区间产业有序转移。</w:t>
      </w:r>
    </w:p>
    <w:p>
      <w:pPr>
        <w:spacing w:line="560" w:lineRule="exact"/>
        <w:ind w:firstLine="640" w:firstLineChars="200"/>
        <w:rPr>
          <w:rFonts w:hint="eastAsia" w:ascii="仿宋_GB2312" w:hAnsi="仿宋_GB2312" w:eastAsia="仿宋_GB2312" w:cs="仿宋_GB2312"/>
          <w:b w:val="0"/>
          <w:bCs/>
          <w:sz w:val="32"/>
          <w:szCs w:val="28"/>
        </w:rPr>
      </w:pPr>
      <w:r>
        <w:rPr>
          <w:rFonts w:hint="eastAsia" w:ascii="仿宋_GB2312" w:hAnsi="仿宋_GB2312" w:eastAsia="仿宋_GB2312" w:cs="仿宋_GB2312"/>
          <w:b w:val="0"/>
          <w:bCs/>
          <w:sz w:val="32"/>
          <w:szCs w:val="28"/>
        </w:rPr>
        <w:t>主动淘汰落后化解过剩产能。园区产业定位和主攻方向明确后，抓紧制定淘汰落后和化解过剩产能清单，出台冶金、电石、焦炭、电解铝、水泥等重点行业化解过剩产能工作方案，通过开展淘汰落后、兼并重组等方式，制定化解过剩产能设备封存验收、职工分流安置、工业企业结构调整专项奖补等配套政策措施，积极稳妥做好淘汰落后产能工作，尤其是现有低端产业链中高能耗高污染的部分落后产能，最大限度为新兴产业发展腾出土地、能耗、生态环境空间。</w:t>
      </w:r>
    </w:p>
    <w:p>
      <w:pPr>
        <w:pStyle w:val="4"/>
        <w:spacing w:before="0" w:after="0" w:line="360" w:lineRule="auto"/>
        <w:ind w:firstLine="640" w:firstLineChars="200"/>
        <w:rPr>
          <w:rStyle w:val="47"/>
          <w:rFonts w:hint="eastAsia" w:ascii="黑体" w:hAnsi="黑体" w:eastAsia="黑体" w:cs="黑体"/>
          <w:b w:val="0"/>
          <w:bCs w:val="0"/>
          <w:color w:val="auto"/>
        </w:rPr>
      </w:pPr>
      <w:r>
        <w:rPr>
          <w:rStyle w:val="47"/>
          <w:rFonts w:hint="eastAsia" w:ascii="黑体" w:hAnsi="黑体" w:eastAsia="黑体" w:cs="黑体"/>
          <w:b w:val="0"/>
          <w:bCs w:val="0"/>
          <w:color w:val="auto"/>
        </w:rPr>
        <w:t>三、采取“3个策略”，构建园区产业升级路径</w:t>
      </w:r>
    </w:p>
    <w:p>
      <w:pPr>
        <w:spacing w:line="560" w:lineRule="exact"/>
        <w:ind w:firstLine="640" w:firstLineChars="200"/>
        <w:rPr>
          <w:rFonts w:hint="eastAsia" w:ascii="仿宋_GB2312" w:hAnsi="仿宋_GB2312" w:eastAsia="仿宋_GB2312" w:cs="仿宋_GB2312"/>
          <w:b w:val="0"/>
          <w:bCs w:val="0"/>
          <w:sz w:val="32"/>
          <w:szCs w:val="28"/>
        </w:rPr>
      </w:pPr>
      <w:r>
        <w:rPr>
          <w:rFonts w:hint="eastAsia" w:ascii="仿宋_GB2312" w:hAnsi="仿宋_GB2312" w:eastAsia="仿宋_GB2312" w:cs="仿宋_GB2312"/>
          <w:b w:val="0"/>
          <w:bCs w:val="0"/>
          <w:sz w:val="32"/>
          <w:szCs w:val="28"/>
        </w:rPr>
        <w:t>通过特色聚焦、提质增效（优势产业）、有效导入（新兴产业），加快构建绿色特色优势现代产业体系。</w:t>
      </w:r>
    </w:p>
    <w:p>
      <w:pPr>
        <w:spacing w:line="560" w:lineRule="exact"/>
        <w:ind w:firstLine="640" w:firstLineChars="200"/>
        <w:rPr>
          <w:rFonts w:hint="eastAsia" w:ascii="仿宋_GB2312" w:hAnsi="仿宋_GB2312" w:eastAsia="仿宋_GB2312" w:cs="仿宋_GB2312"/>
          <w:b w:val="0"/>
          <w:bCs w:val="0"/>
          <w:sz w:val="32"/>
          <w:szCs w:val="28"/>
        </w:rPr>
      </w:pPr>
      <w:r>
        <w:rPr>
          <w:rFonts w:hint="eastAsia" w:ascii="仿宋_GB2312" w:hAnsi="仿宋_GB2312" w:eastAsia="仿宋_GB2312" w:cs="仿宋_GB2312"/>
          <w:b w:val="0"/>
          <w:bCs w:val="0"/>
          <w:sz w:val="32"/>
          <w:szCs w:val="28"/>
        </w:rPr>
        <w:t>特色聚焦。深入剖析核心优势资源和条件，明确各园区产业定位和主攻方向，制定严格的产业准入门槛，聚焦主导产业强链、补链、固链，避免贪大求全，建立园区小循环、整体大循环的绿色产业体系，加速打造特色产业集群。</w:t>
      </w:r>
    </w:p>
    <w:p>
      <w:pPr>
        <w:spacing w:line="560" w:lineRule="exact"/>
        <w:ind w:firstLine="640" w:firstLineChars="200"/>
        <w:rPr>
          <w:rFonts w:hint="eastAsia" w:ascii="仿宋_GB2312" w:hAnsi="仿宋_GB2312" w:eastAsia="仿宋_GB2312" w:cs="仿宋_GB2312"/>
          <w:b w:val="0"/>
          <w:bCs w:val="0"/>
          <w:sz w:val="32"/>
          <w:szCs w:val="28"/>
        </w:rPr>
      </w:pPr>
      <w:r>
        <w:rPr>
          <w:rFonts w:hint="eastAsia" w:ascii="仿宋_GB2312" w:hAnsi="仿宋_GB2312" w:eastAsia="仿宋_GB2312" w:cs="仿宋_GB2312"/>
          <w:b w:val="0"/>
          <w:bCs w:val="0"/>
          <w:sz w:val="32"/>
          <w:szCs w:val="28"/>
        </w:rPr>
        <w:t>提质增效。针对传统优势产业，通过自主研发、技术并购等引进新技术，向高附加值产品技术转型升级；推动“从制造到智造”，以智能制造技术推动传统制造业改造升级；推动“从制造到制造+服务”的制造业服务业融合；建立以单位产品价值、吨产品能耗为核心的产业价值考核机制，推动产业不断升级。</w:t>
      </w:r>
    </w:p>
    <w:p>
      <w:pPr>
        <w:spacing w:line="560" w:lineRule="exact"/>
        <w:ind w:firstLine="640" w:firstLineChars="200"/>
        <w:rPr>
          <w:rFonts w:hint="eastAsia" w:ascii="仿宋_GB2312" w:hAnsi="仿宋_GB2312" w:eastAsia="仿宋_GB2312" w:cs="仿宋_GB2312"/>
          <w:b w:val="0"/>
          <w:bCs w:val="0"/>
          <w:sz w:val="32"/>
          <w:szCs w:val="28"/>
        </w:rPr>
      </w:pPr>
      <w:r>
        <w:rPr>
          <w:rFonts w:hint="eastAsia" w:ascii="仿宋_GB2312" w:hAnsi="仿宋_GB2312" w:eastAsia="仿宋_GB2312" w:cs="仿宋_GB2312"/>
          <w:b w:val="0"/>
          <w:bCs w:val="0"/>
          <w:sz w:val="32"/>
          <w:szCs w:val="28"/>
        </w:rPr>
        <w:t>有效导入。瞄准新能源、新材料、绿色环保、先进装备等新兴产业，通过“工业互联网+产业人才+产业金融+产业联盟”模式，推动创业创新孵化，“无中生有”培育新的产业增长点，以增量产业带动存量产业转型升级，优化产业结构，推动整体突破发展。坚持以大带小、协作配套，坚持产业链主导企业与上下游全面衔接、主链双招双引与关联产业扩增协同并进、产业项目与服务平台一体发展，建设有机生态发展的“工业热带雨林”。</w:t>
      </w:r>
    </w:p>
    <w:p>
      <w:pPr>
        <w:pStyle w:val="3"/>
        <w:spacing w:before="312" w:beforeLines="100" w:after="312" w:afterLines="100"/>
        <w:rPr>
          <w:rFonts w:ascii="Times New Roman" w:hAnsi="Times New Roman" w:eastAsia="楷体_GB2312"/>
          <w:sz w:val="32"/>
        </w:rPr>
      </w:pPr>
      <w:bookmarkStart w:id="9" w:name="_Toc14113"/>
      <w:r>
        <w:rPr>
          <w:rFonts w:ascii="Times New Roman" w:hAnsi="Times New Roman" w:eastAsia="楷体_GB2312"/>
          <w:b w:val="0"/>
          <w:bCs w:val="0"/>
          <w:sz w:val="32"/>
        </w:rPr>
        <w:t>第四节 总体目标</w:t>
      </w:r>
      <w:bookmarkEnd w:id="9"/>
    </w:p>
    <w:p>
      <w:pPr>
        <w:spacing w:line="560" w:lineRule="exact"/>
        <w:ind w:firstLine="640" w:firstLineChars="200"/>
        <w:rPr>
          <w:rFonts w:hint="eastAsia" w:ascii="仿宋_GB2312" w:hAnsi="仿宋_GB2312" w:eastAsia="仿宋_GB2312" w:cs="仿宋_GB2312"/>
          <w:b w:val="0"/>
          <w:bCs w:val="0"/>
          <w:sz w:val="32"/>
          <w:szCs w:val="28"/>
        </w:rPr>
      </w:pPr>
      <w:r>
        <w:rPr>
          <w:rFonts w:hint="eastAsia" w:ascii="仿宋_GB2312" w:hAnsi="仿宋_GB2312" w:eastAsia="仿宋_GB2312" w:cs="仿宋_GB2312"/>
          <w:b w:val="0"/>
          <w:bCs w:val="0"/>
          <w:sz w:val="32"/>
          <w:szCs w:val="28"/>
        </w:rPr>
        <w:t>全面精准落实全市“对标先进、追赶超越”工作，在工业园区发展上“学苏州、超榆林”。到2025年，鄂尔多斯市工业园区产业规模和效益显著增强，产业转型升级取得明显成效，现代产业体系基本形成，产业空间格局进一步优化，园区配套设施水平大幅提升、支撑服务体系日趋完备。</w:t>
      </w:r>
    </w:p>
    <w:p>
      <w:pPr>
        <w:spacing w:line="560" w:lineRule="exact"/>
        <w:ind w:firstLine="640" w:firstLineChars="200"/>
        <w:rPr>
          <w:rFonts w:hint="eastAsia" w:ascii="仿宋_GB2312" w:hAnsi="仿宋_GB2312" w:eastAsia="仿宋_GB2312" w:cs="仿宋_GB2312"/>
          <w:b w:val="0"/>
          <w:bCs w:val="0"/>
          <w:sz w:val="32"/>
          <w:szCs w:val="28"/>
        </w:rPr>
      </w:pPr>
      <w:r>
        <w:rPr>
          <w:rFonts w:hint="eastAsia" w:ascii="仿宋_GB2312" w:hAnsi="仿宋_GB2312" w:eastAsia="仿宋_GB2312" w:cs="仿宋_GB2312"/>
          <w:b w:val="0"/>
          <w:bCs w:val="0"/>
          <w:sz w:val="32"/>
          <w:szCs w:val="28"/>
        </w:rPr>
        <w:t>产业集聚</w:t>
      </w:r>
      <w:r>
        <w:rPr>
          <w:rFonts w:hint="eastAsia" w:ascii="仿宋_GB2312" w:hAnsi="仿宋_GB2312" w:eastAsia="仿宋_GB2312" w:cs="仿宋_GB2312"/>
          <w:b w:val="0"/>
          <w:bCs w:val="0"/>
          <w:sz w:val="32"/>
          <w:szCs w:val="28"/>
          <w:lang w:eastAsia="zh-CN"/>
        </w:rPr>
        <w:t>。</w:t>
      </w:r>
      <w:r>
        <w:rPr>
          <w:rFonts w:hint="eastAsia" w:ascii="仿宋_GB2312" w:hAnsi="仿宋_GB2312" w:eastAsia="仿宋_GB2312" w:cs="仿宋_GB2312"/>
          <w:b w:val="0"/>
          <w:bCs w:val="0"/>
          <w:sz w:val="32"/>
          <w:szCs w:val="28"/>
        </w:rPr>
        <w:t>到2025年，全市工业园区产值年均增长12%；全市工业园区产值力争突破5000亿元，打造产值超千亿园区2个、超500亿园区2个，其</w:t>
      </w:r>
      <w:r>
        <w:rPr>
          <w:rFonts w:hint="eastAsia" w:ascii="仿宋_GB2312" w:hAnsi="仿宋_GB2312" w:eastAsia="仿宋_GB2312" w:cs="仿宋_GB2312"/>
          <w:b w:val="0"/>
          <w:bCs w:val="0"/>
          <w:sz w:val="32"/>
          <w:szCs w:val="28"/>
          <w:lang w:eastAsia="zh-CN"/>
        </w:rPr>
        <w:t>它</w:t>
      </w:r>
      <w:r>
        <w:rPr>
          <w:rFonts w:hint="eastAsia" w:ascii="仿宋_GB2312" w:hAnsi="仿宋_GB2312" w:eastAsia="仿宋_GB2312" w:cs="仿宋_GB2312"/>
          <w:b w:val="0"/>
          <w:bCs w:val="0"/>
          <w:sz w:val="32"/>
          <w:szCs w:val="28"/>
        </w:rPr>
        <w:t>园区产值全部超300亿元；打造装备制造、新能源、新材料3个产值千亿级产业集群。初步形成国家级、自治区级两级支撑，产业分工导向明确，规模和特色类型多样，集群化有序发展的工业园区产业布局体系。</w:t>
      </w:r>
    </w:p>
    <w:p>
      <w:pPr>
        <w:spacing w:line="560" w:lineRule="exact"/>
        <w:ind w:firstLine="640" w:firstLineChars="200"/>
        <w:rPr>
          <w:rFonts w:hint="eastAsia" w:ascii="仿宋_GB2312" w:hAnsi="仿宋_GB2312" w:eastAsia="仿宋_GB2312" w:cs="仿宋_GB2312"/>
          <w:b w:val="0"/>
          <w:bCs w:val="0"/>
          <w:sz w:val="32"/>
          <w:szCs w:val="28"/>
        </w:rPr>
      </w:pPr>
      <w:r>
        <w:rPr>
          <w:rFonts w:hint="eastAsia" w:ascii="仿宋_GB2312" w:hAnsi="仿宋_GB2312" w:eastAsia="仿宋_GB2312" w:cs="仿宋_GB2312"/>
          <w:b w:val="0"/>
          <w:bCs w:val="0"/>
          <w:sz w:val="32"/>
          <w:szCs w:val="28"/>
        </w:rPr>
        <w:t>绿色集约</w:t>
      </w:r>
      <w:r>
        <w:rPr>
          <w:rFonts w:hint="eastAsia" w:ascii="仿宋_GB2312" w:hAnsi="仿宋_GB2312" w:eastAsia="仿宋_GB2312" w:cs="仿宋_GB2312"/>
          <w:b w:val="0"/>
          <w:bCs w:val="0"/>
          <w:sz w:val="32"/>
          <w:szCs w:val="28"/>
          <w:lang w:eastAsia="zh-CN"/>
        </w:rPr>
        <w:t>。</w:t>
      </w:r>
      <w:r>
        <w:rPr>
          <w:rFonts w:hint="eastAsia" w:ascii="仿宋_GB2312" w:hAnsi="仿宋_GB2312" w:eastAsia="仿宋_GB2312" w:cs="仿宋_GB2312"/>
          <w:b w:val="0"/>
          <w:bCs w:val="0"/>
          <w:sz w:val="32"/>
          <w:szCs w:val="28"/>
        </w:rPr>
        <w:t>到2025年，煤炭、煤电、煤化工、建材等传统制造业完成绿色化改造，万元工业增加值能耗、万元工业增加值水耗、万元工业增加值二氧化碳排放比2020年明显下降，工业固废综合利用率达80%，绿色园区达到5家。</w:t>
      </w:r>
    </w:p>
    <w:p>
      <w:pPr>
        <w:spacing w:line="560" w:lineRule="exact"/>
        <w:ind w:firstLine="640" w:firstLineChars="200"/>
        <w:rPr>
          <w:rFonts w:hint="eastAsia" w:ascii="仿宋_GB2312" w:hAnsi="仿宋_GB2312" w:eastAsia="仿宋_GB2312" w:cs="仿宋_GB2312"/>
          <w:b w:val="0"/>
          <w:bCs w:val="0"/>
          <w:sz w:val="32"/>
          <w:szCs w:val="28"/>
        </w:rPr>
      </w:pPr>
      <w:r>
        <w:rPr>
          <w:rFonts w:hint="eastAsia" w:ascii="仿宋_GB2312" w:hAnsi="仿宋_GB2312" w:eastAsia="仿宋_GB2312" w:cs="仿宋_GB2312"/>
          <w:b w:val="0"/>
          <w:bCs w:val="0"/>
          <w:sz w:val="32"/>
          <w:szCs w:val="28"/>
        </w:rPr>
        <w:t>科技创新</w:t>
      </w:r>
      <w:r>
        <w:rPr>
          <w:rFonts w:hint="eastAsia" w:ascii="仿宋_GB2312" w:hAnsi="仿宋_GB2312" w:eastAsia="仿宋_GB2312" w:cs="仿宋_GB2312"/>
          <w:b w:val="0"/>
          <w:bCs w:val="0"/>
          <w:sz w:val="32"/>
          <w:szCs w:val="28"/>
          <w:lang w:eastAsia="zh-CN"/>
        </w:rPr>
        <w:t>。</w:t>
      </w:r>
      <w:r>
        <w:rPr>
          <w:rFonts w:hint="eastAsia" w:ascii="仿宋_GB2312" w:hAnsi="仿宋_GB2312" w:eastAsia="仿宋_GB2312" w:cs="仿宋_GB2312"/>
          <w:b w:val="0"/>
          <w:bCs w:val="0"/>
          <w:sz w:val="32"/>
          <w:szCs w:val="28"/>
        </w:rPr>
        <w:t>到2025年，全社会R&amp;D经费投入强度达到国家平均水平，力争企业专利申请数量和水平不断提高，全市国家级高新技术企业数量达到300家，自治区级研发机构数量100家以上，争取建成3家自治区级技术创新中心。</w:t>
      </w:r>
    </w:p>
    <w:p>
      <w:pPr>
        <w:spacing w:line="560" w:lineRule="exact"/>
        <w:ind w:firstLine="640" w:firstLineChars="200"/>
        <w:rPr>
          <w:rFonts w:hint="eastAsia" w:ascii="仿宋_GB2312" w:hAnsi="仿宋_GB2312" w:eastAsia="仿宋_GB2312" w:cs="仿宋_GB2312"/>
          <w:b w:val="0"/>
          <w:bCs w:val="0"/>
          <w:sz w:val="32"/>
          <w:szCs w:val="28"/>
        </w:rPr>
      </w:pPr>
      <w:r>
        <w:rPr>
          <w:rFonts w:hint="eastAsia" w:ascii="仿宋_GB2312" w:hAnsi="仿宋_GB2312" w:eastAsia="仿宋_GB2312" w:cs="仿宋_GB2312"/>
          <w:b w:val="0"/>
          <w:bCs w:val="0"/>
          <w:sz w:val="32"/>
          <w:szCs w:val="28"/>
        </w:rPr>
        <w:t>配套建设</w:t>
      </w:r>
      <w:r>
        <w:rPr>
          <w:rFonts w:hint="eastAsia" w:ascii="仿宋_GB2312" w:hAnsi="仿宋_GB2312" w:eastAsia="仿宋_GB2312" w:cs="仿宋_GB2312"/>
          <w:b w:val="0"/>
          <w:bCs w:val="0"/>
          <w:sz w:val="32"/>
          <w:szCs w:val="28"/>
          <w:lang w:eastAsia="zh-CN"/>
        </w:rPr>
        <w:t>。</w:t>
      </w:r>
      <w:r>
        <w:rPr>
          <w:rFonts w:hint="eastAsia" w:ascii="仿宋_GB2312" w:hAnsi="仿宋_GB2312" w:eastAsia="仿宋_GB2312" w:cs="仿宋_GB2312"/>
          <w:b w:val="0"/>
          <w:bCs w:val="0"/>
          <w:sz w:val="32"/>
          <w:szCs w:val="28"/>
        </w:rPr>
        <w:t>到2025年，全市工业园区基础设施进一步完善，支撑服务体系基本完备，聚集一批技术服务和研发创新平台，园区发展的驱动要素实现由传统的“政策、行政化、硬基础”三要素向“制度、融合化、软环境”转变，实现智慧园区全覆盖。</w:t>
      </w:r>
    </w:p>
    <w:p>
      <w:pPr>
        <w:spacing w:line="560" w:lineRule="exact"/>
        <w:jc w:val="center"/>
        <w:rPr>
          <w:rFonts w:ascii="Times New Roman" w:hAnsi="Times New Roman" w:eastAsia="仿宋_GB2312" w:cs="Times New Roman"/>
          <w:sz w:val="28"/>
          <w:szCs w:val="28"/>
        </w:rPr>
      </w:pPr>
      <w:r>
        <w:rPr>
          <w:rFonts w:hint="eastAsia" w:ascii="黑体" w:hAnsi="黑体" w:eastAsia="黑体" w:cs="黑体"/>
          <w:b w:val="0"/>
          <w:bCs w:val="0"/>
          <w:sz w:val="28"/>
          <w:szCs w:val="28"/>
        </w:rPr>
        <w:t>表2-1鄂尔多斯市“十四五”时期工业园区发展主要指标</w:t>
      </w:r>
    </w:p>
    <w:tbl>
      <w:tblPr>
        <w:tblStyle w:val="24"/>
        <w:tblW w:w="82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3073"/>
        <w:gridCol w:w="949"/>
        <w:gridCol w:w="1089"/>
        <w:gridCol w:w="1417"/>
        <w:gridCol w:w="10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709" w:type="dxa"/>
            <w:vAlign w:val="center"/>
          </w:tcPr>
          <w:p>
            <w:pPr>
              <w:adjustRightInd w:val="0"/>
              <w:snapToGrid w:val="0"/>
              <w:jc w:val="center"/>
              <w:rPr>
                <w:rFonts w:hint="eastAsia" w:ascii="黑体" w:hAnsi="黑体" w:eastAsia="黑体" w:cs="黑体"/>
                <w:b w:val="0"/>
                <w:bCs w:val="0"/>
                <w:sz w:val="24"/>
                <w:szCs w:val="24"/>
              </w:rPr>
            </w:pPr>
            <w:r>
              <w:rPr>
                <w:rFonts w:hint="eastAsia" w:ascii="黑体" w:hAnsi="黑体" w:eastAsia="黑体" w:cs="黑体"/>
                <w:b w:val="0"/>
                <w:bCs w:val="0"/>
                <w:sz w:val="24"/>
                <w:szCs w:val="24"/>
              </w:rPr>
              <w:t>分类</w:t>
            </w:r>
          </w:p>
        </w:tc>
        <w:tc>
          <w:tcPr>
            <w:tcW w:w="3073" w:type="dxa"/>
            <w:vAlign w:val="center"/>
          </w:tcPr>
          <w:p>
            <w:pPr>
              <w:adjustRightInd w:val="0"/>
              <w:snapToGrid w:val="0"/>
              <w:jc w:val="center"/>
              <w:rPr>
                <w:rFonts w:hint="eastAsia" w:ascii="黑体" w:hAnsi="黑体" w:eastAsia="黑体" w:cs="黑体"/>
                <w:b w:val="0"/>
                <w:bCs w:val="0"/>
                <w:sz w:val="24"/>
                <w:szCs w:val="24"/>
              </w:rPr>
            </w:pPr>
            <w:r>
              <w:rPr>
                <w:rFonts w:hint="eastAsia" w:ascii="黑体" w:hAnsi="黑体" w:eastAsia="黑体" w:cs="黑体"/>
                <w:b w:val="0"/>
                <w:bCs w:val="0"/>
                <w:sz w:val="24"/>
                <w:szCs w:val="24"/>
              </w:rPr>
              <w:t>指标</w:t>
            </w:r>
          </w:p>
        </w:tc>
        <w:tc>
          <w:tcPr>
            <w:tcW w:w="949" w:type="dxa"/>
            <w:vAlign w:val="center"/>
          </w:tcPr>
          <w:p>
            <w:pPr>
              <w:adjustRightInd w:val="0"/>
              <w:snapToGrid w:val="0"/>
              <w:jc w:val="center"/>
              <w:rPr>
                <w:rFonts w:hint="eastAsia" w:ascii="黑体" w:hAnsi="黑体" w:eastAsia="黑体" w:cs="黑体"/>
                <w:b w:val="0"/>
                <w:bCs w:val="0"/>
                <w:sz w:val="24"/>
                <w:szCs w:val="24"/>
              </w:rPr>
            </w:pPr>
            <w:r>
              <w:rPr>
                <w:rFonts w:hint="eastAsia" w:ascii="黑体" w:hAnsi="黑体" w:eastAsia="黑体" w:cs="黑体"/>
                <w:b w:val="0"/>
                <w:bCs w:val="0"/>
                <w:sz w:val="24"/>
                <w:szCs w:val="24"/>
              </w:rPr>
              <w:t>单位</w:t>
            </w:r>
          </w:p>
        </w:tc>
        <w:tc>
          <w:tcPr>
            <w:tcW w:w="1089" w:type="dxa"/>
            <w:vAlign w:val="center"/>
          </w:tcPr>
          <w:p>
            <w:pPr>
              <w:adjustRightInd w:val="0"/>
              <w:snapToGrid w:val="0"/>
              <w:jc w:val="center"/>
              <w:rPr>
                <w:rFonts w:hint="eastAsia" w:ascii="黑体" w:hAnsi="黑体" w:eastAsia="黑体" w:cs="黑体"/>
                <w:b w:val="0"/>
                <w:bCs w:val="0"/>
                <w:sz w:val="24"/>
                <w:szCs w:val="24"/>
              </w:rPr>
            </w:pPr>
            <w:r>
              <w:rPr>
                <w:rFonts w:hint="eastAsia" w:ascii="黑体" w:hAnsi="黑体" w:eastAsia="黑体" w:cs="黑体"/>
                <w:b w:val="0"/>
                <w:bCs w:val="0"/>
                <w:sz w:val="24"/>
                <w:szCs w:val="24"/>
              </w:rPr>
              <w:t>2020年</w:t>
            </w:r>
          </w:p>
        </w:tc>
        <w:tc>
          <w:tcPr>
            <w:tcW w:w="1417" w:type="dxa"/>
            <w:vAlign w:val="center"/>
          </w:tcPr>
          <w:p>
            <w:pPr>
              <w:adjustRightInd w:val="0"/>
              <w:snapToGrid w:val="0"/>
              <w:jc w:val="center"/>
              <w:rPr>
                <w:rFonts w:hint="eastAsia" w:ascii="黑体" w:hAnsi="黑体" w:eastAsia="黑体" w:cs="黑体"/>
                <w:b w:val="0"/>
                <w:bCs w:val="0"/>
                <w:sz w:val="24"/>
                <w:szCs w:val="24"/>
              </w:rPr>
            </w:pPr>
            <w:r>
              <w:rPr>
                <w:rFonts w:hint="eastAsia" w:ascii="黑体" w:hAnsi="黑体" w:eastAsia="黑体" w:cs="黑体"/>
                <w:b w:val="0"/>
                <w:bCs w:val="0"/>
                <w:sz w:val="24"/>
                <w:szCs w:val="24"/>
              </w:rPr>
              <w:t>2025年</w:t>
            </w:r>
          </w:p>
        </w:tc>
        <w:tc>
          <w:tcPr>
            <w:tcW w:w="1028" w:type="dxa"/>
            <w:vAlign w:val="center"/>
          </w:tcPr>
          <w:p>
            <w:pPr>
              <w:adjustRightInd w:val="0"/>
              <w:snapToGrid w:val="0"/>
              <w:jc w:val="center"/>
              <w:rPr>
                <w:rFonts w:hint="eastAsia" w:ascii="黑体" w:hAnsi="黑体" w:eastAsia="黑体" w:cs="黑体"/>
                <w:b w:val="0"/>
                <w:bCs w:val="0"/>
                <w:sz w:val="24"/>
                <w:szCs w:val="24"/>
              </w:rPr>
            </w:pPr>
            <w:r>
              <w:rPr>
                <w:rFonts w:hint="eastAsia" w:ascii="黑体" w:hAnsi="黑体" w:eastAsia="黑体" w:cs="黑体"/>
                <w:b w:val="0"/>
                <w:bCs w:val="0"/>
                <w:sz w:val="24"/>
                <w:szCs w:val="24"/>
              </w:rPr>
              <w:t>属性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9" w:type="dxa"/>
            <w:vMerge w:val="restart"/>
            <w:vAlign w:val="center"/>
          </w:tcPr>
          <w:p>
            <w:pPr>
              <w:adjustRightInd w:val="0"/>
              <w:snapToGrid w:val="0"/>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产业集聚</w:t>
            </w:r>
          </w:p>
        </w:tc>
        <w:tc>
          <w:tcPr>
            <w:tcW w:w="3073" w:type="dxa"/>
            <w:vAlign w:val="center"/>
          </w:tcPr>
          <w:p>
            <w:pPr>
              <w:adjustRightInd w:val="0"/>
              <w:snapToGrid w:val="0"/>
              <w:jc w:val="left"/>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工业园区总产值</w:t>
            </w:r>
          </w:p>
        </w:tc>
        <w:tc>
          <w:tcPr>
            <w:tcW w:w="949" w:type="dxa"/>
            <w:vAlign w:val="center"/>
          </w:tcPr>
          <w:p>
            <w:pPr>
              <w:adjustRightInd w:val="0"/>
              <w:snapToGrid w:val="0"/>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亿元</w:t>
            </w:r>
          </w:p>
        </w:tc>
        <w:tc>
          <w:tcPr>
            <w:tcW w:w="1089" w:type="dxa"/>
            <w:vAlign w:val="center"/>
          </w:tcPr>
          <w:p>
            <w:pPr>
              <w:adjustRightInd w:val="0"/>
              <w:snapToGrid w:val="0"/>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2834.7</w:t>
            </w:r>
          </w:p>
        </w:tc>
        <w:tc>
          <w:tcPr>
            <w:tcW w:w="1417" w:type="dxa"/>
            <w:vAlign w:val="center"/>
          </w:tcPr>
          <w:p>
            <w:pPr>
              <w:adjustRightInd w:val="0"/>
              <w:snapToGrid w:val="0"/>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5000</w:t>
            </w:r>
          </w:p>
        </w:tc>
        <w:tc>
          <w:tcPr>
            <w:tcW w:w="1028" w:type="dxa"/>
            <w:vAlign w:val="center"/>
          </w:tcPr>
          <w:p>
            <w:pPr>
              <w:adjustRightInd w:val="0"/>
              <w:snapToGrid w:val="0"/>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9" w:type="dxa"/>
            <w:vMerge w:val="continue"/>
            <w:vAlign w:val="center"/>
          </w:tcPr>
          <w:p>
            <w:pPr>
              <w:adjustRightInd w:val="0"/>
              <w:snapToGrid w:val="0"/>
              <w:jc w:val="center"/>
              <w:rPr>
                <w:rFonts w:hint="eastAsia" w:ascii="仿宋_GB2312" w:hAnsi="仿宋_GB2312" w:eastAsia="仿宋_GB2312" w:cs="仿宋_GB2312"/>
                <w:b w:val="0"/>
                <w:bCs w:val="0"/>
                <w:sz w:val="24"/>
                <w:szCs w:val="24"/>
              </w:rPr>
            </w:pPr>
          </w:p>
        </w:tc>
        <w:tc>
          <w:tcPr>
            <w:tcW w:w="3073" w:type="dxa"/>
            <w:vAlign w:val="center"/>
          </w:tcPr>
          <w:p>
            <w:pPr>
              <w:adjustRightInd w:val="0"/>
              <w:snapToGrid w:val="0"/>
              <w:jc w:val="left"/>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工业产值超1000亿的园区数量</w:t>
            </w:r>
          </w:p>
        </w:tc>
        <w:tc>
          <w:tcPr>
            <w:tcW w:w="949" w:type="dxa"/>
            <w:vAlign w:val="center"/>
          </w:tcPr>
          <w:p>
            <w:pPr>
              <w:adjustRightInd w:val="0"/>
              <w:snapToGrid w:val="0"/>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个</w:t>
            </w:r>
          </w:p>
        </w:tc>
        <w:tc>
          <w:tcPr>
            <w:tcW w:w="1089" w:type="dxa"/>
            <w:vAlign w:val="center"/>
          </w:tcPr>
          <w:p>
            <w:pPr>
              <w:adjustRightInd w:val="0"/>
              <w:snapToGrid w:val="0"/>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0</w:t>
            </w:r>
          </w:p>
        </w:tc>
        <w:tc>
          <w:tcPr>
            <w:tcW w:w="1417" w:type="dxa"/>
            <w:vAlign w:val="center"/>
          </w:tcPr>
          <w:p>
            <w:pPr>
              <w:adjustRightInd w:val="0"/>
              <w:snapToGrid w:val="0"/>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2</w:t>
            </w:r>
          </w:p>
        </w:tc>
        <w:tc>
          <w:tcPr>
            <w:tcW w:w="1028" w:type="dxa"/>
            <w:vAlign w:val="center"/>
          </w:tcPr>
          <w:p>
            <w:pPr>
              <w:adjustRightInd w:val="0"/>
              <w:snapToGrid w:val="0"/>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9" w:type="dxa"/>
            <w:vMerge w:val="continue"/>
            <w:vAlign w:val="center"/>
          </w:tcPr>
          <w:p>
            <w:pPr>
              <w:adjustRightInd w:val="0"/>
              <w:snapToGrid w:val="0"/>
              <w:jc w:val="center"/>
              <w:rPr>
                <w:rFonts w:hint="eastAsia" w:ascii="仿宋_GB2312" w:hAnsi="仿宋_GB2312" w:eastAsia="仿宋_GB2312" w:cs="仿宋_GB2312"/>
                <w:b w:val="0"/>
                <w:bCs w:val="0"/>
                <w:sz w:val="24"/>
                <w:szCs w:val="24"/>
              </w:rPr>
            </w:pPr>
          </w:p>
        </w:tc>
        <w:tc>
          <w:tcPr>
            <w:tcW w:w="3073" w:type="dxa"/>
            <w:vAlign w:val="center"/>
          </w:tcPr>
          <w:p>
            <w:pPr>
              <w:adjustRightInd w:val="0"/>
              <w:snapToGrid w:val="0"/>
              <w:jc w:val="left"/>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工业产值超500亿的园区数量</w:t>
            </w:r>
          </w:p>
        </w:tc>
        <w:tc>
          <w:tcPr>
            <w:tcW w:w="949" w:type="dxa"/>
            <w:vAlign w:val="center"/>
          </w:tcPr>
          <w:p>
            <w:pPr>
              <w:adjustRightInd w:val="0"/>
              <w:snapToGrid w:val="0"/>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个</w:t>
            </w:r>
          </w:p>
        </w:tc>
        <w:tc>
          <w:tcPr>
            <w:tcW w:w="1089" w:type="dxa"/>
            <w:vAlign w:val="center"/>
          </w:tcPr>
          <w:p>
            <w:pPr>
              <w:adjustRightInd w:val="0"/>
              <w:snapToGrid w:val="0"/>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2</w:t>
            </w:r>
          </w:p>
        </w:tc>
        <w:tc>
          <w:tcPr>
            <w:tcW w:w="1417" w:type="dxa"/>
            <w:vAlign w:val="center"/>
          </w:tcPr>
          <w:p>
            <w:pPr>
              <w:adjustRightInd w:val="0"/>
              <w:snapToGrid w:val="0"/>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4</w:t>
            </w:r>
            <w:r>
              <w:rPr>
                <w:rStyle w:val="28"/>
                <w:rFonts w:hint="eastAsia" w:ascii="仿宋_GB2312" w:hAnsi="仿宋_GB2312" w:eastAsia="仿宋_GB2312" w:cs="仿宋_GB2312"/>
                <w:b w:val="0"/>
                <w:bCs w:val="0"/>
                <w:sz w:val="24"/>
                <w:szCs w:val="24"/>
              </w:rPr>
              <w:footnoteReference w:id="2"/>
            </w:r>
          </w:p>
        </w:tc>
        <w:tc>
          <w:tcPr>
            <w:tcW w:w="1028" w:type="dxa"/>
            <w:vAlign w:val="center"/>
          </w:tcPr>
          <w:p>
            <w:pPr>
              <w:adjustRightInd w:val="0"/>
              <w:snapToGrid w:val="0"/>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9" w:type="dxa"/>
            <w:vMerge w:val="restart"/>
            <w:vAlign w:val="center"/>
          </w:tcPr>
          <w:p>
            <w:pPr>
              <w:adjustRightInd w:val="0"/>
              <w:snapToGrid w:val="0"/>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绿色集约</w:t>
            </w:r>
          </w:p>
        </w:tc>
        <w:tc>
          <w:tcPr>
            <w:tcW w:w="3073" w:type="dxa"/>
            <w:vAlign w:val="center"/>
          </w:tcPr>
          <w:p>
            <w:pPr>
              <w:adjustRightInd w:val="0"/>
              <w:snapToGrid w:val="0"/>
              <w:jc w:val="left"/>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万元工业增加值能耗降低</w:t>
            </w:r>
          </w:p>
        </w:tc>
        <w:tc>
          <w:tcPr>
            <w:tcW w:w="949" w:type="dxa"/>
            <w:vAlign w:val="center"/>
          </w:tcPr>
          <w:p>
            <w:pPr>
              <w:adjustRightInd w:val="0"/>
              <w:snapToGrid w:val="0"/>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w:t>
            </w:r>
          </w:p>
        </w:tc>
        <w:tc>
          <w:tcPr>
            <w:tcW w:w="1089" w:type="dxa"/>
            <w:vAlign w:val="center"/>
          </w:tcPr>
          <w:p>
            <w:pPr>
              <w:adjustRightInd w:val="0"/>
              <w:snapToGrid w:val="0"/>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w:t>
            </w:r>
          </w:p>
        </w:tc>
        <w:tc>
          <w:tcPr>
            <w:tcW w:w="1417" w:type="dxa"/>
            <w:vAlign w:val="center"/>
          </w:tcPr>
          <w:p>
            <w:pPr>
              <w:adjustRightInd w:val="0"/>
              <w:snapToGrid w:val="0"/>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完成自治区下达任务</w:t>
            </w:r>
          </w:p>
        </w:tc>
        <w:tc>
          <w:tcPr>
            <w:tcW w:w="1028" w:type="dxa"/>
            <w:vAlign w:val="center"/>
          </w:tcPr>
          <w:p>
            <w:pPr>
              <w:adjustRightInd w:val="0"/>
              <w:snapToGrid w:val="0"/>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9" w:type="dxa"/>
            <w:vMerge w:val="continue"/>
            <w:vAlign w:val="center"/>
          </w:tcPr>
          <w:p>
            <w:pPr>
              <w:adjustRightInd w:val="0"/>
              <w:snapToGrid w:val="0"/>
              <w:jc w:val="center"/>
              <w:rPr>
                <w:rFonts w:hint="eastAsia" w:ascii="仿宋_GB2312" w:hAnsi="仿宋_GB2312" w:eastAsia="仿宋_GB2312" w:cs="仿宋_GB2312"/>
                <w:b w:val="0"/>
                <w:bCs w:val="0"/>
                <w:sz w:val="24"/>
                <w:szCs w:val="24"/>
              </w:rPr>
            </w:pPr>
          </w:p>
        </w:tc>
        <w:tc>
          <w:tcPr>
            <w:tcW w:w="3073" w:type="dxa"/>
            <w:vAlign w:val="center"/>
          </w:tcPr>
          <w:p>
            <w:pPr>
              <w:adjustRightInd w:val="0"/>
              <w:snapToGrid w:val="0"/>
              <w:jc w:val="left"/>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万元工业增加值水耗降低</w:t>
            </w:r>
          </w:p>
        </w:tc>
        <w:tc>
          <w:tcPr>
            <w:tcW w:w="949" w:type="dxa"/>
            <w:vAlign w:val="center"/>
          </w:tcPr>
          <w:p>
            <w:pPr>
              <w:adjustRightInd w:val="0"/>
              <w:snapToGrid w:val="0"/>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w:t>
            </w:r>
          </w:p>
        </w:tc>
        <w:tc>
          <w:tcPr>
            <w:tcW w:w="1089" w:type="dxa"/>
            <w:vAlign w:val="center"/>
          </w:tcPr>
          <w:p>
            <w:pPr>
              <w:adjustRightInd w:val="0"/>
              <w:snapToGrid w:val="0"/>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w:t>
            </w:r>
          </w:p>
        </w:tc>
        <w:tc>
          <w:tcPr>
            <w:tcW w:w="1417" w:type="dxa"/>
            <w:vAlign w:val="center"/>
          </w:tcPr>
          <w:p>
            <w:pPr>
              <w:adjustRightInd w:val="0"/>
              <w:snapToGrid w:val="0"/>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完成自治区下达任务</w:t>
            </w:r>
          </w:p>
        </w:tc>
        <w:tc>
          <w:tcPr>
            <w:tcW w:w="1028" w:type="dxa"/>
            <w:vAlign w:val="center"/>
          </w:tcPr>
          <w:p>
            <w:pPr>
              <w:adjustRightInd w:val="0"/>
              <w:snapToGrid w:val="0"/>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9" w:type="dxa"/>
            <w:vMerge w:val="continue"/>
            <w:vAlign w:val="center"/>
          </w:tcPr>
          <w:p>
            <w:pPr>
              <w:adjustRightInd w:val="0"/>
              <w:snapToGrid w:val="0"/>
              <w:jc w:val="center"/>
              <w:rPr>
                <w:rFonts w:hint="eastAsia" w:ascii="仿宋_GB2312" w:hAnsi="仿宋_GB2312" w:eastAsia="仿宋_GB2312" w:cs="仿宋_GB2312"/>
                <w:b w:val="0"/>
                <w:bCs w:val="0"/>
                <w:sz w:val="24"/>
                <w:szCs w:val="24"/>
              </w:rPr>
            </w:pPr>
          </w:p>
        </w:tc>
        <w:tc>
          <w:tcPr>
            <w:tcW w:w="3073" w:type="dxa"/>
            <w:vAlign w:val="center"/>
          </w:tcPr>
          <w:p>
            <w:pPr>
              <w:adjustRightInd w:val="0"/>
              <w:snapToGrid w:val="0"/>
              <w:jc w:val="left"/>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万元工业增加值二氧化碳排放降低</w:t>
            </w:r>
          </w:p>
        </w:tc>
        <w:tc>
          <w:tcPr>
            <w:tcW w:w="949" w:type="dxa"/>
            <w:vAlign w:val="center"/>
          </w:tcPr>
          <w:p>
            <w:pPr>
              <w:adjustRightInd w:val="0"/>
              <w:snapToGrid w:val="0"/>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w:t>
            </w:r>
          </w:p>
        </w:tc>
        <w:tc>
          <w:tcPr>
            <w:tcW w:w="1089" w:type="dxa"/>
            <w:vAlign w:val="center"/>
          </w:tcPr>
          <w:p>
            <w:pPr>
              <w:adjustRightInd w:val="0"/>
              <w:snapToGrid w:val="0"/>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w:t>
            </w:r>
          </w:p>
        </w:tc>
        <w:tc>
          <w:tcPr>
            <w:tcW w:w="1417" w:type="dxa"/>
            <w:vAlign w:val="center"/>
          </w:tcPr>
          <w:p>
            <w:pPr>
              <w:adjustRightInd w:val="0"/>
              <w:snapToGrid w:val="0"/>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完成自治区下达任务</w:t>
            </w:r>
          </w:p>
        </w:tc>
        <w:tc>
          <w:tcPr>
            <w:tcW w:w="1028" w:type="dxa"/>
            <w:vAlign w:val="center"/>
          </w:tcPr>
          <w:p>
            <w:pPr>
              <w:adjustRightInd w:val="0"/>
              <w:snapToGrid w:val="0"/>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9" w:type="dxa"/>
            <w:vMerge w:val="continue"/>
            <w:vAlign w:val="center"/>
          </w:tcPr>
          <w:p>
            <w:pPr>
              <w:adjustRightInd w:val="0"/>
              <w:snapToGrid w:val="0"/>
              <w:jc w:val="center"/>
              <w:rPr>
                <w:rFonts w:hint="eastAsia" w:ascii="仿宋_GB2312" w:hAnsi="仿宋_GB2312" w:eastAsia="仿宋_GB2312" w:cs="仿宋_GB2312"/>
                <w:b w:val="0"/>
                <w:bCs w:val="0"/>
                <w:sz w:val="24"/>
                <w:szCs w:val="24"/>
              </w:rPr>
            </w:pPr>
          </w:p>
        </w:tc>
        <w:tc>
          <w:tcPr>
            <w:tcW w:w="3073" w:type="dxa"/>
            <w:vAlign w:val="center"/>
          </w:tcPr>
          <w:p>
            <w:pPr>
              <w:adjustRightInd w:val="0"/>
              <w:snapToGrid w:val="0"/>
              <w:jc w:val="left"/>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工业固废综合利用率</w:t>
            </w:r>
          </w:p>
        </w:tc>
        <w:tc>
          <w:tcPr>
            <w:tcW w:w="949" w:type="dxa"/>
            <w:vAlign w:val="center"/>
          </w:tcPr>
          <w:p>
            <w:pPr>
              <w:adjustRightInd w:val="0"/>
              <w:snapToGrid w:val="0"/>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w:t>
            </w:r>
          </w:p>
        </w:tc>
        <w:tc>
          <w:tcPr>
            <w:tcW w:w="1089" w:type="dxa"/>
            <w:vAlign w:val="center"/>
          </w:tcPr>
          <w:p>
            <w:pPr>
              <w:adjustRightInd w:val="0"/>
              <w:snapToGrid w:val="0"/>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w:t>
            </w:r>
          </w:p>
        </w:tc>
        <w:tc>
          <w:tcPr>
            <w:tcW w:w="1417" w:type="dxa"/>
            <w:vAlign w:val="center"/>
          </w:tcPr>
          <w:p>
            <w:pPr>
              <w:adjustRightInd w:val="0"/>
              <w:snapToGrid w:val="0"/>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80</w:t>
            </w:r>
          </w:p>
        </w:tc>
        <w:tc>
          <w:tcPr>
            <w:tcW w:w="1028" w:type="dxa"/>
            <w:vAlign w:val="center"/>
          </w:tcPr>
          <w:p>
            <w:pPr>
              <w:adjustRightInd w:val="0"/>
              <w:snapToGrid w:val="0"/>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9" w:type="dxa"/>
            <w:vMerge w:val="continue"/>
            <w:vAlign w:val="center"/>
          </w:tcPr>
          <w:p>
            <w:pPr>
              <w:adjustRightInd w:val="0"/>
              <w:snapToGrid w:val="0"/>
              <w:jc w:val="center"/>
              <w:rPr>
                <w:rFonts w:hint="eastAsia" w:ascii="仿宋_GB2312" w:hAnsi="仿宋_GB2312" w:eastAsia="仿宋_GB2312" w:cs="仿宋_GB2312"/>
                <w:b w:val="0"/>
                <w:bCs w:val="0"/>
                <w:sz w:val="24"/>
                <w:szCs w:val="24"/>
              </w:rPr>
            </w:pPr>
          </w:p>
        </w:tc>
        <w:tc>
          <w:tcPr>
            <w:tcW w:w="3073" w:type="dxa"/>
            <w:vAlign w:val="center"/>
          </w:tcPr>
          <w:p>
            <w:pPr>
              <w:adjustRightInd w:val="0"/>
              <w:snapToGrid w:val="0"/>
              <w:jc w:val="left"/>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绿色园区数量</w:t>
            </w:r>
          </w:p>
        </w:tc>
        <w:tc>
          <w:tcPr>
            <w:tcW w:w="949" w:type="dxa"/>
            <w:vAlign w:val="center"/>
          </w:tcPr>
          <w:p>
            <w:pPr>
              <w:adjustRightInd w:val="0"/>
              <w:snapToGrid w:val="0"/>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个</w:t>
            </w:r>
          </w:p>
        </w:tc>
        <w:tc>
          <w:tcPr>
            <w:tcW w:w="1089" w:type="dxa"/>
            <w:vAlign w:val="center"/>
          </w:tcPr>
          <w:p>
            <w:pPr>
              <w:adjustRightInd w:val="0"/>
              <w:snapToGrid w:val="0"/>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5</w:t>
            </w:r>
            <w:r>
              <w:rPr>
                <w:rStyle w:val="28"/>
                <w:rFonts w:hint="eastAsia" w:ascii="仿宋_GB2312" w:hAnsi="仿宋_GB2312" w:eastAsia="仿宋_GB2312" w:cs="仿宋_GB2312"/>
                <w:b w:val="0"/>
                <w:bCs w:val="0"/>
                <w:sz w:val="24"/>
                <w:szCs w:val="24"/>
              </w:rPr>
              <w:footnoteReference w:id="3"/>
            </w:r>
          </w:p>
        </w:tc>
        <w:tc>
          <w:tcPr>
            <w:tcW w:w="1417" w:type="dxa"/>
            <w:vAlign w:val="center"/>
          </w:tcPr>
          <w:p>
            <w:pPr>
              <w:adjustRightInd w:val="0"/>
              <w:snapToGrid w:val="0"/>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5</w:t>
            </w:r>
            <w:r>
              <w:rPr>
                <w:rStyle w:val="28"/>
                <w:rFonts w:hint="eastAsia" w:ascii="仿宋_GB2312" w:hAnsi="仿宋_GB2312" w:eastAsia="仿宋_GB2312" w:cs="仿宋_GB2312"/>
                <w:b w:val="0"/>
                <w:bCs w:val="0"/>
                <w:sz w:val="24"/>
                <w:szCs w:val="24"/>
              </w:rPr>
              <w:footnoteReference w:id="4"/>
            </w:r>
          </w:p>
        </w:tc>
        <w:tc>
          <w:tcPr>
            <w:tcW w:w="1028" w:type="dxa"/>
            <w:vAlign w:val="center"/>
          </w:tcPr>
          <w:p>
            <w:pPr>
              <w:adjustRightInd w:val="0"/>
              <w:snapToGrid w:val="0"/>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9" w:type="dxa"/>
            <w:vMerge w:val="restart"/>
            <w:vAlign w:val="center"/>
          </w:tcPr>
          <w:p>
            <w:pPr>
              <w:adjustRightInd w:val="0"/>
              <w:snapToGrid w:val="0"/>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创新发展</w:t>
            </w:r>
          </w:p>
        </w:tc>
        <w:tc>
          <w:tcPr>
            <w:tcW w:w="3073" w:type="dxa"/>
            <w:vAlign w:val="center"/>
          </w:tcPr>
          <w:p>
            <w:pPr>
              <w:adjustRightInd w:val="0"/>
              <w:snapToGrid w:val="0"/>
              <w:jc w:val="left"/>
              <w:rPr>
                <w:rFonts w:hint="eastAsia" w:ascii="仿宋_GB2312" w:hAnsi="仿宋_GB2312" w:eastAsia="仿宋_GB2312" w:cs="仿宋_GB2312"/>
                <w:b w:val="0"/>
                <w:bCs w:val="0"/>
                <w:sz w:val="24"/>
                <w:szCs w:val="24"/>
              </w:rPr>
            </w:pPr>
            <w:bookmarkStart w:id="10" w:name="_Hlk77319005"/>
            <w:r>
              <w:rPr>
                <w:rFonts w:hint="eastAsia" w:ascii="仿宋_GB2312" w:hAnsi="仿宋_GB2312" w:eastAsia="仿宋_GB2312" w:cs="仿宋_GB2312"/>
                <w:b w:val="0"/>
                <w:bCs w:val="0"/>
                <w:sz w:val="24"/>
                <w:szCs w:val="24"/>
              </w:rPr>
              <w:t>全社会R&amp;D经费投入强度</w:t>
            </w:r>
            <w:bookmarkEnd w:id="10"/>
          </w:p>
        </w:tc>
        <w:tc>
          <w:tcPr>
            <w:tcW w:w="949" w:type="dxa"/>
            <w:vAlign w:val="center"/>
          </w:tcPr>
          <w:p>
            <w:pPr>
              <w:adjustRightInd w:val="0"/>
              <w:snapToGrid w:val="0"/>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w:t>
            </w:r>
          </w:p>
        </w:tc>
        <w:tc>
          <w:tcPr>
            <w:tcW w:w="1089" w:type="dxa"/>
            <w:vAlign w:val="center"/>
          </w:tcPr>
          <w:p>
            <w:pPr>
              <w:adjustRightInd w:val="0"/>
              <w:snapToGrid w:val="0"/>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0.81</w:t>
            </w:r>
          </w:p>
        </w:tc>
        <w:tc>
          <w:tcPr>
            <w:tcW w:w="1417" w:type="dxa"/>
            <w:vAlign w:val="center"/>
          </w:tcPr>
          <w:p>
            <w:pPr>
              <w:adjustRightInd w:val="0"/>
              <w:snapToGrid w:val="0"/>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达到国家</w:t>
            </w:r>
          </w:p>
          <w:p>
            <w:pPr>
              <w:adjustRightInd w:val="0"/>
              <w:snapToGrid w:val="0"/>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平均水平</w:t>
            </w:r>
          </w:p>
        </w:tc>
        <w:tc>
          <w:tcPr>
            <w:tcW w:w="1028" w:type="dxa"/>
            <w:vAlign w:val="center"/>
          </w:tcPr>
          <w:p>
            <w:pPr>
              <w:adjustRightInd w:val="0"/>
              <w:snapToGrid w:val="0"/>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9" w:type="dxa"/>
            <w:vMerge w:val="continue"/>
            <w:vAlign w:val="center"/>
          </w:tcPr>
          <w:p>
            <w:pPr>
              <w:adjustRightInd w:val="0"/>
              <w:snapToGrid w:val="0"/>
              <w:jc w:val="center"/>
              <w:rPr>
                <w:rFonts w:hint="eastAsia" w:ascii="仿宋_GB2312" w:hAnsi="仿宋_GB2312" w:eastAsia="仿宋_GB2312" w:cs="仿宋_GB2312"/>
                <w:b w:val="0"/>
                <w:bCs w:val="0"/>
                <w:sz w:val="24"/>
                <w:szCs w:val="24"/>
              </w:rPr>
            </w:pPr>
          </w:p>
        </w:tc>
        <w:tc>
          <w:tcPr>
            <w:tcW w:w="3073" w:type="dxa"/>
            <w:vAlign w:val="center"/>
          </w:tcPr>
          <w:p>
            <w:pPr>
              <w:adjustRightInd w:val="0"/>
              <w:snapToGrid w:val="0"/>
              <w:jc w:val="left"/>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授权专利数量</w:t>
            </w:r>
          </w:p>
        </w:tc>
        <w:tc>
          <w:tcPr>
            <w:tcW w:w="949" w:type="dxa"/>
            <w:vAlign w:val="center"/>
          </w:tcPr>
          <w:p>
            <w:pPr>
              <w:adjustRightInd w:val="0"/>
              <w:snapToGrid w:val="0"/>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个</w:t>
            </w:r>
          </w:p>
        </w:tc>
        <w:tc>
          <w:tcPr>
            <w:tcW w:w="1089" w:type="dxa"/>
            <w:vAlign w:val="center"/>
          </w:tcPr>
          <w:p>
            <w:pPr>
              <w:adjustRightInd w:val="0"/>
              <w:snapToGrid w:val="0"/>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2748</w:t>
            </w:r>
          </w:p>
        </w:tc>
        <w:tc>
          <w:tcPr>
            <w:tcW w:w="1417" w:type="dxa"/>
            <w:vAlign w:val="center"/>
          </w:tcPr>
          <w:p>
            <w:pPr>
              <w:adjustRightInd w:val="0"/>
              <w:snapToGrid w:val="0"/>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3000</w:t>
            </w:r>
          </w:p>
        </w:tc>
        <w:tc>
          <w:tcPr>
            <w:tcW w:w="1028" w:type="dxa"/>
            <w:vAlign w:val="center"/>
          </w:tcPr>
          <w:p>
            <w:pPr>
              <w:adjustRightInd w:val="0"/>
              <w:snapToGrid w:val="0"/>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9" w:type="dxa"/>
            <w:vMerge w:val="continue"/>
            <w:vAlign w:val="center"/>
          </w:tcPr>
          <w:p>
            <w:pPr>
              <w:adjustRightInd w:val="0"/>
              <w:snapToGrid w:val="0"/>
              <w:jc w:val="center"/>
              <w:rPr>
                <w:rFonts w:hint="eastAsia" w:ascii="仿宋_GB2312" w:hAnsi="仿宋_GB2312" w:eastAsia="仿宋_GB2312" w:cs="仿宋_GB2312"/>
                <w:b w:val="0"/>
                <w:bCs w:val="0"/>
                <w:sz w:val="24"/>
                <w:szCs w:val="24"/>
              </w:rPr>
            </w:pPr>
          </w:p>
        </w:tc>
        <w:tc>
          <w:tcPr>
            <w:tcW w:w="3073" w:type="dxa"/>
            <w:vAlign w:val="center"/>
          </w:tcPr>
          <w:p>
            <w:pPr>
              <w:adjustRightInd w:val="0"/>
              <w:snapToGrid w:val="0"/>
              <w:jc w:val="left"/>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国家级高新技术企业数量</w:t>
            </w:r>
          </w:p>
        </w:tc>
        <w:tc>
          <w:tcPr>
            <w:tcW w:w="949" w:type="dxa"/>
            <w:vAlign w:val="center"/>
          </w:tcPr>
          <w:p>
            <w:pPr>
              <w:adjustRightInd w:val="0"/>
              <w:snapToGrid w:val="0"/>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个</w:t>
            </w:r>
          </w:p>
        </w:tc>
        <w:tc>
          <w:tcPr>
            <w:tcW w:w="1089" w:type="dxa"/>
            <w:vAlign w:val="center"/>
          </w:tcPr>
          <w:p>
            <w:pPr>
              <w:adjustRightInd w:val="0"/>
              <w:snapToGrid w:val="0"/>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132</w:t>
            </w:r>
          </w:p>
        </w:tc>
        <w:tc>
          <w:tcPr>
            <w:tcW w:w="1417" w:type="dxa"/>
            <w:vAlign w:val="center"/>
          </w:tcPr>
          <w:p>
            <w:pPr>
              <w:adjustRightInd w:val="0"/>
              <w:snapToGrid w:val="0"/>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300</w:t>
            </w:r>
          </w:p>
        </w:tc>
        <w:tc>
          <w:tcPr>
            <w:tcW w:w="1028" w:type="dxa"/>
            <w:vAlign w:val="center"/>
          </w:tcPr>
          <w:p>
            <w:pPr>
              <w:adjustRightInd w:val="0"/>
              <w:snapToGrid w:val="0"/>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9" w:type="dxa"/>
            <w:vMerge w:val="continue"/>
            <w:vAlign w:val="center"/>
          </w:tcPr>
          <w:p>
            <w:pPr>
              <w:adjustRightInd w:val="0"/>
              <w:snapToGrid w:val="0"/>
              <w:jc w:val="center"/>
              <w:rPr>
                <w:rFonts w:hint="eastAsia" w:ascii="仿宋_GB2312" w:hAnsi="仿宋_GB2312" w:eastAsia="仿宋_GB2312" w:cs="仿宋_GB2312"/>
                <w:b w:val="0"/>
                <w:bCs w:val="0"/>
                <w:sz w:val="24"/>
                <w:szCs w:val="24"/>
              </w:rPr>
            </w:pPr>
          </w:p>
        </w:tc>
        <w:tc>
          <w:tcPr>
            <w:tcW w:w="3073" w:type="dxa"/>
            <w:vAlign w:val="center"/>
          </w:tcPr>
          <w:p>
            <w:pPr>
              <w:adjustRightInd w:val="0"/>
              <w:snapToGrid w:val="0"/>
              <w:jc w:val="left"/>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自治区级以上研发机构数量</w:t>
            </w:r>
          </w:p>
        </w:tc>
        <w:tc>
          <w:tcPr>
            <w:tcW w:w="949" w:type="dxa"/>
            <w:vAlign w:val="center"/>
          </w:tcPr>
          <w:p>
            <w:pPr>
              <w:adjustRightInd w:val="0"/>
              <w:snapToGrid w:val="0"/>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个</w:t>
            </w:r>
          </w:p>
        </w:tc>
        <w:tc>
          <w:tcPr>
            <w:tcW w:w="1089" w:type="dxa"/>
            <w:vAlign w:val="center"/>
          </w:tcPr>
          <w:p>
            <w:pPr>
              <w:adjustRightInd w:val="0"/>
              <w:snapToGrid w:val="0"/>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62</w:t>
            </w:r>
          </w:p>
        </w:tc>
        <w:tc>
          <w:tcPr>
            <w:tcW w:w="1417" w:type="dxa"/>
            <w:vAlign w:val="center"/>
          </w:tcPr>
          <w:p>
            <w:pPr>
              <w:adjustRightInd w:val="0"/>
              <w:snapToGrid w:val="0"/>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100</w:t>
            </w:r>
          </w:p>
        </w:tc>
        <w:tc>
          <w:tcPr>
            <w:tcW w:w="1028" w:type="dxa"/>
            <w:vAlign w:val="center"/>
          </w:tcPr>
          <w:p>
            <w:pPr>
              <w:adjustRightInd w:val="0"/>
              <w:snapToGrid w:val="0"/>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9" w:type="dxa"/>
            <w:vMerge w:val="continue"/>
            <w:vAlign w:val="center"/>
          </w:tcPr>
          <w:p>
            <w:pPr>
              <w:adjustRightInd w:val="0"/>
              <w:snapToGrid w:val="0"/>
              <w:jc w:val="center"/>
              <w:rPr>
                <w:rFonts w:hint="eastAsia" w:ascii="仿宋_GB2312" w:hAnsi="仿宋_GB2312" w:eastAsia="仿宋_GB2312" w:cs="仿宋_GB2312"/>
                <w:b w:val="0"/>
                <w:bCs w:val="0"/>
                <w:sz w:val="24"/>
                <w:szCs w:val="24"/>
              </w:rPr>
            </w:pPr>
          </w:p>
        </w:tc>
        <w:tc>
          <w:tcPr>
            <w:tcW w:w="3073" w:type="dxa"/>
            <w:vAlign w:val="center"/>
          </w:tcPr>
          <w:p>
            <w:pPr>
              <w:adjustRightInd w:val="0"/>
              <w:snapToGrid w:val="0"/>
              <w:jc w:val="left"/>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自治区级技术创新中心</w:t>
            </w:r>
          </w:p>
        </w:tc>
        <w:tc>
          <w:tcPr>
            <w:tcW w:w="949" w:type="dxa"/>
            <w:vAlign w:val="center"/>
          </w:tcPr>
          <w:p>
            <w:pPr>
              <w:adjustRightInd w:val="0"/>
              <w:snapToGrid w:val="0"/>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个</w:t>
            </w:r>
          </w:p>
        </w:tc>
        <w:tc>
          <w:tcPr>
            <w:tcW w:w="1089" w:type="dxa"/>
            <w:vAlign w:val="center"/>
          </w:tcPr>
          <w:p>
            <w:pPr>
              <w:adjustRightInd w:val="0"/>
              <w:snapToGrid w:val="0"/>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w:t>
            </w:r>
          </w:p>
        </w:tc>
        <w:tc>
          <w:tcPr>
            <w:tcW w:w="1417" w:type="dxa"/>
            <w:vAlign w:val="center"/>
          </w:tcPr>
          <w:p>
            <w:pPr>
              <w:adjustRightInd w:val="0"/>
              <w:snapToGrid w:val="0"/>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3</w:t>
            </w:r>
          </w:p>
        </w:tc>
        <w:tc>
          <w:tcPr>
            <w:tcW w:w="1028" w:type="dxa"/>
            <w:vAlign w:val="center"/>
          </w:tcPr>
          <w:p>
            <w:pPr>
              <w:adjustRightInd w:val="0"/>
              <w:snapToGrid w:val="0"/>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预期性</w:t>
            </w:r>
          </w:p>
        </w:tc>
      </w:tr>
    </w:tbl>
    <w:p>
      <w:pPr>
        <w:spacing w:line="560" w:lineRule="exact"/>
        <w:ind w:firstLine="640" w:firstLineChars="200"/>
        <w:rPr>
          <w:rFonts w:ascii="Times New Roman" w:hAnsi="Times New Roman" w:eastAsia="楷体_GB2312" w:cs="Times New Roman"/>
          <w:sz w:val="32"/>
          <w:szCs w:val="28"/>
        </w:rPr>
        <w:sectPr>
          <w:footerReference r:id="rId5" w:type="default"/>
          <w:pgSz w:w="11906" w:h="16838"/>
          <w:pgMar w:top="2098" w:right="1474" w:bottom="1984" w:left="1587" w:header="851" w:footer="992" w:gutter="0"/>
          <w:pgBorders>
            <w:top w:val="none" w:sz="0" w:space="0"/>
            <w:left w:val="none" w:sz="0" w:space="0"/>
            <w:bottom w:val="none" w:sz="0" w:space="0"/>
            <w:right w:val="none" w:sz="0" w:space="0"/>
          </w:pgBorders>
          <w:cols w:space="425" w:num="1"/>
          <w:docGrid w:type="lines" w:linePitch="312" w:charSpace="0"/>
        </w:sectPr>
      </w:pPr>
    </w:p>
    <w:p>
      <w:pPr>
        <w:pStyle w:val="2"/>
        <w:spacing w:line="578" w:lineRule="atLeast"/>
        <w:jc w:val="center"/>
        <w:rPr>
          <w:rFonts w:ascii="Times New Roman" w:hAnsi="Times New Roman" w:eastAsia="黑体" w:cs="Times New Roman"/>
          <w:b w:val="0"/>
          <w:bCs w:val="0"/>
        </w:rPr>
      </w:pPr>
      <w:bookmarkStart w:id="11" w:name="_Toc7137"/>
      <w:r>
        <w:rPr>
          <w:rFonts w:ascii="Times New Roman" w:hAnsi="Times New Roman" w:eastAsia="黑体" w:cs="Times New Roman"/>
          <w:b w:val="0"/>
          <w:bCs w:val="0"/>
          <w:sz w:val="32"/>
          <w:szCs w:val="32"/>
        </w:rPr>
        <w:t>第三章 布局方向</w:t>
      </w:r>
      <w:bookmarkEnd w:id="11"/>
    </w:p>
    <w:p>
      <w:pPr>
        <w:pStyle w:val="3"/>
        <w:spacing w:before="312" w:beforeLines="100" w:after="312" w:afterLines="100"/>
        <w:rPr>
          <w:rFonts w:ascii="Times New Roman" w:hAnsi="Times New Roman" w:eastAsia="楷体_GB2312"/>
          <w:sz w:val="32"/>
        </w:rPr>
      </w:pPr>
      <w:bookmarkStart w:id="12" w:name="_Toc9303"/>
      <w:r>
        <w:rPr>
          <w:rFonts w:ascii="Times New Roman" w:hAnsi="Times New Roman" w:eastAsia="楷体_GB2312"/>
          <w:b w:val="0"/>
          <w:bCs w:val="0"/>
          <w:sz w:val="32"/>
        </w:rPr>
        <w:t>第一节 总体布局</w:t>
      </w:r>
      <w:bookmarkEnd w:id="12"/>
    </w:p>
    <w:p>
      <w:pPr>
        <w:spacing w:line="560" w:lineRule="exact"/>
        <w:ind w:firstLine="640" w:firstLineChars="200"/>
        <w:rPr>
          <w:rFonts w:hint="eastAsia" w:ascii="仿宋_GB2312" w:hAnsi="仿宋_GB2312" w:eastAsia="仿宋_GB2312" w:cs="仿宋_GB2312"/>
          <w:b w:val="0"/>
          <w:bCs w:val="0"/>
          <w:sz w:val="32"/>
          <w:szCs w:val="28"/>
        </w:rPr>
      </w:pPr>
      <w:r>
        <w:rPr>
          <w:rFonts w:hint="eastAsia" w:ascii="仿宋_GB2312" w:hAnsi="仿宋_GB2312" w:eastAsia="仿宋_GB2312" w:cs="仿宋_GB2312"/>
          <w:b w:val="0"/>
          <w:bCs w:val="0"/>
          <w:sz w:val="32"/>
          <w:szCs w:val="28"/>
        </w:rPr>
        <w:t>严格落实《内蒙古自治区工业园区优化调整实施方案》有关要求和原则：一是根据“十四五”规划纲要关于“优化区域经济布局”的要求，按照各地区的产业功能定位，对开发区优化布局；二是撤销一批入驻企业少、在建项目少、招商引资成果少的开发区，工业总产值10亿元以下的工业园区原则上撤销；三是一个旗县（市、区）内多个开发区的优化整合为1个，原则上一个旗县（市、区）开发区不超过1个；四是对区位相近或相邻、产业同质的开发区跨旗县区整合；五是把物流园区作为工业园区的配套服务区，将物流园区原则上就近整合到工业园区内，个别地区考虑作为物流枢纽的产业定位，保留部分物流园区。</w:t>
      </w:r>
    </w:p>
    <w:p>
      <w:pPr>
        <w:spacing w:line="560" w:lineRule="exact"/>
        <w:ind w:firstLine="640" w:firstLineChars="200"/>
        <w:rPr>
          <w:rFonts w:hint="eastAsia" w:ascii="仿宋_GB2312" w:hAnsi="仿宋_GB2312" w:eastAsia="仿宋_GB2312" w:cs="仿宋_GB2312"/>
          <w:b w:val="0"/>
          <w:bCs w:val="0"/>
          <w:sz w:val="32"/>
          <w:szCs w:val="28"/>
        </w:rPr>
      </w:pPr>
      <w:r>
        <w:rPr>
          <w:rFonts w:hint="eastAsia" w:ascii="仿宋_GB2312" w:hAnsi="仿宋_GB2312" w:eastAsia="仿宋_GB2312" w:cs="仿宋_GB2312"/>
          <w:b w:val="0"/>
          <w:bCs w:val="0"/>
          <w:sz w:val="32"/>
          <w:szCs w:val="28"/>
        </w:rPr>
        <w:t>根据整合方案，鄂尔多斯市目前独立运作的15个工业园区整合为8个，除上海庙工业园区不作调整外，鄂尔多斯高新技术产业开发区、装备制造工业园区和东胜经济科教（轻纺工业）园区整合为鄂尔多斯高新技术产业开发区，</w:t>
      </w:r>
      <w:r>
        <w:rPr>
          <w:rFonts w:hint="eastAsia" w:ascii="仿宋_GB2312" w:hAnsi="仿宋_GB2312" w:eastAsia="仿宋_GB2312" w:cs="仿宋_GB2312"/>
          <w:b w:val="0"/>
          <w:bCs w:val="0"/>
          <w:sz w:val="32"/>
          <w:szCs w:val="32"/>
        </w:rPr>
        <w:t>鄂尔多斯大路工业园区和内蒙古准格尔经济开发区整合为准格尔经济开发区，内蒙古达拉特经济开发区与达拉特旗马兰湖物流园区整合为内蒙古达拉特经济开发区，</w:t>
      </w:r>
      <w:r>
        <w:rPr>
          <w:rFonts w:hint="eastAsia" w:ascii="仿宋_GB2312" w:hAnsi="仿宋_GB2312" w:eastAsia="仿宋_GB2312" w:cs="仿宋_GB2312"/>
          <w:b w:val="0"/>
          <w:bCs w:val="0"/>
          <w:sz w:val="32"/>
          <w:szCs w:val="28"/>
        </w:rPr>
        <w:t>鄂尔多斯江苏工业园区、圣圆煤化工基地、伊金霍洛旗扎萨克物流园区、伊金霍洛旗煤炭物流园区整合为蒙苏经济开发区，鄂尔多斯独贵塔拉工业园区、鄂尔多斯新能源产业示范区整合为内蒙古杭锦经济开发区，棋盘井工业园区、蒙西高新技术工业园区整合为内蒙古鄂托克经济开发区，苏里格经济开发区、纳林河工业园区整合为内蒙古鄂尔多斯苏里格经济开发区。</w:t>
      </w:r>
    </w:p>
    <w:p>
      <w:pPr>
        <w:spacing w:line="560" w:lineRule="exact"/>
        <w:ind w:firstLine="640" w:firstLineChars="200"/>
        <w:rPr>
          <w:rFonts w:hint="eastAsia" w:ascii="仿宋_GB2312" w:hAnsi="仿宋_GB2312" w:eastAsia="仿宋_GB2312" w:cs="仿宋_GB2312"/>
          <w:b w:val="0"/>
          <w:bCs w:val="0"/>
          <w:sz w:val="32"/>
          <w:szCs w:val="28"/>
        </w:rPr>
      </w:pPr>
      <w:r>
        <w:rPr>
          <w:rFonts w:hint="eastAsia" w:ascii="仿宋_GB2312" w:hAnsi="仿宋_GB2312" w:eastAsia="仿宋_GB2312" w:cs="仿宋_GB2312"/>
          <w:b w:val="0"/>
          <w:bCs w:val="0"/>
          <w:sz w:val="32"/>
          <w:szCs w:val="28"/>
        </w:rPr>
        <w:t>按照“中心集聚、轴向带动、点状促进”的布局思路，全市工业园区将加快形成“一区两带、多极联动”的空间发展格局，进一步推动“区”“带”融合集聚，“极”点互补协作。其中，“一区”为中心城创新区，“两带”为沿黄河高质量发展经济带和中部经济带，“多极”包括鄂尔多斯高新技术产业开发区、准格尔经济开发区、达拉特经济开发区、杭锦经济开发区、鄂托克经济开发区、上海庙经济开发区、蒙苏经济开发区和苏里格经济开发区。</w:t>
      </w:r>
    </w:p>
    <w:p>
      <w:pPr>
        <w:pStyle w:val="4"/>
        <w:spacing w:before="0" w:after="0" w:line="360" w:lineRule="auto"/>
        <w:ind w:firstLine="640" w:firstLineChars="200"/>
        <w:rPr>
          <w:rStyle w:val="47"/>
          <w:rFonts w:hint="eastAsia" w:ascii="黑体" w:hAnsi="黑体" w:eastAsia="黑体" w:cs="黑体"/>
          <w:b w:val="0"/>
          <w:bCs w:val="0"/>
          <w:color w:val="auto"/>
        </w:rPr>
      </w:pPr>
      <w:r>
        <w:rPr>
          <w:rStyle w:val="47"/>
          <w:rFonts w:hint="eastAsia" w:ascii="黑体" w:hAnsi="黑体" w:eastAsia="黑体" w:cs="黑体"/>
          <w:b w:val="0"/>
          <w:bCs w:val="0"/>
          <w:color w:val="auto"/>
        </w:rPr>
        <w:t>一、促进中心城工业园区创新升级</w:t>
      </w:r>
    </w:p>
    <w:p>
      <w:pPr>
        <w:spacing w:line="560" w:lineRule="exact"/>
        <w:ind w:firstLine="640" w:firstLineChars="200"/>
        <w:rPr>
          <w:rFonts w:hint="eastAsia" w:ascii="仿宋_GB2312" w:hAnsi="仿宋_GB2312" w:eastAsia="仿宋_GB2312" w:cs="仿宋_GB2312"/>
          <w:b w:val="0"/>
          <w:bCs w:val="0"/>
          <w:sz w:val="32"/>
          <w:szCs w:val="28"/>
        </w:rPr>
      </w:pPr>
      <w:r>
        <w:rPr>
          <w:rFonts w:hint="eastAsia" w:ascii="仿宋_GB2312" w:hAnsi="仿宋_GB2312" w:eastAsia="仿宋_GB2312" w:cs="仿宋_GB2312"/>
          <w:b w:val="0"/>
          <w:bCs w:val="0"/>
          <w:sz w:val="32"/>
          <w:szCs w:val="28"/>
        </w:rPr>
        <w:t>中心城创新区主要指整合后的高新技术产业开发区。</w:t>
      </w:r>
    </w:p>
    <w:p>
      <w:pPr>
        <w:spacing w:line="560" w:lineRule="exact"/>
        <w:ind w:firstLine="640" w:firstLineChars="200"/>
        <w:rPr>
          <w:rFonts w:hint="eastAsia" w:ascii="仿宋_GB2312" w:hAnsi="仿宋_GB2312" w:eastAsia="仿宋_GB2312" w:cs="仿宋_GB2312"/>
          <w:b w:val="0"/>
          <w:bCs w:val="0"/>
          <w:sz w:val="32"/>
          <w:szCs w:val="28"/>
        </w:rPr>
      </w:pPr>
      <w:r>
        <w:rPr>
          <w:rFonts w:hint="eastAsia" w:ascii="仿宋_GB2312" w:hAnsi="仿宋_GB2312" w:eastAsia="仿宋_GB2312" w:cs="仿宋_GB2312"/>
          <w:b w:val="0"/>
          <w:bCs w:val="0"/>
          <w:sz w:val="32"/>
          <w:szCs w:val="28"/>
        </w:rPr>
        <w:t>把握呼包鄂国家自主创新示范区、鄂尔多斯国家可持续发展议程创新示范区建设契机，加快推动高新技术产业开发区深化与中心城区互动，共同打造鄂尔多斯市先进制造和战略性新兴产业的拓展平台。</w:t>
      </w:r>
    </w:p>
    <w:p>
      <w:pPr>
        <w:spacing w:line="560" w:lineRule="exact"/>
        <w:ind w:firstLine="640" w:firstLineChars="200"/>
        <w:rPr>
          <w:rFonts w:hint="eastAsia" w:ascii="仿宋_GB2312" w:hAnsi="仿宋_GB2312" w:eastAsia="仿宋_GB2312" w:cs="仿宋_GB2312"/>
          <w:b w:val="0"/>
          <w:bCs w:val="0"/>
          <w:sz w:val="32"/>
          <w:szCs w:val="28"/>
        </w:rPr>
      </w:pPr>
      <w:r>
        <w:rPr>
          <w:rFonts w:hint="eastAsia" w:ascii="仿宋_GB2312" w:hAnsi="仿宋_GB2312" w:eastAsia="仿宋_GB2312" w:cs="仿宋_GB2312"/>
          <w:b w:val="0"/>
          <w:bCs w:val="0"/>
          <w:sz w:val="32"/>
          <w:szCs w:val="28"/>
        </w:rPr>
        <w:t>充分发挥区位和信息产业优势，吸引和对接国内外创新资源，建立服务全市的区域创新体系。加快创新科技成果的转化和应用，集聚发展电子信息、汽车及零部件、现代能源装备等装备制造业，新材料和节能环保等战略性新兴产业及其配套产业，提升绒纺加工等传统优势产业。</w:t>
      </w:r>
    </w:p>
    <w:p>
      <w:pPr>
        <w:pStyle w:val="4"/>
        <w:spacing w:before="0" w:after="0" w:line="360" w:lineRule="auto"/>
        <w:ind w:firstLine="640" w:firstLineChars="200"/>
        <w:rPr>
          <w:rStyle w:val="47"/>
          <w:rFonts w:hint="eastAsia" w:ascii="黑体" w:hAnsi="黑体" w:eastAsia="黑体" w:cs="黑体"/>
          <w:b w:val="0"/>
          <w:bCs w:val="0"/>
          <w:color w:val="auto"/>
          <w:sz w:val="32"/>
          <w:szCs w:val="32"/>
        </w:rPr>
      </w:pPr>
      <w:r>
        <w:rPr>
          <w:rStyle w:val="47"/>
          <w:rFonts w:hint="eastAsia" w:ascii="黑体" w:hAnsi="黑体" w:eastAsia="黑体" w:cs="黑体"/>
          <w:b w:val="0"/>
          <w:bCs w:val="0"/>
          <w:color w:val="auto"/>
          <w:sz w:val="32"/>
          <w:szCs w:val="32"/>
        </w:rPr>
        <w:t>二、加快沿黄河高质量发展经济带工业园区能级突破</w:t>
      </w:r>
    </w:p>
    <w:p>
      <w:pPr>
        <w:spacing w:line="560" w:lineRule="exact"/>
        <w:ind w:firstLine="640" w:firstLineChars="200"/>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沿黄河高质量发展经济带范围包括准格尔经济开发区、达拉特经济开发区、杭锦经济开发区、鄂托克经济开发区、上海庙工业园区。</w:t>
      </w:r>
    </w:p>
    <w:p>
      <w:pPr>
        <w:spacing w:line="560" w:lineRule="exact"/>
        <w:ind w:firstLine="640" w:firstLineChars="200"/>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重点聚焦和突破发展新能源、新材料、绿色环保等新兴产业，加快提升园区产业能级和综合实力，推动园区产业技术升级和节能减排，加大力度淘汰落后产能，打造沿黄河经济带增长极和全市新兴产业发展主战场。</w:t>
      </w:r>
    </w:p>
    <w:p>
      <w:pPr>
        <w:pStyle w:val="4"/>
        <w:spacing w:before="0" w:after="0" w:line="360" w:lineRule="auto"/>
        <w:ind w:firstLine="640" w:firstLineChars="200"/>
        <w:rPr>
          <w:rStyle w:val="47"/>
          <w:rFonts w:hint="eastAsia" w:ascii="黑体" w:hAnsi="黑体" w:eastAsia="黑体" w:cs="黑体"/>
          <w:b w:val="0"/>
          <w:bCs w:val="0"/>
          <w:color w:val="auto"/>
          <w:sz w:val="32"/>
          <w:szCs w:val="32"/>
        </w:rPr>
      </w:pPr>
      <w:r>
        <w:rPr>
          <w:rStyle w:val="47"/>
          <w:rFonts w:hint="eastAsia" w:ascii="黑体" w:hAnsi="黑体" w:eastAsia="黑体" w:cs="黑体"/>
          <w:b w:val="0"/>
          <w:bCs w:val="0"/>
          <w:color w:val="auto"/>
          <w:sz w:val="32"/>
          <w:szCs w:val="32"/>
        </w:rPr>
        <w:t>三、加快中部经济带工业园区绿色崛起</w:t>
      </w:r>
    </w:p>
    <w:p>
      <w:pPr>
        <w:spacing w:line="560" w:lineRule="exact"/>
        <w:ind w:firstLine="640" w:firstLineChars="200"/>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中部经济带范围包括蒙苏经济开发区、苏里格经济开发区。</w:t>
      </w:r>
    </w:p>
    <w:p>
      <w:pPr>
        <w:spacing w:line="560" w:lineRule="exact"/>
        <w:ind w:firstLine="640" w:firstLineChars="200"/>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强化跨区域产业承接转移和周边区域协作，重点做大煤化工装备维修制造、现代煤化工、化工新材料产业规模，着力增强经济发展绿色动能，打造产业协作示范区和全市开放发展绿色转型新样板。</w:t>
      </w:r>
    </w:p>
    <w:p>
      <w:pPr>
        <w:jc w:val="center"/>
        <w:rPr>
          <w:rFonts w:ascii="Times New Roman" w:hAnsi="Times New Roman" w:eastAsia="仿宋_GB2312" w:cs="Times New Roman"/>
          <w:sz w:val="28"/>
          <w:szCs w:val="28"/>
        </w:rPr>
      </w:pPr>
    </w:p>
    <w:p>
      <w:pPr>
        <w:jc w:val="center"/>
        <w:rPr>
          <w:rFonts w:ascii="Times New Roman" w:hAnsi="Times New Roman" w:eastAsia="仿宋_GB2312" w:cs="Times New Roman"/>
          <w:sz w:val="28"/>
          <w:szCs w:val="28"/>
        </w:rPr>
      </w:pPr>
    </w:p>
    <w:p>
      <w:pPr>
        <w:jc w:val="center"/>
        <w:rPr>
          <w:rFonts w:hint="eastAsia" w:ascii="黑体" w:hAnsi="黑体" w:eastAsia="黑体" w:cs="黑体"/>
          <w:sz w:val="28"/>
          <w:szCs w:val="28"/>
        </w:rPr>
      </w:pPr>
      <w:r>
        <w:rPr>
          <w:rFonts w:hint="eastAsia" w:ascii="黑体" w:hAnsi="黑体" w:eastAsia="黑体" w:cs="黑体"/>
        </w:rPr>
        <w:drawing>
          <wp:anchor distT="0" distB="0" distL="0" distR="0" simplePos="0" relativeHeight="251659264" behindDoc="0" locked="0" layoutInCell="1" allowOverlap="1">
            <wp:simplePos x="0" y="0"/>
            <wp:positionH relativeFrom="column">
              <wp:posOffset>118745</wp:posOffset>
            </wp:positionH>
            <wp:positionV relativeFrom="paragraph">
              <wp:posOffset>160655</wp:posOffset>
            </wp:positionV>
            <wp:extent cx="5229225" cy="3789045"/>
            <wp:effectExtent l="0" t="0" r="9525" b="1905"/>
            <wp:wrapTopAndBottom/>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5229225" cy="3789045"/>
                    </a:xfrm>
                    <a:prstGeom prst="rect">
                      <a:avLst/>
                    </a:prstGeom>
                    <a:noFill/>
                  </pic:spPr>
                </pic:pic>
              </a:graphicData>
            </a:graphic>
          </wp:anchor>
        </w:drawing>
      </w:r>
      <w:r>
        <w:rPr>
          <w:rFonts w:hint="eastAsia" w:ascii="黑体" w:hAnsi="黑体" w:eastAsia="黑体" w:cs="黑体"/>
          <w:sz w:val="28"/>
          <w:szCs w:val="28"/>
        </w:rPr>
        <w:t>图3-1鄂尔多斯市工业园区总体布局示意图</w:t>
      </w:r>
      <w:bookmarkStart w:id="13" w:name="_Toc24071"/>
    </w:p>
    <w:p>
      <w:pPr>
        <w:jc w:val="center"/>
        <w:rPr>
          <w:rFonts w:hint="eastAsia" w:ascii="黑体" w:hAnsi="黑体" w:eastAsia="黑体" w:cs="黑体"/>
          <w:sz w:val="28"/>
          <w:szCs w:val="28"/>
        </w:rPr>
      </w:pPr>
    </w:p>
    <w:p>
      <w:pPr>
        <w:numPr>
          <w:ilvl w:val="0"/>
          <w:numId w:val="0"/>
        </w:numPr>
        <w:ind w:leftChars="200"/>
        <w:jc w:val="center"/>
        <w:rPr>
          <w:rFonts w:ascii="Times New Roman" w:hAnsi="Times New Roman" w:eastAsia="楷体_GB2312"/>
          <w:sz w:val="32"/>
        </w:rPr>
      </w:pPr>
      <w:r>
        <w:rPr>
          <w:rFonts w:hint="eastAsia" w:ascii="Times New Roman" w:hAnsi="Times New Roman" w:eastAsia="楷体_GB2312"/>
          <w:sz w:val="32"/>
          <w:lang w:eastAsia="zh-CN"/>
        </w:rPr>
        <w:t>第二节</w:t>
      </w:r>
      <w:r>
        <w:rPr>
          <w:rFonts w:hint="eastAsia" w:ascii="Times New Roman" w:hAnsi="Times New Roman" w:eastAsia="楷体_GB2312"/>
          <w:sz w:val="32"/>
          <w:lang w:val="en-US" w:eastAsia="zh-CN"/>
        </w:rPr>
        <w:t xml:space="preserve"> </w:t>
      </w:r>
      <w:r>
        <w:rPr>
          <w:rFonts w:ascii="Times New Roman" w:hAnsi="Times New Roman" w:eastAsia="楷体_GB2312"/>
          <w:sz w:val="32"/>
        </w:rPr>
        <w:t>产业方向</w:t>
      </w:r>
      <w:bookmarkEnd w:id="13"/>
    </w:p>
    <w:p>
      <w:pPr>
        <w:numPr>
          <w:ilvl w:val="0"/>
          <w:numId w:val="0"/>
        </w:numPr>
        <w:ind w:leftChars="200"/>
        <w:jc w:val="both"/>
        <w:rPr>
          <w:rFonts w:ascii="Times New Roman" w:hAnsi="Times New Roman" w:eastAsia="楷体_GB2312"/>
          <w:sz w:val="32"/>
        </w:rPr>
      </w:pPr>
    </w:p>
    <w:p>
      <w:pPr>
        <w:spacing w:line="560" w:lineRule="exact"/>
        <w:ind w:firstLine="640" w:firstLineChars="200"/>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依据全市产业发展和国土空间规划，结合区域功能定位和产业优势，按照“布局集中、主业突出、产业集聚、土地集约”的原则，加快各类生产要素向工业园区集聚，统筹协调和优化工业园区产业布局规划，着力推动各园区产业差异化发展，每个园区重点发展1-2个主导产业，围绕主导产业上下游引进和建设项目，推动形成专业化、特色化、差异化的工业园区发展格局。引导国家级、自治区级开发园区重点打造具有领跑全区乃至全国的标杆性产业，全面提升产业特色发展、集中布局程度。发挥国家级、自治区级开发园区的主体作用，加快推进“一区多园”、飞地经济，强化园区产业协同、上下游关联，从全市层面促进产业集群发展。</w:t>
      </w:r>
    </w:p>
    <w:p>
      <w:pPr>
        <w:pStyle w:val="4"/>
        <w:spacing w:before="0" w:after="0" w:line="360" w:lineRule="auto"/>
        <w:ind w:firstLine="640" w:firstLineChars="200"/>
        <w:rPr>
          <w:rStyle w:val="47"/>
          <w:b w:val="0"/>
          <w:bCs w:val="0"/>
          <w:color w:val="auto"/>
        </w:rPr>
      </w:pPr>
      <w:r>
        <w:rPr>
          <w:rStyle w:val="47"/>
          <w:b w:val="0"/>
          <w:bCs w:val="0"/>
          <w:color w:val="auto"/>
        </w:rPr>
        <w:t>一、鄂尔多斯高新技术产业开发区</w:t>
      </w:r>
    </w:p>
    <w:p>
      <w:pPr>
        <w:spacing w:line="560" w:lineRule="exact"/>
        <w:ind w:firstLine="640" w:firstLineChars="200"/>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鄂尔多斯高新技术产业开发区由3个区块组成，分别为高新技术产业园、装备制造产业园和轻纺产业园。重点发展信息技术、新兴产业、装备制造和轻工纺织。</w:t>
      </w:r>
    </w:p>
    <w:p>
      <w:pPr>
        <w:spacing w:line="560" w:lineRule="exact"/>
        <w:ind w:firstLine="640" w:firstLineChars="200"/>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高新技术产业园大力推进数字产业化，发展壮大新型显示产业，积极开展物联网传感元器件、新型电子元器件等物联网电子制造，做优做强高端软件服务业，拓展形成新一代信息技术的应用。以源盛光电为龙头，开展产业链招商，完善新型显示核心配套体系建设。大力发展新材料产业，积极引进康宁、南玻等国内外领先玻璃基板龙头生产企业，发展新型显示用封装胶、光学膜材等有机材料，延伸发展无机非金属材料、高性能纤维及复合材料和石墨烯等前沿新材料；积极布局消费级视听产品生产线建设，拓展车载终端、笔记本、工控仪器、可穿戴设备等终端产品。以两化深度融合和智慧园区智慧城市建设为契机，重点发展高端传感器、MEMS(微电子机械系统)、智能传感器和传感器网节点、传感器网关，积极发展超高频RFID、有源RFID和RFID中间件产业。</w:t>
      </w:r>
    </w:p>
    <w:p>
      <w:pPr>
        <w:spacing w:line="560" w:lineRule="exact"/>
        <w:ind w:firstLine="640" w:firstLineChars="200"/>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装备制造产业园重点发展新能源装备、煤机装备。风电装备方面，重点发展发电机、法兰、制动器、轴承、齿轮、异型环锻件等风电配套零部件，逐步完善风电装备全产业链；光伏装备方面，重点加快新一代晶硅原材料、薄膜电池板、高效聚光光伏电池的引进，推进碲化镉材料光伏发电装备在多领域应用，扩大建筑附着光伏组件(BIPV)推广应用。装备产业园集中布局配套零部件项目，打造形成涵盖动力电池、电机、电控系统、动力总成、配套零部件及整车研发生产的新能源汽车全产业链。煤机装备方面，构建煤机装备工程实验室、工程技术研究中心、企业技术中心、科技创新团队相结合的煤机装备协同创新体系，重点突破成套装备核心部件以及煤机装备电气系统、煤矿数字化矿山网络通讯系统等关键配套部件；重点开发煤炭智能化高效分选技术装备，开发灰水热实时检测仪器仪表，研发机电一体化大型重介、跳汰、浮选等分选设备，构建自动化生产和信息化管理技术平台，全面提升国产装备大型化、自动化、节能化技术水平。</w:t>
      </w:r>
    </w:p>
    <w:p>
      <w:pPr>
        <w:spacing w:line="560" w:lineRule="exact"/>
        <w:ind w:firstLine="640" w:firstLineChars="200"/>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轻纺产业园以打造“鄂尔多斯”品牌为重点，建设集品牌展示、旅游购物、电商运营为一体，富有文化特色的羊绒特色小镇，强化“鄂尔多斯”地理标志商品宣传，打造世界羊绒中心。打造智能制造“云平台”系统，以“数字创意设计+定制化”模式实现客户个性化需求与规模化生产制造的无缝对接。不断开发羊绒与丝、化纤等混纺面料，发展年轻化、时尚化、舒适化、维护成本低的羊绒精品。</w:t>
      </w:r>
    </w:p>
    <w:p>
      <w:pPr>
        <w:pStyle w:val="4"/>
        <w:spacing w:before="0" w:after="0" w:line="360" w:lineRule="auto"/>
        <w:ind w:firstLine="640" w:firstLineChars="200"/>
        <w:rPr>
          <w:rStyle w:val="47"/>
          <w:b w:val="0"/>
          <w:bCs w:val="0"/>
          <w:color w:val="auto"/>
        </w:rPr>
      </w:pPr>
      <w:r>
        <w:rPr>
          <w:rStyle w:val="47"/>
          <w:b w:val="0"/>
          <w:bCs w:val="0"/>
          <w:color w:val="auto"/>
        </w:rPr>
        <w:t>二、内蒙古准格尔经济开发区</w:t>
      </w:r>
    </w:p>
    <w:p>
      <w:pPr>
        <w:spacing w:line="560" w:lineRule="exact"/>
        <w:ind w:firstLine="640" w:firstLineChars="200"/>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内蒙古准格尔经济开发区由2个区块组成，分别为大路产业园和准格尔产业园。重点发展能源化工、资源综合利用、无机非金属材料和低阶煤综合利用产业。</w:t>
      </w:r>
    </w:p>
    <w:p>
      <w:pPr>
        <w:spacing w:line="560" w:lineRule="exact"/>
        <w:ind w:firstLine="640" w:firstLineChars="200"/>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大路产业园重点推进煤炭间接液化、煤制气、煤制烯烃、煤制乙二醇升级示范，延伸布局聚碳酸酯、乙丙橡胶等工程塑料和橡胶产业。依托煤间接制油项目，开发高碳α-烯烃、α-聚烯烃、超硬蜡、高碳醇、橡胶填充料、高档润滑油基础油、高档白油等；以煤制芳烃、焦油加氢产品和煤炭直接间接混合液化副产苯，发展聚酯纤维、芳纶有机纤维、尼龙等高端复合材料。建设新能源科技产业园，打造风光氢储车全产业链，重点布局新型电力一体化系统、绿氢制取、先进装备制造等高端产业。依托区域资源优势，重点发展粉煤灰综合利用、氧化铝、铝精深加工和固体废物资源综合利用等先进环保产业。</w:t>
      </w:r>
    </w:p>
    <w:p>
      <w:pPr>
        <w:spacing w:line="560" w:lineRule="exact"/>
        <w:ind w:firstLine="640" w:firstLineChars="200"/>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准格尔产业园重点依托内蒙古先进陶瓷研究院，研究转化先进科研成果，孵化培育陶瓷膜材料、陶瓷基复合材料、陶瓷涂层、纳米陶瓷等陶瓷材料及制品，开发高性能玻璃纤维、连续玄武岩纤维、高性能摩擦材料和绿色新型耐火材料。发挥准格尔旗煤系高岭土资源产地优势，开发高岭土深加工产品，着力提升高档高岭土品质，实现煤系高岭土深加工多元化、精细化，重点开发医用超细煅烧高岭土、玻璃纤维用煅烧高岭土、催化剂用煅烧高岭土等产品。利用当地丰富的石英砂优势资源发展特种玻璃产业，包括光伏玻璃背板、面板、汽车玻璃及玻璃深加工产业。围绕煤炭清洁高效利用，探索发展</w:t>
      </w:r>
      <w:r>
        <w:rPr>
          <w:rFonts w:hint="eastAsia" w:ascii="仿宋_GB2312" w:hAnsi="仿宋_GB2312" w:eastAsia="仿宋_GB2312" w:cs="仿宋_GB2312"/>
          <w:sz w:val="32"/>
          <w:szCs w:val="32"/>
        </w:rPr>
        <w:t>低阶煤分级分质综合利用产业及上下游配套产业。</w:t>
      </w:r>
    </w:p>
    <w:p>
      <w:pPr>
        <w:pStyle w:val="4"/>
        <w:spacing w:before="0" w:after="0" w:line="360" w:lineRule="auto"/>
        <w:ind w:firstLine="640" w:firstLineChars="200"/>
        <w:rPr>
          <w:rStyle w:val="47"/>
          <w:rFonts w:hint="eastAsia" w:ascii="仿宋_GB2312" w:hAnsi="仿宋_GB2312" w:eastAsia="仿宋_GB2312" w:cs="仿宋_GB2312"/>
          <w:b w:val="0"/>
          <w:bCs w:val="0"/>
          <w:color w:val="auto"/>
        </w:rPr>
      </w:pPr>
      <w:r>
        <w:rPr>
          <w:rStyle w:val="47"/>
          <w:rFonts w:hint="eastAsia" w:ascii="黑体" w:hAnsi="黑体" w:eastAsia="黑体" w:cs="黑体"/>
          <w:b w:val="0"/>
          <w:bCs w:val="0"/>
          <w:color w:val="auto"/>
        </w:rPr>
        <w:t>三、内蒙古达拉特经济开发区</w:t>
      </w:r>
    </w:p>
    <w:p>
      <w:pPr>
        <w:spacing w:line="560" w:lineRule="exact"/>
        <w:ind w:firstLine="640" w:firstLineChars="200"/>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内蒙古达拉特经济开发区由2个区块组成，分别为达拉特产业园和达拉特物流园。重点发展能源化工、新材料和物流及相关延伸产业。</w:t>
      </w:r>
    </w:p>
    <w:p>
      <w:pPr>
        <w:spacing w:line="560" w:lineRule="exact"/>
        <w:ind w:firstLine="640" w:firstLineChars="200"/>
        <w:rPr>
          <w:rFonts w:ascii="Times New Roman" w:hAnsi="Times New Roman" w:eastAsia="仿宋_GB2312" w:cs="Times New Roman"/>
          <w:sz w:val="32"/>
          <w:szCs w:val="28"/>
        </w:rPr>
      </w:pPr>
      <w:r>
        <w:rPr>
          <w:rFonts w:hint="eastAsia" w:ascii="仿宋_GB2312" w:hAnsi="仿宋_GB2312" w:eastAsia="仿宋_GB2312" w:cs="仿宋_GB2312"/>
          <w:sz w:val="32"/>
          <w:szCs w:val="28"/>
        </w:rPr>
        <w:t>达拉特经济开发区依托乙二醇项目，发挥与区域毛纺产业的耦合作用，重点培育涤纶、腈纶、锦纶、氨纶等合成纤维产业。以光伏领跑基地为核心，建设达拉特旗国家级千万千瓦多能互补、融合的能源产业基地。依托达拉特旗煤制烯烃、铝基材料产业基础和包头市有色金属、化工新材料产业优势，支持两地企业围绕高纯铝及下游高端装备零部件、特种树脂及下游高端应用等开展上下游协作。能源化工产业围绕绿色化，提升发展煤化工、氯碱化工、有机硅、清洁能源化工产业。</w:t>
      </w:r>
    </w:p>
    <w:p>
      <w:pPr>
        <w:pStyle w:val="4"/>
        <w:spacing w:before="0" w:after="0" w:line="360" w:lineRule="auto"/>
        <w:ind w:firstLine="640" w:firstLineChars="200"/>
        <w:rPr>
          <w:rStyle w:val="47"/>
          <w:b w:val="0"/>
          <w:bCs w:val="0"/>
          <w:color w:val="auto"/>
        </w:rPr>
      </w:pPr>
      <w:r>
        <w:rPr>
          <w:rStyle w:val="47"/>
          <w:b w:val="0"/>
          <w:bCs w:val="0"/>
          <w:color w:val="auto"/>
        </w:rPr>
        <w:t>四、蒙苏经济开发区</w:t>
      </w:r>
    </w:p>
    <w:p>
      <w:pPr>
        <w:spacing w:line="560" w:lineRule="exact"/>
        <w:ind w:firstLine="640" w:firstLineChars="200"/>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蒙苏经济开发区由3个区块组成，分别为江苏产业园、圣圆产业园和伊金霍洛物流园。重点发展清洁能源、新材料、煤电、煤化工和物流及相关延伸产业。</w:t>
      </w:r>
    </w:p>
    <w:p>
      <w:pPr>
        <w:spacing w:line="560" w:lineRule="exact"/>
        <w:ind w:firstLine="640" w:firstLineChars="200"/>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蒙苏经济开发区重点布局煤炭直接液化项目，生产柴油、汽油、天然气、航空煤油、润滑油基础油等特种油品。打造煤机产业链，吸引煤机科研、经营、生产企业入园，鼓励一批与区内骨干企业相联系、相配套的材料、包装、物流等中小企业入园创业，打造专业煤机制造集聚区；集中布局配套零部件项目，打造形成涵盖动力电池、电机、电控系统、动力总成、配套零部件及整车研发生产的新能源汽车全产业链。引导氢能产业集中布局、集聚发展，整合企业副产氢资源供应能力，因地制宜发展煤制氢、可再生能源电解水制氢等多种方式，逐步建立多元化氢资源供应保障体系；以新源动力项目为依托，建设氢能示范产业园，助推制氢、储氢、运输、应用全产业链发展。加快远景现代能源装备产业园建设，加速储能商业化应用。</w:t>
      </w:r>
    </w:p>
    <w:p>
      <w:pPr>
        <w:pStyle w:val="4"/>
        <w:spacing w:before="0" w:after="0" w:line="360" w:lineRule="auto"/>
        <w:ind w:firstLine="640" w:firstLineChars="200"/>
        <w:rPr>
          <w:rStyle w:val="47"/>
          <w:b w:val="0"/>
          <w:bCs w:val="0"/>
          <w:color w:val="auto"/>
        </w:rPr>
      </w:pPr>
      <w:r>
        <w:rPr>
          <w:rStyle w:val="47"/>
          <w:b w:val="0"/>
          <w:bCs w:val="0"/>
          <w:color w:val="auto"/>
        </w:rPr>
        <w:t>五、内蒙古杭锦经济开发区</w:t>
      </w:r>
    </w:p>
    <w:p>
      <w:pPr>
        <w:spacing w:line="560" w:lineRule="exact"/>
        <w:ind w:firstLine="640" w:firstLineChars="200"/>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鄂尔多斯杭锦经济开发区由2个区块组成，分别为独贵塔拉产业园和新能源产业园。重点发展化工、新材料、清洁能源产业（包括新能源发电、储能、天然气综合利用）和新兴产业。</w:t>
      </w:r>
    </w:p>
    <w:p>
      <w:pPr>
        <w:spacing w:line="560" w:lineRule="exact"/>
        <w:ind w:firstLine="640" w:firstLineChars="200"/>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依托独贵塔拉产业园建设的煤制化学品项目，开展高碳醇、特种蜡、医药中间体等下游高端产品延伸建设。鼓励采取多能互补一体化模式，建设杭锦旗国家能源集团鄂尔多斯“风光火储氢”一体化综合智慧能源基地，重点发展新能源发电、新能源清洁能源装备制造、新能源化学储能、新能源产业；天然气液化产业、天然气综合利用、LNG装置BOG提氦产业、天然气制氢，以天然气液化产业延伸的冷能利用、天然气重卡及低温设备制造，打造国家现代能源技术集成基地和国家绿色能源示范基地。</w:t>
      </w:r>
    </w:p>
    <w:p>
      <w:pPr>
        <w:pStyle w:val="4"/>
        <w:spacing w:before="0" w:after="0" w:line="360" w:lineRule="auto"/>
        <w:ind w:firstLine="640" w:firstLineChars="200"/>
        <w:rPr>
          <w:rStyle w:val="47"/>
          <w:b w:val="0"/>
          <w:bCs w:val="0"/>
          <w:color w:val="auto"/>
        </w:rPr>
      </w:pPr>
      <w:r>
        <w:rPr>
          <w:rStyle w:val="47"/>
          <w:b w:val="0"/>
          <w:bCs w:val="0"/>
          <w:color w:val="auto"/>
        </w:rPr>
        <w:t>六、内蒙古鄂托克经济开发区</w:t>
      </w:r>
    </w:p>
    <w:p>
      <w:pPr>
        <w:spacing w:line="560" w:lineRule="exact"/>
        <w:ind w:firstLine="640" w:firstLineChars="200"/>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内蒙古鄂托克经济开发区由2个区块组成，分别为蒙西产业园和棋盘井产业园。重点发展新材料、精细化工、能源化工和新兴产业。</w:t>
      </w:r>
    </w:p>
    <w:p>
      <w:pPr>
        <w:spacing w:line="560" w:lineRule="exact"/>
        <w:ind w:firstLine="640" w:firstLineChars="200"/>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依托焦煤资源及焦化产业基础，重点做优做强焦化及下游精深加工产业。建设区域性焦化副产品利用基地，进一步延伸焦炉煤气深加工产业链，发展规模大、节能环保效果好的焦炉煤气制甲醇、LNG等项目；促进煤焦油深加工向精细化发展，开展100万吨级煤焦油加氢示范项目，探索研发焦油全组分分离。依托氯碱化工产业基础，</w:t>
      </w:r>
      <w:r>
        <w:rPr>
          <w:rFonts w:hint="eastAsia" w:ascii="仿宋_GB2312" w:hAnsi="仿宋_GB2312" w:eastAsia="仿宋_GB2312" w:cs="仿宋_GB2312"/>
          <w:bCs/>
          <w:sz w:val="32"/>
          <w:szCs w:val="32"/>
        </w:rPr>
        <w:t>发展</w:t>
      </w:r>
      <w:r>
        <w:rPr>
          <w:rFonts w:hint="eastAsia" w:ascii="仿宋_GB2312" w:hAnsi="仿宋_GB2312" w:eastAsia="仿宋_GB2312" w:cs="仿宋_GB2312"/>
          <w:sz w:val="32"/>
          <w:szCs w:val="32"/>
        </w:rPr>
        <w:t>氯化高聚物、耗氯精细化工产品、聚氯乙烯（PVC）高端差异化产品、聚乙烯醇（PVA）下游等高技术含量、高附加值的耗氯精细化学品和化工新材料产品，</w:t>
      </w:r>
      <w:r>
        <w:rPr>
          <w:rFonts w:hint="eastAsia" w:ascii="仿宋_GB2312" w:hAnsi="仿宋_GB2312" w:eastAsia="仿宋_GB2312" w:cs="仿宋_GB2312"/>
          <w:bCs/>
          <w:sz w:val="32"/>
          <w:szCs w:val="32"/>
        </w:rPr>
        <w:t>进一步延伸产业链条。全力打造国家煤焦化工、氯碱化工基地，推动与煤化工耦合发展，加快发展深加工项目，构建煤焦化工、氯碱化工全产业链。</w:t>
      </w:r>
      <w:r>
        <w:rPr>
          <w:rFonts w:hint="eastAsia" w:ascii="仿宋_GB2312" w:hAnsi="仿宋_GB2312" w:eastAsia="仿宋_GB2312" w:cs="仿宋_GB2312"/>
          <w:sz w:val="32"/>
          <w:szCs w:val="32"/>
        </w:rPr>
        <w:t>以现有化工企业为基础，重点发展可降解塑料、高性能纤维、功能性膜材料、建筑新材料等产业。新材料产业，重点发展先进钢材料，特殊钢（铁）铸件等产品。</w:t>
      </w:r>
    </w:p>
    <w:p>
      <w:pPr>
        <w:pStyle w:val="4"/>
        <w:spacing w:before="0" w:after="0" w:line="360" w:lineRule="auto"/>
        <w:ind w:firstLine="640" w:firstLineChars="200"/>
        <w:rPr>
          <w:rStyle w:val="47"/>
          <w:b w:val="0"/>
          <w:bCs w:val="0"/>
          <w:color w:val="auto"/>
        </w:rPr>
      </w:pPr>
      <w:r>
        <w:rPr>
          <w:rStyle w:val="47"/>
          <w:b w:val="0"/>
          <w:bCs w:val="0"/>
          <w:color w:val="auto"/>
        </w:rPr>
        <w:t>七、内蒙古鄂尔多斯上海庙经济开发区</w:t>
      </w:r>
    </w:p>
    <w:p>
      <w:pPr>
        <w:spacing w:line="560" w:lineRule="exact"/>
        <w:ind w:firstLine="640" w:firstLineChars="200"/>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内蒙古鄂尔多斯上海庙经济开发区包含1个区块，重点发展能源化工和新材料产业。</w:t>
      </w:r>
    </w:p>
    <w:p>
      <w:pPr>
        <w:spacing w:line="560" w:lineRule="exact"/>
        <w:ind w:firstLine="640" w:firstLineChars="200"/>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依托上海庙—山东特高压外送通道建设，重点发展配套坑口电站项目，</w:t>
      </w:r>
      <w:r>
        <w:rPr>
          <w:rFonts w:hint="eastAsia" w:ascii="仿宋_GB2312" w:hAnsi="仿宋_GB2312" w:eastAsia="仿宋_GB2312" w:cs="仿宋_GB2312"/>
          <w:sz w:val="32"/>
          <w:szCs w:val="32"/>
        </w:rPr>
        <w:t>采用超超临界燃煤发电技术，减少煤耗和水耗，达到超低排放，实现煤电绿色化生产，</w:t>
      </w:r>
      <w:r>
        <w:rPr>
          <w:rFonts w:hint="eastAsia" w:ascii="仿宋_GB2312" w:hAnsi="仿宋_GB2312" w:eastAsia="仿宋_GB2312" w:cs="仿宋_GB2312"/>
          <w:sz w:val="32"/>
          <w:szCs w:val="28"/>
        </w:rPr>
        <w:t>加快配套新能源基地建设。依托煤焦化多联产项目产能，</w:t>
      </w:r>
      <w:r>
        <w:rPr>
          <w:rFonts w:hint="eastAsia" w:ascii="仿宋_GB2312" w:hAnsi="仿宋_GB2312" w:eastAsia="仿宋_GB2312" w:cs="仿宋_GB2312"/>
          <w:sz w:val="32"/>
          <w:szCs w:val="32"/>
        </w:rPr>
        <w:t>重点发展煤焦油深加工、粗酚精制、天然气液化等下游产业，推动产业升级。</w:t>
      </w:r>
    </w:p>
    <w:p>
      <w:pPr>
        <w:pStyle w:val="4"/>
        <w:spacing w:before="0" w:after="0" w:line="360" w:lineRule="auto"/>
        <w:ind w:firstLine="640" w:firstLineChars="200"/>
        <w:rPr>
          <w:rStyle w:val="47"/>
          <w:rFonts w:hint="eastAsia" w:ascii="黑体" w:hAnsi="黑体" w:eastAsia="黑体" w:cs="黑体"/>
          <w:b w:val="0"/>
          <w:bCs w:val="0"/>
          <w:color w:val="auto"/>
        </w:rPr>
      </w:pPr>
      <w:r>
        <w:rPr>
          <w:rStyle w:val="47"/>
          <w:rFonts w:hint="eastAsia" w:ascii="黑体" w:hAnsi="黑体" w:eastAsia="黑体" w:cs="黑体"/>
          <w:b w:val="0"/>
          <w:bCs w:val="0"/>
          <w:color w:val="auto"/>
        </w:rPr>
        <w:t>八、内蒙古鄂尔多斯苏里格经济开发区</w:t>
      </w:r>
    </w:p>
    <w:p>
      <w:pPr>
        <w:spacing w:line="560" w:lineRule="exact"/>
        <w:ind w:firstLine="640" w:firstLineChars="200"/>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内蒙古鄂尔多斯苏里格经济开发区由2个区块组成，分别为苏里格产业园和纳林河产业园。重点发展能源化工、新材料、化工和煤炭清洁高效利用产业。</w:t>
      </w:r>
    </w:p>
    <w:p>
      <w:pPr>
        <w:spacing w:line="560" w:lineRule="exact"/>
        <w:ind w:firstLine="640" w:firstLineChars="200"/>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依托大型煤基石化龙头企业，持续稳定和扩大现有煤制烯烃及下游、煤制甲醇等煤基石化产品的产能规模，坚持“多元化、高端化、循环化”基本原则，重点增强和延伸煤制烯烃及下游加工产业链和煤制甲醇、乙二醇及下游产品链，发展高端专用牌号以及超高分子量聚烯烃等高端产品，积极开展煤制烯烃示范及高端延伸示范，实现开发区煤炭产业结构的优化升级。以煤制烯烃产品为原料，重点发展以超高分子量聚乙烯、POE、EVA等高端聚烯烃材料、工程塑料为主的先进化工材料和以新型无机非金属材料和新型建材为主的硅基新材料，积极发展聚乳酸等非金属增材制造专用材料，通过产学研用相结合，大力推进科技含量高、市场前景广、带动作用强的新材料产业化规模化发展，打造西北地区重要的新材料产业基地。</w:t>
      </w:r>
    </w:p>
    <w:p>
      <w:pPr>
        <w:spacing w:line="560" w:lineRule="exact"/>
        <w:ind w:firstLine="640" w:firstLineChars="200"/>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化工和煤炭清洁高效利用产业重点发展煤经甲醇制烯烃、甲醇制醋酸、煤焦油加氢、精细煤化工及电力等循环产业及盐化工、碱化工循环融合产业。</w:t>
      </w:r>
    </w:p>
    <w:p>
      <w:pPr>
        <w:spacing w:line="560" w:lineRule="exact"/>
        <w:jc w:val="center"/>
        <w:rPr>
          <w:rFonts w:ascii="Times New Roman" w:hAnsi="Times New Roman" w:eastAsia="楷体_GB2312" w:cs="Times New Roman"/>
          <w:sz w:val="28"/>
          <w:szCs w:val="28"/>
        </w:rPr>
      </w:pPr>
      <w:r>
        <w:rPr>
          <w:rFonts w:hint="eastAsia" w:ascii="黑体" w:hAnsi="黑体" w:eastAsia="黑体" w:cs="黑体"/>
          <w:sz w:val="28"/>
          <w:szCs w:val="28"/>
        </w:rPr>
        <w:t>表3-1</w:t>
      </w:r>
      <w:r>
        <w:rPr>
          <w:rFonts w:hint="eastAsia" w:ascii="黑体" w:hAnsi="黑体" w:eastAsia="黑体" w:cs="黑体"/>
          <w:sz w:val="28"/>
          <w:szCs w:val="28"/>
          <w:lang w:val="en-US" w:eastAsia="zh-CN"/>
        </w:rPr>
        <w:t xml:space="preserve"> </w:t>
      </w:r>
      <w:r>
        <w:rPr>
          <w:rFonts w:hint="eastAsia" w:ascii="黑体" w:hAnsi="黑体" w:eastAsia="黑体" w:cs="黑体"/>
          <w:sz w:val="28"/>
          <w:szCs w:val="28"/>
        </w:rPr>
        <w:t>鄂尔多斯市工业园区主导产业一览表</w:t>
      </w:r>
    </w:p>
    <w:tbl>
      <w:tblPr>
        <w:tblStyle w:val="23"/>
        <w:tblW w:w="499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9"/>
        <w:gridCol w:w="2459"/>
        <w:gridCol w:w="1028"/>
        <w:gridCol w:w="2110"/>
        <w:gridCol w:w="27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blHeader/>
          <w:jc w:val="center"/>
        </w:trPr>
        <w:tc>
          <w:tcPr>
            <w:tcW w:w="381" w:type="pct"/>
            <w:shd w:val="clear" w:color="auto" w:fill="auto"/>
            <w:vAlign w:val="center"/>
          </w:tcPr>
          <w:p>
            <w:pPr>
              <w:widowControl/>
              <w:snapToGrid w:val="0"/>
              <w:jc w:val="center"/>
              <w:rPr>
                <w:rFonts w:hint="eastAsia" w:ascii="黑体" w:hAnsi="黑体" w:eastAsia="黑体" w:cs="黑体"/>
                <w:b w:val="0"/>
                <w:bCs w:val="0"/>
                <w:kern w:val="0"/>
                <w:sz w:val="24"/>
                <w:szCs w:val="24"/>
              </w:rPr>
            </w:pPr>
            <w:r>
              <w:rPr>
                <w:rFonts w:hint="eastAsia" w:ascii="黑体" w:hAnsi="黑体" w:eastAsia="黑体" w:cs="黑体"/>
                <w:b w:val="0"/>
                <w:bCs w:val="0"/>
                <w:kern w:val="0"/>
                <w:sz w:val="24"/>
                <w:szCs w:val="24"/>
              </w:rPr>
              <w:t>序号</w:t>
            </w:r>
          </w:p>
        </w:tc>
        <w:tc>
          <w:tcPr>
            <w:tcW w:w="1359" w:type="pct"/>
            <w:shd w:val="clear" w:color="auto" w:fill="auto"/>
            <w:vAlign w:val="center"/>
          </w:tcPr>
          <w:p>
            <w:pPr>
              <w:widowControl/>
              <w:snapToGrid w:val="0"/>
              <w:jc w:val="center"/>
              <w:rPr>
                <w:rFonts w:hint="eastAsia" w:ascii="黑体" w:hAnsi="黑体" w:eastAsia="黑体" w:cs="黑体"/>
                <w:b w:val="0"/>
                <w:bCs w:val="0"/>
                <w:kern w:val="0"/>
                <w:sz w:val="24"/>
                <w:szCs w:val="24"/>
              </w:rPr>
            </w:pPr>
            <w:r>
              <w:rPr>
                <w:rFonts w:hint="eastAsia" w:ascii="黑体" w:hAnsi="黑体" w:eastAsia="黑体" w:cs="黑体"/>
                <w:b w:val="0"/>
                <w:bCs w:val="0"/>
                <w:kern w:val="0"/>
                <w:sz w:val="24"/>
                <w:szCs w:val="24"/>
              </w:rPr>
              <w:t>园区名称</w:t>
            </w:r>
          </w:p>
        </w:tc>
        <w:tc>
          <w:tcPr>
            <w:tcW w:w="568" w:type="pct"/>
            <w:shd w:val="clear" w:color="auto" w:fill="auto"/>
            <w:vAlign w:val="center"/>
          </w:tcPr>
          <w:p>
            <w:pPr>
              <w:widowControl/>
              <w:snapToGrid w:val="0"/>
              <w:jc w:val="center"/>
              <w:rPr>
                <w:rFonts w:hint="eastAsia" w:ascii="黑体" w:hAnsi="黑体" w:eastAsia="黑体" w:cs="黑体"/>
                <w:b w:val="0"/>
                <w:bCs w:val="0"/>
                <w:kern w:val="0"/>
                <w:sz w:val="24"/>
                <w:szCs w:val="24"/>
              </w:rPr>
            </w:pPr>
            <w:r>
              <w:rPr>
                <w:rFonts w:hint="eastAsia" w:ascii="黑体" w:hAnsi="黑体" w:eastAsia="黑体" w:cs="黑体"/>
                <w:b w:val="0"/>
                <w:bCs w:val="0"/>
                <w:kern w:val="0"/>
                <w:sz w:val="24"/>
                <w:szCs w:val="24"/>
              </w:rPr>
              <w:t>区块数</w:t>
            </w:r>
          </w:p>
        </w:tc>
        <w:tc>
          <w:tcPr>
            <w:tcW w:w="1166" w:type="pct"/>
            <w:shd w:val="clear" w:color="auto" w:fill="auto"/>
            <w:vAlign w:val="center"/>
          </w:tcPr>
          <w:p>
            <w:pPr>
              <w:widowControl/>
              <w:snapToGrid w:val="0"/>
              <w:jc w:val="center"/>
              <w:rPr>
                <w:rFonts w:hint="eastAsia" w:ascii="黑体" w:hAnsi="黑体" w:eastAsia="黑体" w:cs="黑体"/>
                <w:b w:val="0"/>
                <w:bCs w:val="0"/>
                <w:kern w:val="0"/>
                <w:sz w:val="24"/>
                <w:szCs w:val="24"/>
              </w:rPr>
            </w:pPr>
            <w:r>
              <w:rPr>
                <w:rFonts w:hint="eastAsia" w:ascii="黑体" w:hAnsi="黑体" w:eastAsia="黑体" w:cs="黑体"/>
                <w:b w:val="0"/>
                <w:bCs w:val="0"/>
                <w:kern w:val="0"/>
                <w:sz w:val="24"/>
                <w:szCs w:val="24"/>
              </w:rPr>
              <w:t>具体区块</w:t>
            </w:r>
          </w:p>
        </w:tc>
        <w:tc>
          <w:tcPr>
            <w:tcW w:w="1525" w:type="pct"/>
            <w:shd w:val="clear" w:color="auto" w:fill="auto"/>
            <w:vAlign w:val="center"/>
          </w:tcPr>
          <w:p>
            <w:pPr>
              <w:widowControl/>
              <w:snapToGrid w:val="0"/>
              <w:jc w:val="center"/>
              <w:rPr>
                <w:rFonts w:hint="eastAsia" w:ascii="黑体" w:hAnsi="黑体" w:eastAsia="黑体" w:cs="黑体"/>
                <w:b w:val="0"/>
                <w:bCs w:val="0"/>
                <w:kern w:val="0"/>
                <w:sz w:val="24"/>
                <w:szCs w:val="24"/>
              </w:rPr>
            </w:pPr>
            <w:r>
              <w:rPr>
                <w:rFonts w:hint="eastAsia" w:ascii="黑体" w:hAnsi="黑体" w:eastAsia="黑体" w:cs="黑体"/>
                <w:b w:val="0"/>
                <w:bCs w:val="0"/>
                <w:kern w:val="0"/>
                <w:sz w:val="24"/>
                <w:szCs w:val="24"/>
              </w:rPr>
              <w:t>主导方向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381" w:type="pct"/>
            <w:vMerge w:val="restart"/>
            <w:shd w:val="clear" w:color="auto" w:fill="auto"/>
            <w:vAlign w:val="center"/>
          </w:tcPr>
          <w:p>
            <w:pPr>
              <w:widowControl/>
              <w:snapToGrid w:val="0"/>
              <w:jc w:val="center"/>
              <w:rPr>
                <w:rFonts w:hint="eastAsia" w:ascii="仿宋_GB2312" w:hAnsi="仿宋_GB2312" w:eastAsia="仿宋_GB2312" w:cs="仿宋_GB2312"/>
                <w:b w:val="0"/>
                <w:bCs w:val="0"/>
                <w:kern w:val="0"/>
                <w:sz w:val="24"/>
                <w:szCs w:val="24"/>
              </w:rPr>
            </w:pPr>
            <w:r>
              <w:rPr>
                <w:rFonts w:hint="eastAsia" w:ascii="仿宋_GB2312" w:hAnsi="仿宋_GB2312" w:eastAsia="仿宋_GB2312" w:cs="仿宋_GB2312"/>
                <w:b w:val="0"/>
                <w:bCs w:val="0"/>
                <w:kern w:val="0"/>
                <w:sz w:val="24"/>
                <w:szCs w:val="24"/>
              </w:rPr>
              <w:t>1</w:t>
            </w:r>
          </w:p>
        </w:tc>
        <w:tc>
          <w:tcPr>
            <w:tcW w:w="1359" w:type="pct"/>
            <w:vMerge w:val="restart"/>
            <w:shd w:val="clear" w:color="auto" w:fill="auto"/>
            <w:vAlign w:val="center"/>
          </w:tcPr>
          <w:p>
            <w:pPr>
              <w:widowControl/>
              <w:snapToGrid w:val="0"/>
              <w:rPr>
                <w:rFonts w:hint="eastAsia" w:ascii="仿宋_GB2312" w:hAnsi="仿宋_GB2312" w:eastAsia="仿宋_GB2312" w:cs="仿宋_GB2312"/>
                <w:b w:val="0"/>
                <w:bCs w:val="0"/>
                <w:kern w:val="0"/>
                <w:sz w:val="24"/>
                <w:szCs w:val="24"/>
              </w:rPr>
            </w:pPr>
            <w:r>
              <w:rPr>
                <w:rFonts w:hint="eastAsia" w:ascii="仿宋_GB2312" w:hAnsi="仿宋_GB2312" w:eastAsia="仿宋_GB2312" w:cs="仿宋_GB2312"/>
                <w:b w:val="0"/>
                <w:bCs w:val="0"/>
                <w:kern w:val="0"/>
                <w:sz w:val="24"/>
                <w:szCs w:val="24"/>
              </w:rPr>
              <w:t>鄂尔多斯高新技术产业开发区</w:t>
            </w:r>
          </w:p>
        </w:tc>
        <w:tc>
          <w:tcPr>
            <w:tcW w:w="568" w:type="pct"/>
            <w:vMerge w:val="restart"/>
            <w:shd w:val="clear" w:color="auto" w:fill="auto"/>
            <w:vAlign w:val="center"/>
          </w:tcPr>
          <w:p>
            <w:pPr>
              <w:widowControl/>
              <w:snapToGrid w:val="0"/>
              <w:jc w:val="center"/>
              <w:rPr>
                <w:rFonts w:hint="eastAsia" w:ascii="仿宋_GB2312" w:hAnsi="仿宋_GB2312" w:eastAsia="仿宋_GB2312" w:cs="仿宋_GB2312"/>
                <w:b w:val="0"/>
                <w:bCs w:val="0"/>
                <w:kern w:val="0"/>
                <w:sz w:val="24"/>
                <w:szCs w:val="24"/>
              </w:rPr>
            </w:pPr>
            <w:r>
              <w:rPr>
                <w:rFonts w:hint="eastAsia" w:ascii="仿宋_GB2312" w:hAnsi="仿宋_GB2312" w:eastAsia="仿宋_GB2312" w:cs="仿宋_GB2312"/>
                <w:b w:val="0"/>
                <w:bCs w:val="0"/>
                <w:kern w:val="0"/>
                <w:sz w:val="24"/>
                <w:szCs w:val="24"/>
              </w:rPr>
              <w:t>3</w:t>
            </w:r>
          </w:p>
        </w:tc>
        <w:tc>
          <w:tcPr>
            <w:tcW w:w="1166" w:type="pct"/>
            <w:shd w:val="clear" w:color="auto" w:fill="auto"/>
            <w:vAlign w:val="center"/>
          </w:tcPr>
          <w:p>
            <w:pPr>
              <w:widowControl/>
              <w:snapToGrid w:val="0"/>
              <w:rPr>
                <w:rFonts w:hint="eastAsia" w:ascii="仿宋_GB2312" w:hAnsi="仿宋_GB2312" w:eastAsia="仿宋_GB2312" w:cs="仿宋_GB2312"/>
                <w:b w:val="0"/>
                <w:bCs w:val="0"/>
                <w:kern w:val="0"/>
                <w:sz w:val="24"/>
                <w:szCs w:val="24"/>
              </w:rPr>
            </w:pPr>
            <w:r>
              <w:rPr>
                <w:rFonts w:hint="eastAsia" w:ascii="仿宋_GB2312" w:hAnsi="仿宋_GB2312" w:eastAsia="仿宋_GB2312" w:cs="仿宋_GB2312"/>
                <w:b w:val="0"/>
                <w:bCs w:val="0"/>
                <w:kern w:val="0"/>
                <w:sz w:val="24"/>
                <w:szCs w:val="24"/>
              </w:rPr>
              <w:t>高新技术产业园</w:t>
            </w:r>
          </w:p>
        </w:tc>
        <w:tc>
          <w:tcPr>
            <w:tcW w:w="1525" w:type="pct"/>
            <w:shd w:val="clear" w:color="auto" w:fill="auto"/>
            <w:vAlign w:val="center"/>
          </w:tcPr>
          <w:p>
            <w:pPr>
              <w:widowControl/>
              <w:snapToGrid w:val="0"/>
              <w:jc w:val="left"/>
              <w:rPr>
                <w:rFonts w:hint="eastAsia" w:ascii="仿宋_GB2312" w:hAnsi="仿宋_GB2312" w:eastAsia="仿宋_GB2312" w:cs="仿宋_GB2312"/>
                <w:b w:val="0"/>
                <w:bCs w:val="0"/>
                <w:kern w:val="0"/>
                <w:sz w:val="24"/>
                <w:szCs w:val="24"/>
              </w:rPr>
            </w:pPr>
            <w:r>
              <w:rPr>
                <w:rFonts w:hint="eastAsia" w:ascii="仿宋_GB2312" w:hAnsi="仿宋_GB2312" w:eastAsia="仿宋_GB2312" w:cs="仿宋_GB2312"/>
                <w:b w:val="0"/>
                <w:bCs w:val="0"/>
                <w:kern w:val="0"/>
                <w:sz w:val="24"/>
                <w:szCs w:val="24"/>
              </w:rPr>
              <w:t>信息技术、新兴产业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381" w:type="pct"/>
            <w:vMerge w:val="continue"/>
            <w:shd w:val="clear" w:color="auto" w:fill="auto"/>
            <w:vAlign w:val="center"/>
          </w:tcPr>
          <w:p>
            <w:pPr>
              <w:widowControl/>
              <w:snapToGrid w:val="0"/>
              <w:jc w:val="center"/>
              <w:rPr>
                <w:rFonts w:hint="eastAsia" w:ascii="仿宋_GB2312" w:hAnsi="仿宋_GB2312" w:eastAsia="仿宋_GB2312" w:cs="仿宋_GB2312"/>
                <w:b w:val="0"/>
                <w:bCs w:val="0"/>
                <w:kern w:val="0"/>
                <w:sz w:val="24"/>
                <w:szCs w:val="24"/>
              </w:rPr>
            </w:pPr>
          </w:p>
        </w:tc>
        <w:tc>
          <w:tcPr>
            <w:tcW w:w="1359" w:type="pct"/>
            <w:vMerge w:val="continue"/>
            <w:shd w:val="clear" w:color="auto" w:fill="auto"/>
            <w:vAlign w:val="center"/>
          </w:tcPr>
          <w:p>
            <w:pPr>
              <w:widowControl/>
              <w:snapToGrid w:val="0"/>
              <w:rPr>
                <w:rFonts w:hint="eastAsia" w:ascii="仿宋_GB2312" w:hAnsi="仿宋_GB2312" w:eastAsia="仿宋_GB2312" w:cs="仿宋_GB2312"/>
                <w:b w:val="0"/>
                <w:bCs w:val="0"/>
                <w:kern w:val="0"/>
                <w:sz w:val="24"/>
                <w:szCs w:val="24"/>
              </w:rPr>
            </w:pPr>
          </w:p>
        </w:tc>
        <w:tc>
          <w:tcPr>
            <w:tcW w:w="568" w:type="pct"/>
            <w:vMerge w:val="continue"/>
            <w:shd w:val="clear" w:color="auto" w:fill="auto"/>
            <w:vAlign w:val="center"/>
          </w:tcPr>
          <w:p>
            <w:pPr>
              <w:widowControl/>
              <w:snapToGrid w:val="0"/>
              <w:jc w:val="center"/>
              <w:rPr>
                <w:rFonts w:hint="eastAsia" w:ascii="仿宋_GB2312" w:hAnsi="仿宋_GB2312" w:eastAsia="仿宋_GB2312" w:cs="仿宋_GB2312"/>
                <w:b w:val="0"/>
                <w:bCs w:val="0"/>
                <w:kern w:val="0"/>
                <w:sz w:val="24"/>
                <w:szCs w:val="24"/>
              </w:rPr>
            </w:pPr>
          </w:p>
        </w:tc>
        <w:tc>
          <w:tcPr>
            <w:tcW w:w="1166" w:type="pct"/>
            <w:shd w:val="clear" w:color="auto" w:fill="auto"/>
            <w:vAlign w:val="center"/>
          </w:tcPr>
          <w:p>
            <w:pPr>
              <w:widowControl/>
              <w:snapToGrid w:val="0"/>
              <w:rPr>
                <w:rFonts w:hint="eastAsia" w:ascii="仿宋_GB2312" w:hAnsi="仿宋_GB2312" w:eastAsia="仿宋_GB2312" w:cs="仿宋_GB2312"/>
                <w:b w:val="0"/>
                <w:bCs w:val="0"/>
                <w:kern w:val="0"/>
                <w:sz w:val="24"/>
                <w:szCs w:val="24"/>
              </w:rPr>
            </w:pPr>
            <w:r>
              <w:rPr>
                <w:rFonts w:hint="eastAsia" w:ascii="仿宋_GB2312" w:hAnsi="仿宋_GB2312" w:eastAsia="仿宋_GB2312" w:cs="仿宋_GB2312"/>
                <w:b w:val="0"/>
                <w:bCs w:val="0"/>
                <w:kern w:val="0"/>
                <w:sz w:val="24"/>
                <w:szCs w:val="24"/>
              </w:rPr>
              <w:t>装备制造产业园</w:t>
            </w:r>
          </w:p>
        </w:tc>
        <w:tc>
          <w:tcPr>
            <w:tcW w:w="1525" w:type="pct"/>
            <w:shd w:val="clear" w:color="auto" w:fill="auto"/>
            <w:vAlign w:val="center"/>
          </w:tcPr>
          <w:p>
            <w:pPr>
              <w:widowControl/>
              <w:snapToGrid w:val="0"/>
              <w:jc w:val="left"/>
              <w:rPr>
                <w:rFonts w:hint="eastAsia" w:ascii="仿宋_GB2312" w:hAnsi="仿宋_GB2312" w:eastAsia="仿宋_GB2312" w:cs="仿宋_GB2312"/>
                <w:b w:val="0"/>
                <w:bCs w:val="0"/>
                <w:kern w:val="0"/>
                <w:sz w:val="24"/>
                <w:szCs w:val="24"/>
              </w:rPr>
            </w:pPr>
            <w:r>
              <w:rPr>
                <w:rFonts w:hint="eastAsia" w:ascii="仿宋_GB2312" w:hAnsi="仿宋_GB2312" w:eastAsia="仿宋_GB2312" w:cs="仿宋_GB2312"/>
                <w:b w:val="0"/>
                <w:bCs w:val="0"/>
                <w:kern w:val="0"/>
                <w:sz w:val="24"/>
                <w:szCs w:val="24"/>
              </w:rPr>
              <w:t>装备制造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381" w:type="pct"/>
            <w:vMerge w:val="continue"/>
            <w:shd w:val="clear" w:color="auto" w:fill="auto"/>
            <w:vAlign w:val="center"/>
          </w:tcPr>
          <w:p>
            <w:pPr>
              <w:widowControl/>
              <w:snapToGrid w:val="0"/>
              <w:jc w:val="center"/>
              <w:rPr>
                <w:rFonts w:hint="eastAsia" w:ascii="仿宋_GB2312" w:hAnsi="仿宋_GB2312" w:eastAsia="仿宋_GB2312" w:cs="仿宋_GB2312"/>
                <w:b w:val="0"/>
                <w:bCs w:val="0"/>
                <w:kern w:val="0"/>
                <w:sz w:val="24"/>
                <w:szCs w:val="24"/>
              </w:rPr>
            </w:pPr>
          </w:p>
        </w:tc>
        <w:tc>
          <w:tcPr>
            <w:tcW w:w="1359" w:type="pct"/>
            <w:vMerge w:val="continue"/>
            <w:shd w:val="clear" w:color="auto" w:fill="auto"/>
            <w:vAlign w:val="center"/>
          </w:tcPr>
          <w:p>
            <w:pPr>
              <w:widowControl/>
              <w:snapToGrid w:val="0"/>
              <w:rPr>
                <w:rFonts w:hint="eastAsia" w:ascii="仿宋_GB2312" w:hAnsi="仿宋_GB2312" w:eastAsia="仿宋_GB2312" w:cs="仿宋_GB2312"/>
                <w:b w:val="0"/>
                <w:bCs w:val="0"/>
                <w:kern w:val="0"/>
                <w:sz w:val="24"/>
                <w:szCs w:val="24"/>
              </w:rPr>
            </w:pPr>
          </w:p>
        </w:tc>
        <w:tc>
          <w:tcPr>
            <w:tcW w:w="568" w:type="pct"/>
            <w:vMerge w:val="continue"/>
            <w:shd w:val="clear" w:color="auto" w:fill="auto"/>
            <w:vAlign w:val="center"/>
          </w:tcPr>
          <w:p>
            <w:pPr>
              <w:widowControl/>
              <w:snapToGrid w:val="0"/>
              <w:jc w:val="center"/>
              <w:rPr>
                <w:rFonts w:hint="eastAsia" w:ascii="仿宋_GB2312" w:hAnsi="仿宋_GB2312" w:eastAsia="仿宋_GB2312" w:cs="仿宋_GB2312"/>
                <w:b w:val="0"/>
                <w:bCs w:val="0"/>
                <w:kern w:val="0"/>
                <w:sz w:val="24"/>
                <w:szCs w:val="24"/>
              </w:rPr>
            </w:pPr>
          </w:p>
        </w:tc>
        <w:tc>
          <w:tcPr>
            <w:tcW w:w="1166" w:type="pct"/>
            <w:shd w:val="clear" w:color="auto" w:fill="auto"/>
            <w:vAlign w:val="center"/>
          </w:tcPr>
          <w:p>
            <w:pPr>
              <w:widowControl/>
              <w:snapToGrid w:val="0"/>
              <w:rPr>
                <w:rFonts w:hint="eastAsia" w:ascii="仿宋_GB2312" w:hAnsi="仿宋_GB2312" w:eastAsia="仿宋_GB2312" w:cs="仿宋_GB2312"/>
                <w:b w:val="0"/>
                <w:bCs w:val="0"/>
                <w:kern w:val="0"/>
                <w:sz w:val="24"/>
                <w:szCs w:val="24"/>
              </w:rPr>
            </w:pPr>
            <w:r>
              <w:rPr>
                <w:rFonts w:hint="eastAsia" w:ascii="仿宋_GB2312" w:hAnsi="仿宋_GB2312" w:eastAsia="仿宋_GB2312" w:cs="仿宋_GB2312"/>
                <w:b w:val="0"/>
                <w:bCs w:val="0"/>
                <w:kern w:val="0"/>
                <w:sz w:val="24"/>
                <w:szCs w:val="24"/>
              </w:rPr>
              <w:t>轻纺产业园</w:t>
            </w:r>
          </w:p>
        </w:tc>
        <w:tc>
          <w:tcPr>
            <w:tcW w:w="1525" w:type="pct"/>
            <w:shd w:val="clear" w:color="auto" w:fill="auto"/>
            <w:vAlign w:val="center"/>
          </w:tcPr>
          <w:p>
            <w:pPr>
              <w:widowControl/>
              <w:snapToGrid w:val="0"/>
              <w:jc w:val="left"/>
              <w:rPr>
                <w:rFonts w:hint="eastAsia" w:ascii="仿宋_GB2312" w:hAnsi="仿宋_GB2312" w:eastAsia="仿宋_GB2312" w:cs="仿宋_GB2312"/>
                <w:b w:val="0"/>
                <w:bCs w:val="0"/>
                <w:kern w:val="0"/>
                <w:sz w:val="24"/>
                <w:szCs w:val="24"/>
              </w:rPr>
            </w:pPr>
            <w:r>
              <w:rPr>
                <w:rFonts w:hint="eastAsia" w:ascii="仿宋_GB2312" w:hAnsi="仿宋_GB2312" w:eastAsia="仿宋_GB2312" w:cs="仿宋_GB2312"/>
                <w:b w:val="0"/>
                <w:bCs w:val="0"/>
                <w:kern w:val="0"/>
                <w:sz w:val="24"/>
                <w:szCs w:val="24"/>
              </w:rPr>
              <w:t>轻工纺织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381" w:type="pct"/>
            <w:vMerge w:val="restart"/>
            <w:shd w:val="clear" w:color="auto" w:fill="auto"/>
            <w:vAlign w:val="center"/>
          </w:tcPr>
          <w:p>
            <w:pPr>
              <w:widowControl/>
              <w:snapToGrid w:val="0"/>
              <w:jc w:val="center"/>
              <w:rPr>
                <w:rFonts w:hint="eastAsia" w:ascii="仿宋_GB2312" w:hAnsi="仿宋_GB2312" w:eastAsia="仿宋_GB2312" w:cs="仿宋_GB2312"/>
                <w:b w:val="0"/>
                <w:bCs w:val="0"/>
                <w:kern w:val="0"/>
                <w:sz w:val="24"/>
                <w:szCs w:val="24"/>
              </w:rPr>
            </w:pPr>
            <w:r>
              <w:rPr>
                <w:rFonts w:hint="eastAsia" w:ascii="仿宋_GB2312" w:hAnsi="仿宋_GB2312" w:eastAsia="仿宋_GB2312" w:cs="仿宋_GB2312"/>
                <w:b w:val="0"/>
                <w:bCs w:val="0"/>
                <w:kern w:val="0"/>
                <w:sz w:val="24"/>
                <w:szCs w:val="24"/>
              </w:rPr>
              <w:t>2</w:t>
            </w:r>
          </w:p>
        </w:tc>
        <w:tc>
          <w:tcPr>
            <w:tcW w:w="1359" w:type="pct"/>
            <w:vMerge w:val="restart"/>
            <w:shd w:val="clear" w:color="auto" w:fill="auto"/>
            <w:vAlign w:val="center"/>
          </w:tcPr>
          <w:p>
            <w:pPr>
              <w:widowControl/>
              <w:snapToGrid w:val="0"/>
              <w:rPr>
                <w:rFonts w:hint="eastAsia" w:ascii="仿宋_GB2312" w:hAnsi="仿宋_GB2312" w:eastAsia="仿宋_GB2312" w:cs="仿宋_GB2312"/>
                <w:b w:val="0"/>
                <w:bCs w:val="0"/>
                <w:kern w:val="0"/>
                <w:sz w:val="24"/>
                <w:szCs w:val="24"/>
              </w:rPr>
            </w:pPr>
            <w:r>
              <w:rPr>
                <w:rFonts w:hint="eastAsia" w:ascii="仿宋_GB2312" w:hAnsi="仿宋_GB2312" w:eastAsia="仿宋_GB2312" w:cs="仿宋_GB2312"/>
                <w:b w:val="0"/>
                <w:bCs w:val="0"/>
                <w:kern w:val="0"/>
                <w:sz w:val="24"/>
                <w:szCs w:val="24"/>
              </w:rPr>
              <w:t>内蒙古准格尔经济开发区</w:t>
            </w:r>
          </w:p>
        </w:tc>
        <w:tc>
          <w:tcPr>
            <w:tcW w:w="568" w:type="pct"/>
            <w:vMerge w:val="restart"/>
            <w:shd w:val="clear" w:color="auto" w:fill="auto"/>
            <w:vAlign w:val="center"/>
          </w:tcPr>
          <w:p>
            <w:pPr>
              <w:widowControl/>
              <w:snapToGrid w:val="0"/>
              <w:jc w:val="center"/>
              <w:rPr>
                <w:rFonts w:hint="eastAsia" w:ascii="仿宋_GB2312" w:hAnsi="仿宋_GB2312" w:eastAsia="仿宋_GB2312" w:cs="仿宋_GB2312"/>
                <w:b w:val="0"/>
                <w:bCs w:val="0"/>
                <w:kern w:val="0"/>
                <w:sz w:val="24"/>
                <w:szCs w:val="24"/>
              </w:rPr>
            </w:pPr>
            <w:r>
              <w:rPr>
                <w:rFonts w:hint="eastAsia" w:ascii="仿宋_GB2312" w:hAnsi="仿宋_GB2312" w:eastAsia="仿宋_GB2312" w:cs="仿宋_GB2312"/>
                <w:b w:val="0"/>
                <w:bCs w:val="0"/>
                <w:kern w:val="0"/>
                <w:sz w:val="24"/>
                <w:szCs w:val="24"/>
              </w:rPr>
              <w:t>2</w:t>
            </w:r>
          </w:p>
        </w:tc>
        <w:tc>
          <w:tcPr>
            <w:tcW w:w="1166" w:type="pct"/>
            <w:shd w:val="clear" w:color="auto" w:fill="auto"/>
            <w:vAlign w:val="center"/>
          </w:tcPr>
          <w:p>
            <w:pPr>
              <w:widowControl/>
              <w:snapToGrid w:val="0"/>
              <w:rPr>
                <w:rFonts w:hint="eastAsia" w:ascii="仿宋_GB2312" w:hAnsi="仿宋_GB2312" w:eastAsia="仿宋_GB2312" w:cs="仿宋_GB2312"/>
                <w:b w:val="0"/>
                <w:bCs w:val="0"/>
                <w:kern w:val="0"/>
                <w:sz w:val="24"/>
                <w:szCs w:val="24"/>
              </w:rPr>
            </w:pPr>
            <w:r>
              <w:rPr>
                <w:rFonts w:hint="eastAsia" w:ascii="仿宋_GB2312" w:hAnsi="仿宋_GB2312" w:eastAsia="仿宋_GB2312" w:cs="仿宋_GB2312"/>
                <w:b w:val="0"/>
                <w:bCs w:val="0"/>
                <w:kern w:val="0"/>
                <w:sz w:val="24"/>
                <w:szCs w:val="24"/>
              </w:rPr>
              <w:t>大路产业园</w:t>
            </w:r>
          </w:p>
        </w:tc>
        <w:tc>
          <w:tcPr>
            <w:tcW w:w="1525" w:type="pct"/>
            <w:shd w:val="clear" w:color="auto" w:fill="auto"/>
            <w:vAlign w:val="center"/>
          </w:tcPr>
          <w:p>
            <w:pPr>
              <w:widowControl/>
              <w:snapToGrid w:val="0"/>
              <w:jc w:val="left"/>
              <w:rPr>
                <w:rFonts w:hint="eastAsia" w:ascii="仿宋_GB2312" w:hAnsi="仿宋_GB2312" w:eastAsia="仿宋_GB2312" w:cs="仿宋_GB2312"/>
                <w:b w:val="0"/>
                <w:bCs w:val="0"/>
                <w:kern w:val="0"/>
                <w:sz w:val="24"/>
                <w:szCs w:val="24"/>
              </w:rPr>
            </w:pPr>
            <w:r>
              <w:rPr>
                <w:rFonts w:hint="eastAsia" w:ascii="仿宋_GB2312" w:hAnsi="仿宋_GB2312" w:eastAsia="仿宋_GB2312" w:cs="仿宋_GB2312"/>
                <w:b w:val="0"/>
                <w:bCs w:val="0"/>
                <w:kern w:val="0"/>
                <w:sz w:val="24"/>
                <w:szCs w:val="24"/>
              </w:rPr>
              <w:t>能源化工、资源综合利用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381" w:type="pct"/>
            <w:vMerge w:val="continue"/>
            <w:vAlign w:val="center"/>
          </w:tcPr>
          <w:p>
            <w:pPr>
              <w:widowControl/>
              <w:snapToGrid w:val="0"/>
              <w:jc w:val="left"/>
              <w:rPr>
                <w:rFonts w:hint="eastAsia" w:ascii="仿宋_GB2312" w:hAnsi="仿宋_GB2312" w:eastAsia="仿宋_GB2312" w:cs="仿宋_GB2312"/>
                <w:b w:val="0"/>
                <w:bCs w:val="0"/>
                <w:kern w:val="0"/>
                <w:sz w:val="24"/>
                <w:szCs w:val="24"/>
              </w:rPr>
            </w:pPr>
          </w:p>
        </w:tc>
        <w:tc>
          <w:tcPr>
            <w:tcW w:w="1359" w:type="pct"/>
            <w:vMerge w:val="continue"/>
            <w:vAlign w:val="center"/>
          </w:tcPr>
          <w:p>
            <w:pPr>
              <w:widowControl/>
              <w:snapToGrid w:val="0"/>
              <w:jc w:val="left"/>
              <w:rPr>
                <w:rFonts w:hint="eastAsia" w:ascii="仿宋_GB2312" w:hAnsi="仿宋_GB2312" w:eastAsia="仿宋_GB2312" w:cs="仿宋_GB2312"/>
                <w:b w:val="0"/>
                <w:bCs w:val="0"/>
                <w:kern w:val="0"/>
                <w:sz w:val="24"/>
                <w:szCs w:val="24"/>
              </w:rPr>
            </w:pPr>
          </w:p>
        </w:tc>
        <w:tc>
          <w:tcPr>
            <w:tcW w:w="568" w:type="pct"/>
            <w:vMerge w:val="continue"/>
            <w:vAlign w:val="center"/>
          </w:tcPr>
          <w:p>
            <w:pPr>
              <w:widowControl/>
              <w:snapToGrid w:val="0"/>
              <w:jc w:val="left"/>
              <w:rPr>
                <w:rFonts w:hint="eastAsia" w:ascii="仿宋_GB2312" w:hAnsi="仿宋_GB2312" w:eastAsia="仿宋_GB2312" w:cs="仿宋_GB2312"/>
                <w:b w:val="0"/>
                <w:bCs w:val="0"/>
                <w:kern w:val="0"/>
                <w:sz w:val="24"/>
                <w:szCs w:val="24"/>
              </w:rPr>
            </w:pPr>
          </w:p>
        </w:tc>
        <w:tc>
          <w:tcPr>
            <w:tcW w:w="1166" w:type="pct"/>
            <w:shd w:val="clear" w:color="auto" w:fill="auto"/>
            <w:vAlign w:val="center"/>
          </w:tcPr>
          <w:p>
            <w:pPr>
              <w:widowControl/>
              <w:snapToGrid w:val="0"/>
              <w:rPr>
                <w:rFonts w:hint="eastAsia" w:ascii="仿宋_GB2312" w:hAnsi="仿宋_GB2312" w:eastAsia="仿宋_GB2312" w:cs="仿宋_GB2312"/>
                <w:b w:val="0"/>
                <w:bCs w:val="0"/>
                <w:kern w:val="0"/>
                <w:sz w:val="24"/>
                <w:szCs w:val="24"/>
              </w:rPr>
            </w:pPr>
            <w:r>
              <w:rPr>
                <w:rFonts w:hint="eastAsia" w:ascii="仿宋_GB2312" w:hAnsi="仿宋_GB2312" w:eastAsia="仿宋_GB2312" w:cs="仿宋_GB2312"/>
                <w:b w:val="0"/>
                <w:bCs w:val="0"/>
                <w:kern w:val="0"/>
                <w:sz w:val="24"/>
                <w:szCs w:val="24"/>
              </w:rPr>
              <w:t>准格尔产业园</w:t>
            </w:r>
          </w:p>
        </w:tc>
        <w:tc>
          <w:tcPr>
            <w:tcW w:w="1525" w:type="pct"/>
            <w:shd w:val="clear" w:color="auto" w:fill="auto"/>
            <w:vAlign w:val="center"/>
          </w:tcPr>
          <w:p>
            <w:pPr>
              <w:widowControl/>
              <w:snapToGrid w:val="0"/>
              <w:jc w:val="left"/>
              <w:rPr>
                <w:rFonts w:hint="eastAsia" w:ascii="仿宋_GB2312" w:hAnsi="仿宋_GB2312" w:eastAsia="仿宋_GB2312" w:cs="仿宋_GB2312"/>
                <w:b w:val="0"/>
                <w:bCs w:val="0"/>
                <w:kern w:val="0"/>
                <w:sz w:val="24"/>
                <w:szCs w:val="24"/>
              </w:rPr>
            </w:pPr>
            <w:r>
              <w:rPr>
                <w:rFonts w:hint="eastAsia" w:ascii="仿宋_GB2312" w:hAnsi="仿宋_GB2312" w:eastAsia="仿宋_GB2312" w:cs="仿宋_GB2312"/>
                <w:b w:val="0"/>
                <w:bCs w:val="0"/>
                <w:kern w:val="0"/>
                <w:sz w:val="24"/>
                <w:szCs w:val="24"/>
              </w:rPr>
              <w:t>无机非金属材料、低阶煤综合利用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381" w:type="pct"/>
            <w:vMerge w:val="restart"/>
            <w:shd w:val="clear" w:color="auto" w:fill="auto"/>
            <w:vAlign w:val="center"/>
          </w:tcPr>
          <w:p>
            <w:pPr>
              <w:widowControl/>
              <w:snapToGrid w:val="0"/>
              <w:jc w:val="center"/>
              <w:rPr>
                <w:rFonts w:hint="eastAsia" w:ascii="仿宋_GB2312" w:hAnsi="仿宋_GB2312" w:eastAsia="仿宋_GB2312" w:cs="仿宋_GB2312"/>
                <w:b w:val="0"/>
                <w:bCs w:val="0"/>
                <w:kern w:val="0"/>
                <w:sz w:val="24"/>
                <w:szCs w:val="24"/>
              </w:rPr>
            </w:pPr>
            <w:r>
              <w:rPr>
                <w:rFonts w:hint="eastAsia" w:ascii="仿宋_GB2312" w:hAnsi="仿宋_GB2312" w:eastAsia="仿宋_GB2312" w:cs="仿宋_GB2312"/>
                <w:b w:val="0"/>
                <w:bCs w:val="0"/>
                <w:kern w:val="0"/>
                <w:sz w:val="24"/>
                <w:szCs w:val="24"/>
              </w:rPr>
              <w:t>3</w:t>
            </w:r>
          </w:p>
        </w:tc>
        <w:tc>
          <w:tcPr>
            <w:tcW w:w="1359" w:type="pct"/>
            <w:vMerge w:val="restart"/>
            <w:shd w:val="clear" w:color="auto" w:fill="auto"/>
            <w:vAlign w:val="center"/>
          </w:tcPr>
          <w:p>
            <w:pPr>
              <w:widowControl/>
              <w:snapToGrid w:val="0"/>
              <w:rPr>
                <w:rFonts w:hint="eastAsia" w:ascii="仿宋_GB2312" w:hAnsi="仿宋_GB2312" w:eastAsia="仿宋_GB2312" w:cs="仿宋_GB2312"/>
                <w:b w:val="0"/>
                <w:bCs w:val="0"/>
                <w:kern w:val="0"/>
                <w:sz w:val="24"/>
                <w:szCs w:val="24"/>
              </w:rPr>
            </w:pPr>
            <w:r>
              <w:rPr>
                <w:rFonts w:hint="eastAsia" w:ascii="仿宋_GB2312" w:hAnsi="仿宋_GB2312" w:eastAsia="仿宋_GB2312" w:cs="仿宋_GB2312"/>
                <w:b w:val="0"/>
                <w:bCs w:val="0"/>
                <w:kern w:val="0"/>
                <w:sz w:val="24"/>
                <w:szCs w:val="24"/>
              </w:rPr>
              <w:t>内蒙古达拉特经济开发区</w:t>
            </w:r>
          </w:p>
        </w:tc>
        <w:tc>
          <w:tcPr>
            <w:tcW w:w="568" w:type="pct"/>
            <w:vMerge w:val="restart"/>
            <w:shd w:val="clear" w:color="auto" w:fill="auto"/>
            <w:vAlign w:val="center"/>
          </w:tcPr>
          <w:p>
            <w:pPr>
              <w:widowControl/>
              <w:snapToGrid w:val="0"/>
              <w:jc w:val="center"/>
              <w:rPr>
                <w:rFonts w:hint="eastAsia" w:ascii="仿宋_GB2312" w:hAnsi="仿宋_GB2312" w:eastAsia="仿宋_GB2312" w:cs="仿宋_GB2312"/>
                <w:b w:val="0"/>
                <w:bCs w:val="0"/>
                <w:kern w:val="0"/>
                <w:sz w:val="24"/>
                <w:szCs w:val="24"/>
              </w:rPr>
            </w:pPr>
            <w:r>
              <w:rPr>
                <w:rFonts w:hint="eastAsia" w:ascii="仿宋_GB2312" w:hAnsi="仿宋_GB2312" w:eastAsia="仿宋_GB2312" w:cs="仿宋_GB2312"/>
                <w:b w:val="0"/>
                <w:bCs w:val="0"/>
                <w:kern w:val="0"/>
                <w:sz w:val="24"/>
                <w:szCs w:val="24"/>
              </w:rPr>
              <w:t>2</w:t>
            </w:r>
          </w:p>
        </w:tc>
        <w:tc>
          <w:tcPr>
            <w:tcW w:w="1166" w:type="pct"/>
            <w:shd w:val="clear" w:color="auto" w:fill="auto"/>
            <w:vAlign w:val="center"/>
          </w:tcPr>
          <w:p>
            <w:pPr>
              <w:widowControl/>
              <w:snapToGrid w:val="0"/>
              <w:rPr>
                <w:rFonts w:hint="eastAsia" w:ascii="仿宋_GB2312" w:hAnsi="仿宋_GB2312" w:eastAsia="仿宋_GB2312" w:cs="仿宋_GB2312"/>
                <w:b w:val="0"/>
                <w:bCs w:val="0"/>
                <w:kern w:val="0"/>
                <w:sz w:val="24"/>
                <w:szCs w:val="24"/>
              </w:rPr>
            </w:pPr>
            <w:r>
              <w:rPr>
                <w:rFonts w:hint="eastAsia" w:ascii="仿宋_GB2312" w:hAnsi="仿宋_GB2312" w:eastAsia="仿宋_GB2312" w:cs="仿宋_GB2312"/>
                <w:b w:val="0"/>
                <w:bCs w:val="0"/>
                <w:kern w:val="0"/>
                <w:sz w:val="24"/>
                <w:szCs w:val="24"/>
              </w:rPr>
              <w:t>达拉特产业园</w:t>
            </w:r>
          </w:p>
        </w:tc>
        <w:tc>
          <w:tcPr>
            <w:tcW w:w="1525" w:type="pct"/>
            <w:shd w:val="clear" w:color="auto" w:fill="auto"/>
            <w:vAlign w:val="center"/>
          </w:tcPr>
          <w:p>
            <w:pPr>
              <w:widowControl/>
              <w:snapToGrid w:val="0"/>
              <w:jc w:val="left"/>
              <w:rPr>
                <w:rFonts w:hint="eastAsia" w:ascii="仿宋_GB2312" w:hAnsi="仿宋_GB2312" w:eastAsia="仿宋_GB2312" w:cs="仿宋_GB2312"/>
                <w:b w:val="0"/>
                <w:bCs w:val="0"/>
                <w:kern w:val="0"/>
                <w:sz w:val="24"/>
                <w:szCs w:val="24"/>
              </w:rPr>
            </w:pPr>
            <w:r>
              <w:rPr>
                <w:rFonts w:hint="eastAsia" w:ascii="仿宋_GB2312" w:hAnsi="仿宋_GB2312" w:eastAsia="仿宋_GB2312" w:cs="仿宋_GB2312"/>
                <w:b w:val="0"/>
                <w:bCs w:val="0"/>
                <w:kern w:val="0"/>
                <w:sz w:val="24"/>
                <w:szCs w:val="24"/>
              </w:rPr>
              <w:t>能源化工、新材料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381" w:type="pct"/>
            <w:vMerge w:val="continue"/>
            <w:vAlign w:val="center"/>
          </w:tcPr>
          <w:p>
            <w:pPr>
              <w:widowControl/>
              <w:snapToGrid w:val="0"/>
              <w:jc w:val="left"/>
              <w:rPr>
                <w:rFonts w:hint="eastAsia" w:ascii="仿宋_GB2312" w:hAnsi="仿宋_GB2312" w:eastAsia="仿宋_GB2312" w:cs="仿宋_GB2312"/>
                <w:b w:val="0"/>
                <w:bCs w:val="0"/>
                <w:kern w:val="0"/>
                <w:sz w:val="24"/>
                <w:szCs w:val="24"/>
              </w:rPr>
            </w:pPr>
          </w:p>
        </w:tc>
        <w:tc>
          <w:tcPr>
            <w:tcW w:w="1359" w:type="pct"/>
            <w:vMerge w:val="continue"/>
            <w:vAlign w:val="center"/>
          </w:tcPr>
          <w:p>
            <w:pPr>
              <w:widowControl/>
              <w:snapToGrid w:val="0"/>
              <w:jc w:val="left"/>
              <w:rPr>
                <w:rFonts w:hint="eastAsia" w:ascii="仿宋_GB2312" w:hAnsi="仿宋_GB2312" w:eastAsia="仿宋_GB2312" w:cs="仿宋_GB2312"/>
                <w:b w:val="0"/>
                <w:bCs w:val="0"/>
                <w:kern w:val="0"/>
                <w:sz w:val="24"/>
                <w:szCs w:val="24"/>
              </w:rPr>
            </w:pPr>
          </w:p>
        </w:tc>
        <w:tc>
          <w:tcPr>
            <w:tcW w:w="568" w:type="pct"/>
            <w:vMerge w:val="continue"/>
            <w:vAlign w:val="center"/>
          </w:tcPr>
          <w:p>
            <w:pPr>
              <w:widowControl/>
              <w:snapToGrid w:val="0"/>
              <w:jc w:val="left"/>
              <w:rPr>
                <w:rFonts w:hint="eastAsia" w:ascii="仿宋_GB2312" w:hAnsi="仿宋_GB2312" w:eastAsia="仿宋_GB2312" w:cs="仿宋_GB2312"/>
                <w:b w:val="0"/>
                <w:bCs w:val="0"/>
                <w:kern w:val="0"/>
                <w:sz w:val="24"/>
                <w:szCs w:val="24"/>
              </w:rPr>
            </w:pPr>
          </w:p>
        </w:tc>
        <w:tc>
          <w:tcPr>
            <w:tcW w:w="1166" w:type="pct"/>
            <w:shd w:val="clear" w:color="auto" w:fill="auto"/>
            <w:vAlign w:val="center"/>
          </w:tcPr>
          <w:p>
            <w:pPr>
              <w:widowControl/>
              <w:snapToGrid w:val="0"/>
              <w:rPr>
                <w:rFonts w:hint="eastAsia" w:ascii="仿宋_GB2312" w:hAnsi="仿宋_GB2312" w:eastAsia="仿宋_GB2312" w:cs="仿宋_GB2312"/>
                <w:b w:val="0"/>
                <w:bCs w:val="0"/>
                <w:kern w:val="0"/>
                <w:sz w:val="24"/>
                <w:szCs w:val="24"/>
              </w:rPr>
            </w:pPr>
            <w:r>
              <w:rPr>
                <w:rFonts w:hint="eastAsia" w:ascii="仿宋_GB2312" w:hAnsi="仿宋_GB2312" w:eastAsia="仿宋_GB2312" w:cs="仿宋_GB2312"/>
                <w:b w:val="0"/>
                <w:bCs w:val="0"/>
                <w:kern w:val="0"/>
                <w:sz w:val="24"/>
                <w:szCs w:val="24"/>
              </w:rPr>
              <w:t>达拉特物流园</w:t>
            </w:r>
          </w:p>
        </w:tc>
        <w:tc>
          <w:tcPr>
            <w:tcW w:w="1525" w:type="pct"/>
            <w:shd w:val="clear" w:color="auto" w:fill="auto"/>
            <w:vAlign w:val="center"/>
          </w:tcPr>
          <w:p>
            <w:pPr>
              <w:widowControl/>
              <w:snapToGrid w:val="0"/>
              <w:jc w:val="left"/>
              <w:rPr>
                <w:rFonts w:hint="eastAsia" w:ascii="仿宋_GB2312" w:hAnsi="仿宋_GB2312" w:eastAsia="仿宋_GB2312" w:cs="仿宋_GB2312"/>
                <w:b w:val="0"/>
                <w:bCs w:val="0"/>
                <w:kern w:val="0"/>
                <w:sz w:val="24"/>
                <w:szCs w:val="24"/>
              </w:rPr>
            </w:pPr>
            <w:r>
              <w:rPr>
                <w:rFonts w:hint="eastAsia" w:ascii="仿宋_GB2312" w:hAnsi="仿宋_GB2312" w:eastAsia="仿宋_GB2312" w:cs="仿宋_GB2312"/>
                <w:b w:val="0"/>
                <w:bCs w:val="0"/>
                <w:kern w:val="0"/>
                <w:sz w:val="24"/>
                <w:szCs w:val="24"/>
              </w:rPr>
              <w:t>物流及相关延伸产业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381" w:type="pct"/>
            <w:vMerge w:val="restart"/>
            <w:shd w:val="clear" w:color="auto" w:fill="auto"/>
            <w:vAlign w:val="center"/>
          </w:tcPr>
          <w:p>
            <w:pPr>
              <w:widowControl/>
              <w:snapToGrid w:val="0"/>
              <w:jc w:val="center"/>
              <w:rPr>
                <w:rFonts w:hint="eastAsia" w:ascii="仿宋_GB2312" w:hAnsi="仿宋_GB2312" w:eastAsia="仿宋_GB2312" w:cs="仿宋_GB2312"/>
                <w:b w:val="0"/>
                <w:bCs w:val="0"/>
                <w:kern w:val="0"/>
                <w:sz w:val="24"/>
                <w:szCs w:val="24"/>
              </w:rPr>
            </w:pPr>
            <w:r>
              <w:rPr>
                <w:rFonts w:hint="eastAsia" w:ascii="仿宋_GB2312" w:hAnsi="仿宋_GB2312" w:eastAsia="仿宋_GB2312" w:cs="仿宋_GB2312"/>
                <w:b w:val="0"/>
                <w:bCs w:val="0"/>
                <w:kern w:val="0"/>
                <w:sz w:val="24"/>
                <w:szCs w:val="24"/>
              </w:rPr>
              <w:t>4</w:t>
            </w:r>
          </w:p>
        </w:tc>
        <w:tc>
          <w:tcPr>
            <w:tcW w:w="1359" w:type="pct"/>
            <w:vMerge w:val="restart"/>
            <w:shd w:val="clear" w:color="auto" w:fill="auto"/>
            <w:vAlign w:val="center"/>
          </w:tcPr>
          <w:p>
            <w:pPr>
              <w:widowControl/>
              <w:snapToGrid w:val="0"/>
              <w:rPr>
                <w:rFonts w:hint="eastAsia" w:ascii="仿宋_GB2312" w:hAnsi="仿宋_GB2312" w:eastAsia="仿宋_GB2312" w:cs="仿宋_GB2312"/>
                <w:b w:val="0"/>
                <w:bCs w:val="0"/>
                <w:kern w:val="0"/>
                <w:sz w:val="24"/>
                <w:szCs w:val="24"/>
              </w:rPr>
            </w:pPr>
            <w:r>
              <w:rPr>
                <w:rFonts w:hint="eastAsia" w:ascii="仿宋_GB2312" w:hAnsi="仿宋_GB2312" w:eastAsia="仿宋_GB2312" w:cs="仿宋_GB2312"/>
                <w:b w:val="0"/>
                <w:bCs w:val="0"/>
                <w:kern w:val="0"/>
                <w:sz w:val="24"/>
                <w:szCs w:val="24"/>
              </w:rPr>
              <w:t>蒙苏经济开发区</w:t>
            </w:r>
          </w:p>
        </w:tc>
        <w:tc>
          <w:tcPr>
            <w:tcW w:w="568" w:type="pct"/>
            <w:vMerge w:val="restart"/>
            <w:shd w:val="clear" w:color="auto" w:fill="auto"/>
            <w:vAlign w:val="center"/>
          </w:tcPr>
          <w:p>
            <w:pPr>
              <w:widowControl/>
              <w:snapToGrid w:val="0"/>
              <w:jc w:val="center"/>
              <w:rPr>
                <w:rFonts w:hint="eastAsia" w:ascii="仿宋_GB2312" w:hAnsi="仿宋_GB2312" w:eastAsia="仿宋_GB2312" w:cs="仿宋_GB2312"/>
                <w:b w:val="0"/>
                <w:bCs w:val="0"/>
                <w:kern w:val="0"/>
                <w:sz w:val="24"/>
                <w:szCs w:val="24"/>
              </w:rPr>
            </w:pPr>
            <w:r>
              <w:rPr>
                <w:rFonts w:hint="eastAsia" w:ascii="仿宋_GB2312" w:hAnsi="仿宋_GB2312" w:eastAsia="仿宋_GB2312" w:cs="仿宋_GB2312"/>
                <w:b w:val="0"/>
                <w:bCs w:val="0"/>
                <w:kern w:val="0"/>
                <w:sz w:val="24"/>
                <w:szCs w:val="24"/>
              </w:rPr>
              <w:t>3</w:t>
            </w:r>
          </w:p>
        </w:tc>
        <w:tc>
          <w:tcPr>
            <w:tcW w:w="1166" w:type="pct"/>
            <w:shd w:val="clear" w:color="auto" w:fill="auto"/>
            <w:vAlign w:val="center"/>
          </w:tcPr>
          <w:p>
            <w:pPr>
              <w:widowControl/>
              <w:snapToGrid w:val="0"/>
              <w:rPr>
                <w:rFonts w:hint="eastAsia" w:ascii="仿宋_GB2312" w:hAnsi="仿宋_GB2312" w:eastAsia="仿宋_GB2312" w:cs="仿宋_GB2312"/>
                <w:b w:val="0"/>
                <w:bCs w:val="0"/>
                <w:kern w:val="0"/>
                <w:sz w:val="24"/>
                <w:szCs w:val="24"/>
              </w:rPr>
            </w:pPr>
            <w:r>
              <w:rPr>
                <w:rFonts w:hint="eastAsia" w:ascii="仿宋_GB2312" w:hAnsi="仿宋_GB2312" w:eastAsia="仿宋_GB2312" w:cs="仿宋_GB2312"/>
                <w:b w:val="0"/>
                <w:bCs w:val="0"/>
                <w:kern w:val="0"/>
                <w:sz w:val="24"/>
                <w:szCs w:val="24"/>
              </w:rPr>
              <w:t>江苏产业园</w:t>
            </w:r>
          </w:p>
        </w:tc>
        <w:tc>
          <w:tcPr>
            <w:tcW w:w="1525" w:type="pct"/>
            <w:shd w:val="clear" w:color="auto" w:fill="auto"/>
            <w:vAlign w:val="center"/>
          </w:tcPr>
          <w:p>
            <w:pPr>
              <w:widowControl/>
              <w:snapToGrid w:val="0"/>
              <w:jc w:val="left"/>
              <w:rPr>
                <w:rFonts w:hint="eastAsia" w:ascii="仿宋_GB2312" w:hAnsi="仿宋_GB2312" w:eastAsia="仿宋_GB2312" w:cs="仿宋_GB2312"/>
                <w:b w:val="0"/>
                <w:bCs w:val="0"/>
                <w:kern w:val="0"/>
                <w:sz w:val="24"/>
                <w:szCs w:val="24"/>
              </w:rPr>
            </w:pPr>
            <w:r>
              <w:rPr>
                <w:rFonts w:hint="eastAsia" w:ascii="仿宋_GB2312" w:hAnsi="仿宋_GB2312" w:eastAsia="仿宋_GB2312" w:cs="仿宋_GB2312"/>
                <w:b w:val="0"/>
                <w:bCs w:val="0"/>
                <w:kern w:val="0"/>
                <w:sz w:val="24"/>
                <w:szCs w:val="24"/>
              </w:rPr>
              <w:t>清洁能源、新材料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381" w:type="pct"/>
            <w:vMerge w:val="continue"/>
            <w:shd w:val="clear" w:color="auto" w:fill="auto"/>
            <w:vAlign w:val="center"/>
          </w:tcPr>
          <w:p>
            <w:pPr>
              <w:widowControl/>
              <w:snapToGrid w:val="0"/>
              <w:jc w:val="center"/>
              <w:rPr>
                <w:rFonts w:hint="eastAsia" w:ascii="仿宋_GB2312" w:hAnsi="仿宋_GB2312" w:eastAsia="仿宋_GB2312" w:cs="仿宋_GB2312"/>
                <w:b w:val="0"/>
                <w:bCs w:val="0"/>
                <w:kern w:val="0"/>
                <w:sz w:val="24"/>
                <w:szCs w:val="24"/>
              </w:rPr>
            </w:pPr>
          </w:p>
        </w:tc>
        <w:tc>
          <w:tcPr>
            <w:tcW w:w="1359" w:type="pct"/>
            <w:vMerge w:val="continue"/>
            <w:shd w:val="clear" w:color="auto" w:fill="auto"/>
            <w:vAlign w:val="center"/>
          </w:tcPr>
          <w:p>
            <w:pPr>
              <w:widowControl/>
              <w:snapToGrid w:val="0"/>
              <w:rPr>
                <w:rFonts w:hint="eastAsia" w:ascii="仿宋_GB2312" w:hAnsi="仿宋_GB2312" w:eastAsia="仿宋_GB2312" w:cs="仿宋_GB2312"/>
                <w:b w:val="0"/>
                <w:bCs w:val="0"/>
                <w:kern w:val="0"/>
                <w:sz w:val="24"/>
                <w:szCs w:val="24"/>
              </w:rPr>
            </w:pPr>
          </w:p>
        </w:tc>
        <w:tc>
          <w:tcPr>
            <w:tcW w:w="568" w:type="pct"/>
            <w:vMerge w:val="continue"/>
            <w:shd w:val="clear" w:color="auto" w:fill="auto"/>
            <w:vAlign w:val="center"/>
          </w:tcPr>
          <w:p>
            <w:pPr>
              <w:widowControl/>
              <w:snapToGrid w:val="0"/>
              <w:jc w:val="center"/>
              <w:rPr>
                <w:rFonts w:hint="eastAsia" w:ascii="仿宋_GB2312" w:hAnsi="仿宋_GB2312" w:eastAsia="仿宋_GB2312" w:cs="仿宋_GB2312"/>
                <w:b w:val="0"/>
                <w:bCs w:val="0"/>
                <w:kern w:val="0"/>
                <w:sz w:val="24"/>
                <w:szCs w:val="24"/>
              </w:rPr>
            </w:pPr>
          </w:p>
        </w:tc>
        <w:tc>
          <w:tcPr>
            <w:tcW w:w="1166" w:type="pct"/>
            <w:shd w:val="clear" w:color="auto" w:fill="auto"/>
            <w:vAlign w:val="center"/>
          </w:tcPr>
          <w:p>
            <w:pPr>
              <w:widowControl/>
              <w:snapToGrid w:val="0"/>
              <w:rPr>
                <w:rFonts w:hint="eastAsia" w:ascii="仿宋_GB2312" w:hAnsi="仿宋_GB2312" w:eastAsia="仿宋_GB2312" w:cs="仿宋_GB2312"/>
                <w:b w:val="0"/>
                <w:bCs w:val="0"/>
                <w:kern w:val="0"/>
                <w:sz w:val="24"/>
                <w:szCs w:val="24"/>
              </w:rPr>
            </w:pPr>
            <w:r>
              <w:rPr>
                <w:rFonts w:hint="eastAsia" w:ascii="仿宋_GB2312" w:hAnsi="仿宋_GB2312" w:eastAsia="仿宋_GB2312" w:cs="仿宋_GB2312"/>
                <w:b w:val="0"/>
                <w:bCs w:val="0"/>
                <w:kern w:val="0"/>
                <w:sz w:val="24"/>
                <w:szCs w:val="24"/>
              </w:rPr>
              <w:t>圣圆产业园</w:t>
            </w:r>
          </w:p>
        </w:tc>
        <w:tc>
          <w:tcPr>
            <w:tcW w:w="1525" w:type="pct"/>
            <w:shd w:val="clear" w:color="auto" w:fill="auto"/>
            <w:vAlign w:val="center"/>
          </w:tcPr>
          <w:p>
            <w:pPr>
              <w:widowControl/>
              <w:snapToGrid w:val="0"/>
              <w:jc w:val="left"/>
              <w:rPr>
                <w:rFonts w:hint="eastAsia" w:ascii="仿宋_GB2312" w:hAnsi="仿宋_GB2312" w:eastAsia="仿宋_GB2312" w:cs="仿宋_GB2312"/>
                <w:b w:val="0"/>
                <w:bCs w:val="0"/>
                <w:kern w:val="0"/>
                <w:sz w:val="24"/>
                <w:szCs w:val="24"/>
              </w:rPr>
            </w:pPr>
            <w:bookmarkStart w:id="14" w:name="_Hlk85549017"/>
            <w:r>
              <w:rPr>
                <w:rFonts w:hint="eastAsia" w:ascii="仿宋_GB2312" w:hAnsi="仿宋_GB2312" w:eastAsia="仿宋_GB2312" w:cs="仿宋_GB2312"/>
                <w:b w:val="0"/>
                <w:bCs w:val="0"/>
                <w:kern w:val="0"/>
                <w:sz w:val="24"/>
                <w:szCs w:val="24"/>
              </w:rPr>
              <w:t>煤电、煤化工</w:t>
            </w:r>
            <w:bookmarkEnd w:id="14"/>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381" w:type="pct"/>
            <w:vMerge w:val="continue"/>
            <w:shd w:val="clear" w:color="auto" w:fill="auto"/>
            <w:vAlign w:val="center"/>
          </w:tcPr>
          <w:p>
            <w:pPr>
              <w:widowControl/>
              <w:snapToGrid w:val="0"/>
              <w:jc w:val="center"/>
              <w:rPr>
                <w:rFonts w:hint="eastAsia" w:ascii="仿宋_GB2312" w:hAnsi="仿宋_GB2312" w:eastAsia="仿宋_GB2312" w:cs="仿宋_GB2312"/>
                <w:b w:val="0"/>
                <w:bCs w:val="0"/>
                <w:kern w:val="0"/>
                <w:sz w:val="24"/>
                <w:szCs w:val="24"/>
              </w:rPr>
            </w:pPr>
          </w:p>
        </w:tc>
        <w:tc>
          <w:tcPr>
            <w:tcW w:w="1359" w:type="pct"/>
            <w:vMerge w:val="continue"/>
            <w:shd w:val="clear" w:color="auto" w:fill="auto"/>
            <w:vAlign w:val="center"/>
          </w:tcPr>
          <w:p>
            <w:pPr>
              <w:widowControl/>
              <w:snapToGrid w:val="0"/>
              <w:rPr>
                <w:rFonts w:hint="eastAsia" w:ascii="仿宋_GB2312" w:hAnsi="仿宋_GB2312" w:eastAsia="仿宋_GB2312" w:cs="仿宋_GB2312"/>
                <w:b w:val="0"/>
                <w:bCs w:val="0"/>
                <w:kern w:val="0"/>
                <w:sz w:val="24"/>
                <w:szCs w:val="24"/>
              </w:rPr>
            </w:pPr>
          </w:p>
        </w:tc>
        <w:tc>
          <w:tcPr>
            <w:tcW w:w="568" w:type="pct"/>
            <w:vMerge w:val="continue"/>
            <w:shd w:val="clear" w:color="auto" w:fill="auto"/>
            <w:vAlign w:val="center"/>
          </w:tcPr>
          <w:p>
            <w:pPr>
              <w:widowControl/>
              <w:snapToGrid w:val="0"/>
              <w:jc w:val="center"/>
              <w:rPr>
                <w:rFonts w:hint="eastAsia" w:ascii="仿宋_GB2312" w:hAnsi="仿宋_GB2312" w:eastAsia="仿宋_GB2312" w:cs="仿宋_GB2312"/>
                <w:b w:val="0"/>
                <w:bCs w:val="0"/>
                <w:kern w:val="0"/>
                <w:sz w:val="24"/>
                <w:szCs w:val="24"/>
              </w:rPr>
            </w:pPr>
          </w:p>
        </w:tc>
        <w:tc>
          <w:tcPr>
            <w:tcW w:w="1166" w:type="pct"/>
            <w:shd w:val="clear" w:color="auto" w:fill="auto"/>
            <w:vAlign w:val="center"/>
          </w:tcPr>
          <w:p>
            <w:pPr>
              <w:widowControl/>
              <w:snapToGrid w:val="0"/>
              <w:rPr>
                <w:rFonts w:hint="eastAsia" w:ascii="仿宋_GB2312" w:hAnsi="仿宋_GB2312" w:eastAsia="仿宋_GB2312" w:cs="仿宋_GB2312"/>
                <w:b w:val="0"/>
                <w:bCs w:val="0"/>
                <w:kern w:val="0"/>
                <w:sz w:val="24"/>
                <w:szCs w:val="24"/>
              </w:rPr>
            </w:pPr>
            <w:r>
              <w:rPr>
                <w:rFonts w:hint="eastAsia" w:ascii="仿宋_GB2312" w:hAnsi="仿宋_GB2312" w:eastAsia="仿宋_GB2312" w:cs="仿宋_GB2312"/>
                <w:b w:val="0"/>
                <w:bCs w:val="0"/>
                <w:kern w:val="0"/>
                <w:sz w:val="24"/>
                <w:szCs w:val="24"/>
              </w:rPr>
              <w:t>伊金霍洛物流园</w:t>
            </w:r>
          </w:p>
        </w:tc>
        <w:tc>
          <w:tcPr>
            <w:tcW w:w="1525" w:type="pct"/>
            <w:shd w:val="clear" w:color="auto" w:fill="auto"/>
            <w:vAlign w:val="center"/>
          </w:tcPr>
          <w:p>
            <w:pPr>
              <w:widowControl/>
              <w:snapToGrid w:val="0"/>
              <w:jc w:val="left"/>
              <w:rPr>
                <w:rFonts w:hint="eastAsia" w:ascii="仿宋_GB2312" w:hAnsi="仿宋_GB2312" w:eastAsia="仿宋_GB2312" w:cs="仿宋_GB2312"/>
                <w:b w:val="0"/>
                <w:bCs w:val="0"/>
                <w:kern w:val="0"/>
                <w:sz w:val="24"/>
                <w:szCs w:val="24"/>
              </w:rPr>
            </w:pPr>
            <w:r>
              <w:rPr>
                <w:rFonts w:hint="eastAsia" w:ascii="仿宋_GB2312" w:hAnsi="仿宋_GB2312" w:eastAsia="仿宋_GB2312" w:cs="仿宋_GB2312"/>
                <w:b w:val="0"/>
                <w:bCs w:val="0"/>
                <w:kern w:val="0"/>
                <w:sz w:val="24"/>
                <w:szCs w:val="24"/>
              </w:rPr>
              <w:t>物流及相关延伸产业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381" w:type="pct"/>
            <w:vMerge w:val="restart"/>
            <w:shd w:val="clear" w:color="auto" w:fill="auto"/>
            <w:vAlign w:val="center"/>
          </w:tcPr>
          <w:p>
            <w:pPr>
              <w:snapToGrid w:val="0"/>
              <w:jc w:val="center"/>
              <w:rPr>
                <w:rFonts w:hint="eastAsia" w:ascii="仿宋_GB2312" w:hAnsi="仿宋_GB2312" w:eastAsia="仿宋_GB2312" w:cs="仿宋_GB2312"/>
                <w:b w:val="0"/>
                <w:bCs w:val="0"/>
                <w:kern w:val="0"/>
                <w:sz w:val="24"/>
                <w:szCs w:val="24"/>
              </w:rPr>
            </w:pPr>
            <w:r>
              <w:rPr>
                <w:rFonts w:hint="eastAsia" w:ascii="仿宋_GB2312" w:hAnsi="仿宋_GB2312" w:eastAsia="仿宋_GB2312" w:cs="仿宋_GB2312"/>
                <w:b w:val="0"/>
                <w:bCs w:val="0"/>
                <w:kern w:val="0"/>
                <w:sz w:val="24"/>
                <w:szCs w:val="24"/>
              </w:rPr>
              <w:t>5</w:t>
            </w:r>
          </w:p>
        </w:tc>
        <w:tc>
          <w:tcPr>
            <w:tcW w:w="1359" w:type="pct"/>
            <w:vMerge w:val="restart"/>
            <w:shd w:val="clear" w:color="auto" w:fill="auto"/>
            <w:vAlign w:val="center"/>
          </w:tcPr>
          <w:p>
            <w:pPr>
              <w:snapToGrid w:val="0"/>
              <w:rPr>
                <w:rFonts w:hint="eastAsia" w:ascii="仿宋_GB2312" w:hAnsi="仿宋_GB2312" w:eastAsia="仿宋_GB2312" w:cs="仿宋_GB2312"/>
                <w:b w:val="0"/>
                <w:bCs w:val="0"/>
                <w:kern w:val="0"/>
                <w:sz w:val="24"/>
                <w:szCs w:val="24"/>
              </w:rPr>
            </w:pPr>
            <w:r>
              <w:rPr>
                <w:rFonts w:hint="eastAsia" w:ascii="仿宋_GB2312" w:hAnsi="仿宋_GB2312" w:eastAsia="仿宋_GB2312" w:cs="仿宋_GB2312"/>
                <w:b w:val="0"/>
                <w:bCs w:val="0"/>
                <w:kern w:val="0"/>
                <w:sz w:val="24"/>
                <w:szCs w:val="24"/>
              </w:rPr>
              <w:t>内蒙古杭锦经济开发区</w:t>
            </w:r>
          </w:p>
        </w:tc>
        <w:tc>
          <w:tcPr>
            <w:tcW w:w="568" w:type="pct"/>
            <w:vMerge w:val="restart"/>
            <w:shd w:val="clear" w:color="auto" w:fill="auto"/>
            <w:vAlign w:val="center"/>
          </w:tcPr>
          <w:p>
            <w:pPr>
              <w:snapToGrid w:val="0"/>
              <w:jc w:val="center"/>
              <w:rPr>
                <w:rFonts w:hint="eastAsia" w:ascii="仿宋_GB2312" w:hAnsi="仿宋_GB2312" w:eastAsia="仿宋_GB2312" w:cs="仿宋_GB2312"/>
                <w:b w:val="0"/>
                <w:bCs w:val="0"/>
                <w:kern w:val="0"/>
                <w:sz w:val="24"/>
                <w:szCs w:val="24"/>
              </w:rPr>
            </w:pPr>
            <w:r>
              <w:rPr>
                <w:rFonts w:hint="eastAsia" w:ascii="仿宋_GB2312" w:hAnsi="仿宋_GB2312" w:eastAsia="仿宋_GB2312" w:cs="仿宋_GB2312"/>
                <w:b w:val="0"/>
                <w:bCs w:val="0"/>
                <w:kern w:val="0"/>
                <w:sz w:val="24"/>
                <w:szCs w:val="24"/>
              </w:rPr>
              <w:t>2</w:t>
            </w:r>
          </w:p>
        </w:tc>
        <w:tc>
          <w:tcPr>
            <w:tcW w:w="1166" w:type="pct"/>
            <w:shd w:val="clear" w:color="auto" w:fill="auto"/>
            <w:vAlign w:val="center"/>
          </w:tcPr>
          <w:p>
            <w:pPr>
              <w:widowControl/>
              <w:snapToGrid w:val="0"/>
              <w:rPr>
                <w:rFonts w:hint="eastAsia" w:ascii="仿宋_GB2312" w:hAnsi="仿宋_GB2312" w:eastAsia="仿宋_GB2312" w:cs="仿宋_GB2312"/>
                <w:b w:val="0"/>
                <w:bCs w:val="0"/>
                <w:kern w:val="0"/>
                <w:sz w:val="24"/>
                <w:szCs w:val="24"/>
              </w:rPr>
            </w:pPr>
            <w:r>
              <w:rPr>
                <w:rFonts w:hint="eastAsia" w:ascii="仿宋_GB2312" w:hAnsi="仿宋_GB2312" w:eastAsia="仿宋_GB2312" w:cs="仿宋_GB2312"/>
                <w:b w:val="0"/>
                <w:bCs w:val="0"/>
                <w:kern w:val="0"/>
                <w:sz w:val="24"/>
                <w:szCs w:val="24"/>
              </w:rPr>
              <w:t>独贵塔拉产业园</w:t>
            </w:r>
          </w:p>
        </w:tc>
        <w:tc>
          <w:tcPr>
            <w:tcW w:w="1525" w:type="pct"/>
            <w:shd w:val="clear" w:color="auto" w:fill="auto"/>
            <w:vAlign w:val="center"/>
          </w:tcPr>
          <w:p>
            <w:pPr>
              <w:snapToGrid w:val="0"/>
              <w:jc w:val="left"/>
              <w:rPr>
                <w:rFonts w:hint="eastAsia" w:ascii="仿宋_GB2312" w:hAnsi="仿宋_GB2312" w:eastAsia="仿宋_GB2312" w:cs="仿宋_GB2312"/>
                <w:b w:val="0"/>
                <w:bCs w:val="0"/>
                <w:kern w:val="0"/>
                <w:sz w:val="24"/>
                <w:szCs w:val="24"/>
              </w:rPr>
            </w:pPr>
            <w:r>
              <w:rPr>
                <w:rFonts w:hint="eastAsia" w:ascii="仿宋_GB2312" w:hAnsi="仿宋_GB2312" w:eastAsia="仿宋_GB2312" w:cs="仿宋_GB2312"/>
                <w:b w:val="0"/>
                <w:bCs w:val="0"/>
                <w:kern w:val="0"/>
                <w:sz w:val="24"/>
                <w:szCs w:val="24"/>
              </w:rPr>
              <w:t>化工、新材料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381" w:type="pct"/>
            <w:vMerge w:val="continue"/>
            <w:shd w:val="clear" w:color="auto" w:fill="auto"/>
            <w:vAlign w:val="center"/>
          </w:tcPr>
          <w:p>
            <w:pPr>
              <w:widowControl/>
              <w:snapToGrid w:val="0"/>
              <w:jc w:val="center"/>
              <w:rPr>
                <w:rFonts w:hint="eastAsia" w:ascii="仿宋_GB2312" w:hAnsi="仿宋_GB2312" w:eastAsia="仿宋_GB2312" w:cs="仿宋_GB2312"/>
                <w:b w:val="0"/>
                <w:bCs w:val="0"/>
                <w:kern w:val="0"/>
                <w:sz w:val="24"/>
                <w:szCs w:val="24"/>
              </w:rPr>
            </w:pPr>
          </w:p>
        </w:tc>
        <w:tc>
          <w:tcPr>
            <w:tcW w:w="1359" w:type="pct"/>
            <w:vMerge w:val="continue"/>
            <w:shd w:val="clear" w:color="auto" w:fill="auto"/>
            <w:vAlign w:val="center"/>
          </w:tcPr>
          <w:p>
            <w:pPr>
              <w:widowControl/>
              <w:snapToGrid w:val="0"/>
              <w:rPr>
                <w:rFonts w:hint="eastAsia" w:ascii="仿宋_GB2312" w:hAnsi="仿宋_GB2312" w:eastAsia="仿宋_GB2312" w:cs="仿宋_GB2312"/>
                <w:b w:val="0"/>
                <w:bCs w:val="0"/>
                <w:kern w:val="0"/>
                <w:sz w:val="24"/>
                <w:szCs w:val="24"/>
              </w:rPr>
            </w:pPr>
          </w:p>
        </w:tc>
        <w:tc>
          <w:tcPr>
            <w:tcW w:w="568" w:type="pct"/>
            <w:vMerge w:val="continue"/>
            <w:shd w:val="clear" w:color="auto" w:fill="auto"/>
            <w:vAlign w:val="center"/>
          </w:tcPr>
          <w:p>
            <w:pPr>
              <w:widowControl/>
              <w:snapToGrid w:val="0"/>
              <w:jc w:val="center"/>
              <w:rPr>
                <w:rFonts w:hint="eastAsia" w:ascii="仿宋_GB2312" w:hAnsi="仿宋_GB2312" w:eastAsia="仿宋_GB2312" w:cs="仿宋_GB2312"/>
                <w:b w:val="0"/>
                <w:bCs w:val="0"/>
                <w:kern w:val="0"/>
                <w:sz w:val="24"/>
                <w:szCs w:val="24"/>
              </w:rPr>
            </w:pPr>
          </w:p>
        </w:tc>
        <w:tc>
          <w:tcPr>
            <w:tcW w:w="1166" w:type="pct"/>
            <w:shd w:val="clear" w:color="auto" w:fill="auto"/>
            <w:vAlign w:val="center"/>
          </w:tcPr>
          <w:p>
            <w:pPr>
              <w:widowControl/>
              <w:snapToGrid w:val="0"/>
              <w:rPr>
                <w:rFonts w:hint="eastAsia" w:ascii="仿宋_GB2312" w:hAnsi="仿宋_GB2312" w:eastAsia="仿宋_GB2312" w:cs="仿宋_GB2312"/>
                <w:b w:val="0"/>
                <w:bCs w:val="0"/>
                <w:kern w:val="0"/>
                <w:sz w:val="24"/>
                <w:szCs w:val="24"/>
              </w:rPr>
            </w:pPr>
            <w:r>
              <w:rPr>
                <w:rFonts w:hint="eastAsia" w:ascii="仿宋_GB2312" w:hAnsi="仿宋_GB2312" w:eastAsia="仿宋_GB2312" w:cs="仿宋_GB2312"/>
                <w:b w:val="0"/>
                <w:bCs w:val="0"/>
                <w:kern w:val="0"/>
                <w:sz w:val="24"/>
                <w:szCs w:val="24"/>
              </w:rPr>
              <w:t>新能源产业园</w:t>
            </w:r>
          </w:p>
        </w:tc>
        <w:tc>
          <w:tcPr>
            <w:tcW w:w="1525" w:type="pct"/>
            <w:shd w:val="clear" w:color="auto" w:fill="auto"/>
            <w:vAlign w:val="center"/>
          </w:tcPr>
          <w:p>
            <w:pPr>
              <w:widowControl/>
              <w:snapToGrid w:val="0"/>
              <w:jc w:val="left"/>
              <w:rPr>
                <w:rFonts w:hint="eastAsia" w:ascii="仿宋_GB2312" w:hAnsi="仿宋_GB2312" w:eastAsia="仿宋_GB2312" w:cs="仿宋_GB2312"/>
                <w:b w:val="0"/>
                <w:bCs w:val="0"/>
                <w:kern w:val="0"/>
                <w:sz w:val="24"/>
                <w:szCs w:val="24"/>
              </w:rPr>
            </w:pPr>
            <w:r>
              <w:rPr>
                <w:rFonts w:hint="eastAsia" w:ascii="仿宋_GB2312" w:hAnsi="仿宋_GB2312" w:eastAsia="仿宋_GB2312" w:cs="仿宋_GB2312"/>
                <w:b w:val="0"/>
                <w:bCs w:val="0"/>
                <w:kern w:val="0"/>
                <w:sz w:val="24"/>
                <w:szCs w:val="24"/>
              </w:rPr>
              <w:t>清洁能源、新兴产业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381" w:type="pct"/>
            <w:vMerge w:val="restart"/>
            <w:shd w:val="clear" w:color="auto" w:fill="auto"/>
            <w:vAlign w:val="center"/>
          </w:tcPr>
          <w:p>
            <w:pPr>
              <w:widowControl/>
              <w:snapToGrid w:val="0"/>
              <w:jc w:val="center"/>
              <w:rPr>
                <w:rFonts w:hint="eastAsia" w:ascii="仿宋_GB2312" w:hAnsi="仿宋_GB2312" w:eastAsia="仿宋_GB2312" w:cs="仿宋_GB2312"/>
                <w:b w:val="0"/>
                <w:bCs w:val="0"/>
                <w:kern w:val="0"/>
                <w:sz w:val="24"/>
                <w:szCs w:val="24"/>
              </w:rPr>
            </w:pPr>
            <w:r>
              <w:rPr>
                <w:rFonts w:hint="eastAsia" w:ascii="仿宋_GB2312" w:hAnsi="仿宋_GB2312" w:eastAsia="仿宋_GB2312" w:cs="仿宋_GB2312"/>
                <w:b w:val="0"/>
                <w:bCs w:val="0"/>
                <w:kern w:val="0"/>
                <w:sz w:val="24"/>
                <w:szCs w:val="24"/>
              </w:rPr>
              <w:t>6</w:t>
            </w:r>
          </w:p>
        </w:tc>
        <w:tc>
          <w:tcPr>
            <w:tcW w:w="1359" w:type="pct"/>
            <w:vMerge w:val="restart"/>
            <w:shd w:val="clear" w:color="auto" w:fill="auto"/>
            <w:vAlign w:val="center"/>
          </w:tcPr>
          <w:p>
            <w:pPr>
              <w:widowControl/>
              <w:snapToGrid w:val="0"/>
              <w:rPr>
                <w:rFonts w:hint="eastAsia" w:ascii="仿宋_GB2312" w:hAnsi="仿宋_GB2312" w:eastAsia="仿宋_GB2312" w:cs="仿宋_GB2312"/>
                <w:b w:val="0"/>
                <w:bCs w:val="0"/>
                <w:kern w:val="0"/>
                <w:sz w:val="24"/>
                <w:szCs w:val="24"/>
              </w:rPr>
            </w:pPr>
            <w:r>
              <w:rPr>
                <w:rFonts w:hint="eastAsia" w:ascii="仿宋_GB2312" w:hAnsi="仿宋_GB2312" w:eastAsia="仿宋_GB2312" w:cs="仿宋_GB2312"/>
                <w:b w:val="0"/>
                <w:bCs w:val="0"/>
                <w:kern w:val="0"/>
                <w:sz w:val="24"/>
                <w:szCs w:val="24"/>
              </w:rPr>
              <w:t>内蒙古鄂托克经济开发区</w:t>
            </w:r>
          </w:p>
        </w:tc>
        <w:tc>
          <w:tcPr>
            <w:tcW w:w="568" w:type="pct"/>
            <w:vMerge w:val="restart"/>
            <w:shd w:val="clear" w:color="auto" w:fill="auto"/>
            <w:vAlign w:val="center"/>
          </w:tcPr>
          <w:p>
            <w:pPr>
              <w:widowControl/>
              <w:snapToGrid w:val="0"/>
              <w:jc w:val="center"/>
              <w:rPr>
                <w:rFonts w:hint="eastAsia" w:ascii="仿宋_GB2312" w:hAnsi="仿宋_GB2312" w:eastAsia="仿宋_GB2312" w:cs="仿宋_GB2312"/>
                <w:b w:val="0"/>
                <w:bCs w:val="0"/>
                <w:kern w:val="0"/>
                <w:sz w:val="24"/>
                <w:szCs w:val="24"/>
              </w:rPr>
            </w:pPr>
            <w:r>
              <w:rPr>
                <w:rFonts w:hint="eastAsia" w:ascii="仿宋_GB2312" w:hAnsi="仿宋_GB2312" w:eastAsia="仿宋_GB2312" w:cs="仿宋_GB2312"/>
                <w:b w:val="0"/>
                <w:bCs w:val="0"/>
                <w:kern w:val="0"/>
                <w:sz w:val="24"/>
                <w:szCs w:val="24"/>
              </w:rPr>
              <w:t>2</w:t>
            </w:r>
          </w:p>
        </w:tc>
        <w:tc>
          <w:tcPr>
            <w:tcW w:w="1166" w:type="pct"/>
            <w:shd w:val="clear" w:color="auto" w:fill="auto"/>
            <w:vAlign w:val="center"/>
          </w:tcPr>
          <w:p>
            <w:pPr>
              <w:widowControl/>
              <w:snapToGrid w:val="0"/>
              <w:rPr>
                <w:rFonts w:hint="eastAsia" w:ascii="仿宋_GB2312" w:hAnsi="仿宋_GB2312" w:eastAsia="仿宋_GB2312" w:cs="仿宋_GB2312"/>
                <w:b w:val="0"/>
                <w:bCs w:val="0"/>
                <w:kern w:val="0"/>
                <w:sz w:val="24"/>
                <w:szCs w:val="24"/>
              </w:rPr>
            </w:pPr>
            <w:r>
              <w:rPr>
                <w:rFonts w:hint="eastAsia" w:ascii="仿宋_GB2312" w:hAnsi="仿宋_GB2312" w:eastAsia="仿宋_GB2312" w:cs="仿宋_GB2312"/>
                <w:b w:val="0"/>
                <w:bCs w:val="0"/>
                <w:kern w:val="0"/>
                <w:sz w:val="24"/>
                <w:szCs w:val="24"/>
              </w:rPr>
              <w:t>蒙西产业园</w:t>
            </w:r>
          </w:p>
        </w:tc>
        <w:tc>
          <w:tcPr>
            <w:tcW w:w="1525" w:type="pct"/>
            <w:shd w:val="clear" w:color="auto" w:fill="auto"/>
            <w:vAlign w:val="center"/>
          </w:tcPr>
          <w:p>
            <w:pPr>
              <w:widowControl/>
              <w:snapToGrid w:val="0"/>
              <w:jc w:val="left"/>
              <w:rPr>
                <w:rFonts w:hint="eastAsia" w:ascii="仿宋_GB2312" w:hAnsi="仿宋_GB2312" w:eastAsia="仿宋_GB2312" w:cs="仿宋_GB2312"/>
                <w:b w:val="0"/>
                <w:bCs w:val="0"/>
                <w:kern w:val="0"/>
                <w:sz w:val="24"/>
                <w:szCs w:val="24"/>
              </w:rPr>
            </w:pPr>
            <w:r>
              <w:rPr>
                <w:rFonts w:hint="eastAsia" w:ascii="仿宋_GB2312" w:hAnsi="仿宋_GB2312" w:eastAsia="仿宋_GB2312" w:cs="仿宋_GB2312"/>
                <w:b w:val="0"/>
                <w:bCs w:val="0"/>
                <w:kern w:val="0"/>
                <w:sz w:val="24"/>
                <w:szCs w:val="24"/>
              </w:rPr>
              <w:t>新材料、精细化工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381" w:type="pct"/>
            <w:vMerge w:val="continue"/>
            <w:shd w:val="clear" w:color="auto" w:fill="auto"/>
            <w:vAlign w:val="center"/>
          </w:tcPr>
          <w:p>
            <w:pPr>
              <w:widowControl/>
              <w:snapToGrid w:val="0"/>
              <w:jc w:val="center"/>
              <w:rPr>
                <w:rFonts w:hint="eastAsia" w:ascii="仿宋_GB2312" w:hAnsi="仿宋_GB2312" w:eastAsia="仿宋_GB2312" w:cs="仿宋_GB2312"/>
                <w:b w:val="0"/>
                <w:bCs w:val="0"/>
                <w:kern w:val="0"/>
                <w:sz w:val="24"/>
                <w:szCs w:val="24"/>
              </w:rPr>
            </w:pPr>
          </w:p>
        </w:tc>
        <w:tc>
          <w:tcPr>
            <w:tcW w:w="1359" w:type="pct"/>
            <w:vMerge w:val="continue"/>
            <w:tcBorders>
              <w:bottom w:val="single" w:color="auto" w:sz="4" w:space="0"/>
            </w:tcBorders>
            <w:shd w:val="clear" w:color="auto" w:fill="auto"/>
            <w:vAlign w:val="center"/>
          </w:tcPr>
          <w:p>
            <w:pPr>
              <w:widowControl/>
              <w:snapToGrid w:val="0"/>
              <w:rPr>
                <w:rFonts w:hint="eastAsia" w:ascii="仿宋_GB2312" w:hAnsi="仿宋_GB2312" w:eastAsia="仿宋_GB2312" w:cs="仿宋_GB2312"/>
                <w:b w:val="0"/>
                <w:bCs w:val="0"/>
                <w:kern w:val="0"/>
                <w:sz w:val="24"/>
                <w:szCs w:val="24"/>
              </w:rPr>
            </w:pPr>
          </w:p>
        </w:tc>
        <w:tc>
          <w:tcPr>
            <w:tcW w:w="568" w:type="pct"/>
            <w:vMerge w:val="continue"/>
            <w:tcBorders>
              <w:bottom w:val="single" w:color="auto" w:sz="4" w:space="0"/>
            </w:tcBorders>
            <w:shd w:val="clear" w:color="auto" w:fill="auto"/>
            <w:vAlign w:val="center"/>
          </w:tcPr>
          <w:p>
            <w:pPr>
              <w:widowControl/>
              <w:snapToGrid w:val="0"/>
              <w:jc w:val="center"/>
              <w:rPr>
                <w:rFonts w:hint="eastAsia" w:ascii="仿宋_GB2312" w:hAnsi="仿宋_GB2312" w:eastAsia="仿宋_GB2312" w:cs="仿宋_GB2312"/>
                <w:b w:val="0"/>
                <w:bCs w:val="0"/>
                <w:kern w:val="0"/>
                <w:sz w:val="24"/>
                <w:szCs w:val="24"/>
              </w:rPr>
            </w:pPr>
          </w:p>
        </w:tc>
        <w:tc>
          <w:tcPr>
            <w:tcW w:w="1166" w:type="pct"/>
            <w:tcBorders>
              <w:bottom w:val="single" w:color="auto" w:sz="4" w:space="0"/>
            </w:tcBorders>
            <w:shd w:val="clear" w:color="auto" w:fill="auto"/>
            <w:vAlign w:val="center"/>
          </w:tcPr>
          <w:p>
            <w:pPr>
              <w:widowControl/>
              <w:snapToGrid w:val="0"/>
              <w:rPr>
                <w:rFonts w:hint="eastAsia" w:ascii="仿宋_GB2312" w:hAnsi="仿宋_GB2312" w:eastAsia="仿宋_GB2312" w:cs="仿宋_GB2312"/>
                <w:b w:val="0"/>
                <w:bCs w:val="0"/>
                <w:kern w:val="0"/>
                <w:sz w:val="24"/>
                <w:szCs w:val="24"/>
              </w:rPr>
            </w:pPr>
            <w:r>
              <w:rPr>
                <w:rFonts w:hint="eastAsia" w:ascii="仿宋_GB2312" w:hAnsi="仿宋_GB2312" w:eastAsia="仿宋_GB2312" w:cs="仿宋_GB2312"/>
                <w:b w:val="0"/>
                <w:bCs w:val="0"/>
                <w:kern w:val="0"/>
                <w:sz w:val="24"/>
                <w:szCs w:val="24"/>
              </w:rPr>
              <w:t>棋盘井产业园</w:t>
            </w:r>
          </w:p>
        </w:tc>
        <w:tc>
          <w:tcPr>
            <w:tcW w:w="1525" w:type="pct"/>
            <w:shd w:val="clear" w:color="auto" w:fill="auto"/>
            <w:vAlign w:val="center"/>
          </w:tcPr>
          <w:p>
            <w:pPr>
              <w:widowControl/>
              <w:snapToGrid w:val="0"/>
              <w:jc w:val="left"/>
              <w:rPr>
                <w:rFonts w:hint="eastAsia" w:ascii="仿宋_GB2312" w:hAnsi="仿宋_GB2312" w:eastAsia="仿宋_GB2312" w:cs="仿宋_GB2312"/>
                <w:b w:val="0"/>
                <w:bCs w:val="0"/>
                <w:kern w:val="0"/>
                <w:sz w:val="24"/>
                <w:szCs w:val="24"/>
              </w:rPr>
            </w:pPr>
            <w:r>
              <w:rPr>
                <w:rFonts w:hint="eastAsia" w:ascii="仿宋_GB2312" w:hAnsi="仿宋_GB2312" w:eastAsia="仿宋_GB2312" w:cs="仿宋_GB2312"/>
                <w:b w:val="0"/>
                <w:bCs w:val="0"/>
                <w:kern w:val="0"/>
                <w:sz w:val="24"/>
                <w:szCs w:val="24"/>
              </w:rPr>
              <w:t>能源化工、新兴产业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381" w:type="pct"/>
            <w:tcBorders>
              <w:right w:val="single" w:color="auto" w:sz="4" w:space="0"/>
            </w:tcBorders>
            <w:shd w:val="clear" w:color="auto" w:fill="auto"/>
            <w:vAlign w:val="center"/>
          </w:tcPr>
          <w:p>
            <w:pPr>
              <w:widowControl/>
              <w:snapToGrid w:val="0"/>
              <w:jc w:val="center"/>
              <w:rPr>
                <w:rFonts w:hint="eastAsia" w:ascii="仿宋_GB2312" w:hAnsi="仿宋_GB2312" w:eastAsia="仿宋_GB2312" w:cs="仿宋_GB2312"/>
                <w:b w:val="0"/>
                <w:bCs w:val="0"/>
                <w:kern w:val="0"/>
                <w:sz w:val="24"/>
                <w:szCs w:val="24"/>
              </w:rPr>
            </w:pPr>
            <w:r>
              <w:rPr>
                <w:rFonts w:hint="eastAsia" w:ascii="仿宋_GB2312" w:hAnsi="仿宋_GB2312" w:eastAsia="仿宋_GB2312" w:cs="仿宋_GB2312"/>
                <w:b w:val="0"/>
                <w:bCs w:val="0"/>
                <w:kern w:val="0"/>
                <w:sz w:val="24"/>
                <w:szCs w:val="24"/>
              </w:rPr>
              <w:t>7</w:t>
            </w:r>
          </w:p>
        </w:tc>
        <w:tc>
          <w:tcPr>
            <w:tcW w:w="1359"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snapToGrid w:val="0"/>
              <w:rPr>
                <w:rFonts w:hint="eastAsia" w:ascii="仿宋_GB2312" w:hAnsi="仿宋_GB2312" w:eastAsia="仿宋_GB2312" w:cs="仿宋_GB2312"/>
                <w:b w:val="0"/>
                <w:bCs w:val="0"/>
                <w:kern w:val="0"/>
                <w:sz w:val="24"/>
                <w:szCs w:val="24"/>
              </w:rPr>
            </w:pPr>
            <w:r>
              <w:rPr>
                <w:rFonts w:hint="eastAsia" w:ascii="仿宋_GB2312" w:hAnsi="仿宋_GB2312" w:eastAsia="仿宋_GB2312" w:cs="仿宋_GB2312"/>
                <w:b w:val="0"/>
                <w:bCs w:val="0"/>
                <w:kern w:val="0"/>
                <w:sz w:val="24"/>
                <w:szCs w:val="24"/>
              </w:rPr>
              <w:t>内蒙古鄂尔多斯上海庙经济开发区</w:t>
            </w:r>
          </w:p>
        </w:tc>
        <w:tc>
          <w:tcPr>
            <w:tcW w:w="568"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snapToGrid w:val="0"/>
              <w:jc w:val="center"/>
              <w:rPr>
                <w:rFonts w:hint="eastAsia" w:ascii="仿宋_GB2312" w:hAnsi="仿宋_GB2312" w:eastAsia="仿宋_GB2312" w:cs="仿宋_GB2312"/>
                <w:b w:val="0"/>
                <w:bCs w:val="0"/>
                <w:kern w:val="0"/>
                <w:sz w:val="24"/>
                <w:szCs w:val="24"/>
              </w:rPr>
            </w:pPr>
            <w:r>
              <w:rPr>
                <w:rFonts w:hint="eastAsia" w:ascii="仿宋_GB2312" w:hAnsi="仿宋_GB2312" w:eastAsia="仿宋_GB2312" w:cs="仿宋_GB2312"/>
                <w:b w:val="0"/>
                <w:bCs w:val="0"/>
                <w:kern w:val="0"/>
                <w:sz w:val="24"/>
                <w:szCs w:val="24"/>
              </w:rPr>
              <w:t>1</w:t>
            </w:r>
          </w:p>
        </w:tc>
        <w:tc>
          <w:tcPr>
            <w:tcW w:w="1166" w:type="pct"/>
            <w:tcBorders>
              <w:top w:val="single" w:color="auto" w:sz="4" w:space="0"/>
              <w:left w:val="single" w:color="auto" w:sz="4" w:space="0"/>
              <w:right w:val="single" w:color="auto" w:sz="4" w:space="0"/>
            </w:tcBorders>
            <w:shd w:val="clear" w:color="auto" w:fill="auto"/>
            <w:vAlign w:val="center"/>
          </w:tcPr>
          <w:p>
            <w:pPr>
              <w:widowControl/>
              <w:snapToGrid w:val="0"/>
              <w:rPr>
                <w:rFonts w:hint="eastAsia" w:ascii="仿宋_GB2312" w:hAnsi="仿宋_GB2312" w:eastAsia="仿宋_GB2312" w:cs="仿宋_GB2312"/>
                <w:b w:val="0"/>
                <w:bCs w:val="0"/>
                <w:kern w:val="0"/>
                <w:sz w:val="24"/>
                <w:szCs w:val="24"/>
              </w:rPr>
            </w:pPr>
            <w:r>
              <w:rPr>
                <w:rFonts w:hint="eastAsia" w:ascii="仿宋_GB2312" w:hAnsi="仿宋_GB2312" w:eastAsia="仿宋_GB2312" w:cs="仿宋_GB2312"/>
                <w:b w:val="0"/>
                <w:bCs w:val="0"/>
                <w:kern w:val="0"/>
                <w:sz w:val="24"/>
                <w:szCs w:val="24"/>
              </w:rPr>
              <w:t>上海庙能源化工园</w:t>
            </w:r>
          </w:p>
        </w:tc>
        <w:tc>
          <w:tcPr>
            <w:tcW w:w="1525" w:type="pct"/>
            <w:tcBorders>
              <w:left w:val="single" w:color="auto" w:sz="4" w:space="0"/>
            </w:tcBorders>
            <w:shd w:val="clear" w:color="auto" w:fill="auto"/>
            <w:vAlign w:val="center"/>
          </w:tcPr>
          <w:p>
            <w:pPr>
              <w:widowControl/>
              <w:snapToGrid w:val="0"/>
              <w:jc w:val="left"/>
              <w:rPr>
                <w:rFonts w:hint="eastAsia" w:ascii="仿宋_GB2312" w:hAnsi="仿宋_GB2312" w:eastAsia="仿宋_GB2312" w:cs="仿宋_GB2312"/>
                <w:b w:val="0"/>
                <w:bCs w:val="0"/>
                <w:kern w:val="0"/>
                <w:sz w:val="24"/>
                <w:szCs w:val="24"/>
              </w:rPr>
            </w:pPr>
            <w:r>
              <w:rPr>
                <w:rFonts w:hint="eastAsia" w:ascii="仿宋_GB2312" w:hAnsi="仿宋_GB2312" w:eastAsia="仿宋_GB2312" w:cs="仿宋_GB2312"/>
                <w:b w:val="0"/>
                <w:bCs w:val="0"/>
                <w:kern w:val="0"/>
                <w:sz w:val="24"/>
                <w:szCs w:val="24"/>
              </w:rPr>
              <w:t>能源化工、新材料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381" w:type="pct"/>
            <w:vMerge w:val="restart"/>
            <w:shd w:val="clear" w:color="auto" w:fill="auto"/>
            <w:vAlign w:val="center"/>
          </w:tcPr>
          <w:p>
            <w:pPr>
              <w:widowControl/>
              <w:snapToGrid w:val="0"/>
              <w:jc w:val="center"/>
              <w:rPr>
                <w:rFonts w:hint="eastAsia" w:ascii="仿宋_GB2312" w:hAnsi="仿宋_GB2312" w:eastAsia="仿宋_GB2312" w:cs="仿宋_GB2312"/>
                <w:b w:val="0"/>
                <w:bCs w:val="0"/>
                <w:kern w:val="0"/>
                <w:sz w:val="24"/>
                <w:szCs w:val="24"/>
              </w:rPr>
            </w:pPr>
            <w:r>
              <w:rPr>
                <w:rFonts w:hint="eastAsia" w:ascii="仿宋_GB2312" w:hAnsi="仿宋_GB2312" w:eastAsia="仿宋_GB2312" w:cs="仿宋_GB2312"/>
                <w:b w:val="0"/>
                <w:bCs w:val="0"/>
                <w:kern w:val="0"/>
                <w:sz w:val="24"/>
                <w:szCs w:val="24"/>
              </w:rPr>
              <w:t>8</w:t>
            </w:r>
          </w:p>
        </w:tc>
        <w:tc>
          <w:tcPr>
            <w:tcW w:w="1359" w:type="pct"/>
            <w:vMerge w:val="restart"/>
            <w:shd w:val="clear" w:color="auto" w:fill="auto"/>
            <w:vAlign w:val="center"/>
          </w:tcPr>
          <w:p>
            <w:pPr>
              <w:widowControl/>
              <w:snapToGrid w:val="0"/>
              <w:rPr>
                <w:rFonts w:hint="eastAsia" w:ascii="仿宋_GB2312" w:hAnsi="仿宋_GB2312" w:eastAsia="仿宋_GB2312" w:cs="仿宋_GB2312"/>
                <w:b w:val="0"/>
                <w:bCs w:val="0"/>
                <w:kern w:val="0"/>
                <w:sz w:val="24"/>
                <w:szCs w:val="24"/>
              </w:rPr>
            </w:pPr>
            <w:r>
              <w:rPr>
                <w:rFonts w:hint="eastAsia" w:ascii="仿宋_GB2312" w:hAnsi="仿宋_GB2312" w:eastAsia="仿宋_GB2312" w:cs="仿宋_GB2312"/>
                <w:b w:val="0"/>
                <w:bCs w:val="0"/>
                <w:kern w:val="0"/>
                <w:sz w:val="24"/>
                <w:szCs w:val="24"/>
              </w:rPr>
              <w:t>内蒙古鄂尔多斯苏里格经济开发区</w:t>
            </w:r>
          </w:p>
        </w:tc>
        <w:tc>
          <w:tcPr>
            <w:tcW w:w="568" w:type="pct"/>
            <w:vMerge w:val="restart"/>
            <w:shd w:val="clear" w:color="auto" w:fill="auto"/>
            <w:vAlign w:val="center"/>
          </w:tcPr>
          <w:p>
            <w:pPr>
              <w:widowControl/>
              <w:snapToGrid w:val="0"/>
              <w:jc w:val="center"/>
              <w:rPr>
                <w:rFonts w:hint="eastAsia" w:ascii="仿宋_GB2312" w:hAnsi="仿宋_GB2312" w:eastAsia="仿宋_GB2312" w:cs="仿宋_GB2312"/>
                <w:b w:val="0"/>
                <w:bCs w:val="0"/>
                <w:kern w:val="0"/>
                <w:sz w:val="24"/>
                <w:szCs w:val="24"/>
              </w:rPr>
            </w:pPr>
            <w:r>
              <w:rPr>
                <w:rFonts w:hint="eastAsia" w:ascii="仿宋_GB2312" w:hAnsi="仿宋_GB2312" w:eastAsia="仿宋_GB2312" w:cs="仿宋_GB2312"/>
                <w:b w:val="0"/>
                <w:bCs w:val="0"/>
                <w:kern w:val="0"/>
                <w:sz w:val="24"/>
                <w:szCs w:val="24"/>
              </w:rPr>
              <w:t>2</w:t>
            </w:r>
          </w:p>
        </w:tc>
        <w:tc>
          <w:tcPr>
            <w:tcW w:w="1166" w:type="pct"/>
            <w:shd w:val="clear" w:color="auto" w:fill="auto"/>
            <w:vAlign w:val="center"/>
          </w:tcPr>
          <w:p>
            <w:pPr>
              <w:widowControl/>
              <w:snapToGrid w:val="0"/>
              <w:rPr>
                <w:rFonts w:hint="eastAsia" w:ascii="仿宋_GB2312" w:hAnsi="仿宋_GB2312" w:eastAsia="仿宋_GB2312" w:cs="仿宋_GB2312"/>
                <w:b w:val="0"/>
                <w:bCs w:val="0"/>
                <w:kern w:val="0"/>
                <w:sz w:val="24"/>
                <w:szCs w:val="24"/>
              </w:rPr>
            </w:pPr>
            <w:r>
              <w:rPr>
                <w:rFonts w:hint="eastAsia" w:ascii="仿宋_GB2312" w:hAnsi="仿宋_GB2312" w:eastAsia="仿宋_GB2312" w:cs="仿宋_GB2312"/>
                <w:b w:val="0"/>
                <w:bCs w:val="0"/>
                <w:kern w:val="0"/>
                <w:sz w:val="24"/>
                <w:szCs w:val="24"/>
              </w:rPr>
              <w:t>苏里格产业园</w:t>
            </w:r>
          </w:p>
        </w:tc>
        <w:tc>
          <w:tcPr>
            <w:tcW w:w="1525" w:type="pct"/>
            <w:shd w:val="clear" w:color="auto" w:fill="auto"/>
            <w:vAlign w:val="center"/>
          </w:tcPr>
          <w:p>
            <w:pPr>
              <w:widowControl/>
              <w:snapToGrid w:val="0"/>
              <w:jc w:val="left"/>
              <w:rPr>
                <w:rFonts w:hint="eastAsia" w:ascii="仿宋_GB2312" w:hAnsi="仿宋_GB2312" w:eastAsia="仿宋_GB2312" w:cs="仿宋_GB2312"/>
                <w:b w:val="0"/>
                <w:bCs w:val="0"/>
                <w:kern w:val="0"/>
                <w:sz w:val="24"/>
                <w:szCs w:val="24"/>
              </w:rPr>
            </w:pPr>
            <w:r>
              <w:rPr>
                <w:rFonts w:hint="eastAsia" w:ascii="仿宋_GB2312" w:hAnsi="仿宋_GB2312" w:eastAsia="仿宋_GB2312" w:cs="仿宋_GB2312"/>
                <w:b w:val="0"/>
                <w:bCs w:val="0"/>
                <w:kern w:val="0"/>
                <w:sz w:val="24"/>
                <w:szCs w:val="24"/>
              </w:rPr>
              <w:t>能源化工、新材料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381" w:type="pct"/>
            <w:vMerge w:val="continue"/>
            <w:vAlign w:val="center"/>
          </w:tcPr>
          <w:p>
            <w:pPr>
              <w:widowControl/>
              <w:snapToGrid w:val="0"/>
              <w:jc w:val="left"/>
              <w:rPr>
                <w:rFonts w:hint="eastAsia" w:ascii="仿宋_GB2312" w:hAnsi="仿宋_GB2312" w:eastAsia="仿宋_GB2312" w:cs="仿宋_GB2312"/>
                <w:b w:val="0"/>
                <w:bCs w:val="0"/>
                <w:kern w:val="0"/>
                <w:sz w:val="24"/>
                <w:szCs w:val="24"/>
              </w:rPr>
            </w:pPr>
          </w:p>
        </w:tc>
        <w:tc>
          <w:tcPr>
            <w:tcW w:w="1359" w:type="pct"/>
            <w:vMerge w:val="continue"/>
            <w:vAlign w:val="center"/>
          </w:tcPr>
          <w:p>
            <w:pPr>
              <w:widowControl/>
              <w:snapToGrid w:val="0"/>
              <w:jc w:val="left"/>
              <w:rPr>
                <w:rFonts w:hint="eastAsia" w:ascii="仿宋_GB2312" w:hAnsi="仿宋_GB2312" w:eastAsia="仿宋_GB2312" w:cs="仿宋_GB2312"/>
                <w:b w:val="0"/>
                <w:bCs w:val="0"/>
                <w:kern w:val="0"/>
                <w:sz w:val="24"/>
                <w:szCs w:val="24"/>
              </w:rPr>
            </w:pPr>
          </w:p>
        </w:tc>
        <w:tc>
          <w:tcPr>
            <w:tcW w:w="568" w:type="pct"/>
            <w:vMerge w:val="continue"/>
            <w:vAlign w:val="center"/>
          </w:tcPr>
          <w:p>
            <w:pPr>
              <w:widowControl/>
              <w:snapToGrid w:val="0"/>
              <w:jc w:val="left"/>
              <w:rPr>
                <w:rFonts w:hint="eastAsia" w:ascii="仿宋_GB2312" w:hAnsi="仿宋_GB2312" w:eastAsia="仿宋_GB2312" w:cs="仿宋_GB2312"/>
                <w:b w:val="0"/>
                <w:bCs w:val="0"/>
                <w:kern w:val="0"/>
                <w:sz w:val="24"/>
                <w:szCs w:val="24"/>
              </w:rPr>
            </w:pPr>
          </w:p>
        </w:tc>
        <w:tc>
          <w:tcPr>
            <w:tcW w:w="1166" w:type="pct"/>
            <w:shd w:val="clear" w:color="auto" w:fill="auto"/>
            <w:vAlign w:val="center"/>
          </w:tcPr>
          <w:p>
            <w:pPr>
              <w:widowControl/>
              <w:snapToGrid w:val="0"/>
              <w:rPr>
                <w:rFonts w:hint="eastAsia" w:ascii="仿宋_GB2312" w:hAnsi="仿宋_GB2312" w:eastAsia="仿宋_GB2312" w:cs="仿宋_GB2312"/>
                <w:b w:val="0"/>
                <w:bCs w:val="0"/>
                <w:kern w:val="0"/>
                <w:sz w:val="24"/>
                <w:szCs w:val="24"/>
              </w:rPr>
            </w:pPr>
            <w:r>
              <w:rPr>
                <w:rFonts w:hint="eastAsia" w:ascii="仿宋_GB2312" w:hAnsi="仿宋_GB2312" w:eastAsia="仿宋_GB2312" w:cs="仿宋_GB2312"/>
                <w:b w:val="0"/>
                <w:bCs w:val="0"/>
                <w:kern w:val="0"/>
                <w:sz w:val="24"/>
                <w:szCs w:val="24"/>
              </w:rPr>
              <w:t>纳林河产业园</w:t>
            </w:r>
          </w:p>
        </w:tc>
        <w:tc>
          <w:tcPr>
            <w:tcW w:w="1525" w:type="pct"/>
            <w:shd w:val="clear" w:color="auto" w:fill="auto"/>
            <w:vAlign w:val="center"/>
          </w:tcPr>
          <w:p>
            <w:pPr>
              <w:widowControl/>
              <w:snapToGrid w:val="0"/>
              <w:jc w:val="left"/>
              <w:rPr>
                <w:rFonts w:hint="eastAsia" w:ascii="仿宋_GB2312" w:hAnsi="仿宋_GB2312" w:eastAsia="仿宋_GB2312" w:cs="仿宋_GB2312"/>
                <w:b w:val="0"/>
                <w:bCs w:val="0"/>
                <w:kern w:val="0"/>
                <w:sz w:val="24"/>
                <w:szCs w:val="24"/>
              </w:rPr>
            </w:pPr>
            <w:r>
              <w:rPr>
                <w:rFonts w:hint="eastAsia" w:ascii="仿宋_GB2312" w:hAnsi="仿宋_GB2312" w:eastAsia="仿宋_GB2312" w:cs="仿宋_GB2312"/>
                <w:b w:val="0"/>
                <w:bCs w:val="0"/>
                <w:kern w:val="0"/>
                <w:sz w:val="24"/>
                <w:szCs w:val="24"/>
              </w:rPr>
              <w:t>化工、煤炭清洁高效利用</w:t>
            </w:r>
          </w:p>
        </w:tc>
      </w:tr>
    </w:tbl>
    <w:p>
      <w:pPr>
        <w:pStyle w:val="2"/>
        <w:spacing w:line="578" w:lineRule="atLeast"/>
        <w:jc w:val="center"/>
        <w:rPr>
          <w:rFonts w:ascii="Times New Roman" w:hAnsi="Times New Roman" w:eastAsia="黑体" w:cs="Times New Roman"/>
          <w:b w:val="0"/>
          <w:bCs w:val="0"/>
        </w:rPr>
      </w:pPr>
      <w:bookmarkStart w:id="15" w:name="_Toc4652"/>
      <w:r>
        <w:rPr>
          <w:rFonts w:ascii="Times New Roman" w:hAnsi="Times New Roman" w:eastAsia="黑体" w:cs="Times New Roman"/>
          <w:b w:val="0"/>
          <w:bCs w:val="0"/>
          <w:sz w:val="32"/>
          <w:szCs w:val="32"/>
        </w:rPr>
        <w:t>第四章 重点任务</w:t>
      </w:r>
      <w:bookmarkEnd w:id="15"/>
    </w:p>
    <w:p>
      <w:pPr>
        <w:pStyle w:val="3"/>
        <w:spacing w:before="312" w:beforeLines="100" w:after="312" w:afterLines="100"/>
        <w:rPr>
          <w:rFonts w:ascii="Times New Roman" w:hAnsi="Times New Roman" w:eastAsia="楷体_GB2312"/>
          <w:b w:val="0"/>
          <w:bCs w:val="0"/>
          <w:sz w:val="32"/>
        </w:rPr>
      </w:pPr>
      <w:bookmarkStart w:id="16" w:name="_Toc721"/>
      <w:r>
        <w:rPr>
          <w:rFonts w:ascii="Times New Roman" w:hAnsi="Times New Roman" w:eastAsia="楷体_GB2312"/>
          <w:b w:val="0"/>
          <w:bCs w:val="0"/>
          <w:sz w:val="32"/>
        </w:rPr>
        <w:t>第一节 推动园区发展低碳转型</w:t>
      </w:r>
      <w:bookmarkEnd w:id="16"/>
    </w:p>
    <w:p>
      <w:pPr>
        <w:spacing w:line="560" w:lineRule="exact"/>
        <w:ind w:firstLine="640" w:firstLineChars="200"/>
        <w:rPr>
          <w:rFonts w:ascii="Times New Roman" w:hAnsi="Times New Roman" w:eastAsia="仿宋_GB2312" w:cs="Times New Roman"/>
          <w:sz w:val="32"/>
          <w:szCs w:val="28"/>
        </w:rPr>
      </w:pPr>
      <w:r>
        <w:rPr>
          <w:rFonts w:ascii="Times New Roman" w:hAnsi="Times New Roman" w:eastAsia="仿宋_GB2312" w:cs="Times New Roman"/>
          <w:sz w:val="32"/>
          <w:szCs w:val="28"/>
        </w:rPr>
        <w:t>坚持生态优先、绿色发展，推动鄂尔多斯市能源结构转型，大力发展清洁能源，实施控煤减碳工程，形成以电为中心的能源消费体系，推进清洁生产，加快重点行业和重要领域绿色化改造，加强大宗固废综合利用，在工业园区规划中，要明确配套固废处理设施的相关内容，构建园区循环低碳发展的绿色经济体系。</w:t>
      </w:r>
    </w:p>
    <w:p>
      <w:pPr>
        <w:pStyle w:val="4"/>
        <w:spacing w:before="0" w:after="0" w:line="360" w:lineRule="auto"/>
        <w:ind w:firstLine="640" w:firstLineChars="200"/>
        <w:rPr>
          <w:rStyle w:val="47"/>
          <w:rFonts w:hint="eastAsia" w:ascii="黑体" w:hAnsi="黑体" w:eastAsia="黑体" w:cs="黑体"/>
          <w:b w:val="0"/>
          <w:bCs w:val="0"/>
          <w:color w:val="auto"/>
        </w:rPr>
      </w:pPr>
      <w:r>
        <w:rPr>
          <w:rStyle w:val="47"/>
          <w:rFonts w:hint="eastAsia" w:ascii="黑体" w:hAnsi="黑体" w:eastAsia="黑体" w:cs="黑体"/>
          <w:b w:val="0"/>
          <w:bCs w:val="0"/>
          <w:color w:val="auto"/>
        </w:rPr>
        <w:t>一、推进“两个替代”，探索能源体系碳中和路径</w:t>
      </w:r>
    </w:p>
    <w:p>
      <w:pPr>
        <w:spacing w:line="560" w:lineRule="exact"/>
        <w:ind w:firstLine="640" w:firstLineChars="200"/>
        <w:rPr>
          <w:rFonts w:hint="eastAsia" w:ascii="方正楷体_GBK" w:hAnsi="方正楷体_GBK" w:eastAsia="方正楷体_GBK" w:cs="方正楷体_GBK"/>
          <w:bCs/>
          <w:sz w:val="32"/>
          <w:szCs w:val="28"/>
        </w:rPr>
      </w:pPr>
      <w:r>
        <w:rPr>
          <w:rFonts w:hint="eastAsia" w:ascii="方正楷体_GBK" w:hAnsi="方正楷体_GBK" w:eastAsia="方正楷体_GBK" w:cs="方正楷体_GBK"/>
          <w:bCs/>
          <w:sz w:val="32"/>
          <w:szCs w:val="28"/>
        </w:rPr>
        <w:t>（一）以“清洁替代”加快能源生产减碳</w:t>
      </w:r>
    </w:p>
    <w:p>
      <w:pPr>
        <w:spacing w:line="560" w:lineRule="exact"/>
        <w:ind w:firstLine="640" w:firstLineChars="200"/>
        <w:rPr>
          <w:rFonts w:ascii="Times New Roman" w:hAnsi="Times New Roman" w:eastAsia="仿宋_GB2312" w:cs="Times New Roman"/>
          <w:sz w:val="32"/>
          <w:szCs w:val="28"/>
        </w:rPr>
      </w:pPr>
      <w:r>
        <w:rPr>
          <w:rFonts w:ascii="Times New Roman" w:hAnsi="Times New Roman" w:eastAsia="仿宋_GB2312" w:cs="Times New Roman"/>
          <w:sz w:val="32"/>
          <w:szCs w:val="28"/>
        </w:rPr>
        <w:t>坚持集中式和分布式开发并举，依托杭锦旗、伊金霍洛旗、鄂托克旗、准格尔旗等丰富的太阳能、风能资源，加快推进鄂尔多斯千万千瓦级新能源基地建设，形成清洁能源为主的能源供应体系，实现以太阳能、风能等清洁能源替代化石能源发电。</w:t>
      </w:r>
    </w:p>
    <w:p>
      <w:pPr>
        <w:spacing w:line="560" w:lineRule="exact"/>
        <w:ind w:firstLine="640" w:firstLineChars="200"/>
        <w:rPr>
          <w:rFonts w:ascii="Times New Roman" w:hAnsi="Times New Roman" w:eastAsia="仿宋_GB2312" w:cs="Times New Roman"/>
          <w:sz w:val="32"/>
          <w:szCs w:val="28"/>
        </w:rPr>
      </w:pPr>
      <w:r>
        <w:rPr>
          <w:rFonts w:ascii="Times New Roman" w:hAnsi="Times New Roman" w:eastAsia="仿宋_GB2312" w:cs="Times New Roman"/>
          <w:sz w:val="32"/>
          <w:szCs w:val="28"/>
        </w:rPr>
        <w:t>适度稳妥推进大路工业园区、蒙苏经济开发区等园区煤制油气战略基地建设，建立产能和技术储备，保障能源安全。</w:t>
      </w:r>
    </w:p>
    <w:p>
      <w:pPr>
        <w:spacing w:line="560" w:lineRule="exact"/>
        <w:ind w:firstLine="640" w:firstLineChars="200"/>
        <w:rPr>
          <w:rFonts w:hint="eastAsia" w:ascii="方正楷体_GBK" w:hAnsi="方正楷体_GBK" w:eastAsia="方正楷体_GBK" w:cs="方正楷体_GBK"/>
          <w:bCs/>
          <w:sz w:val="32"/>
          <w:szCs w:val="28"/>
        </w:rPr>
      </w:pPr>
      <w:r>
        <w:rPr>
          <w:rFonts w:hint="eastAsia" w:ascii="方正楷体_GBK" w:hAnsi="方正楷体_GBK" w:eastAsia="方正楷体_GBK" w:cs="方正楷体_GBK"/>
          <w:bCs/>
          <w:sz w:val="32"/>
          <w:szCs w:val="28"/>
        </w:rPr>
        <w:t>（二）以“电能替代”加快能源消费减碳</w:t>
      </w:r>
    </w:p>
    <w:p>
      <w:pPr>
        <w:spacing w:line="560" w:lineRule="exact"/>
        <w:ind w:firstLine="640" w:firstLineChars="200"/>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实施工业园区可再生能源替代行动，推进绿电进园区、进企业、进矿区。鼓励园区积极向国家能源局华北监管局申请增量配电业务改革试点，构建发</w:t>
      </w:r>
      <w:r>
        <w:rPr>
          <w:rFonts w:hint="eastAsia" w:ascii="仿宋_GB2312" w:hAnsi="仿宋_GB2312" w:eastAsia="仿宋_GB2312" w:cs="仿宋_GB2312"/>
          <w:sz w:val="32"/>
          <w:szCs w:val="28"/>
          <w:lang w:eastAsia="zh-CN"/>
        </w:rPr>
        <w:t>—</w:t>
      </w:r>
      <w:r>
        <w:rPr>
          <w:rFonts w:hint="eastAsia" w:ascii="仿宋_GB2312" w:hAnsi="仿宋_GB2312" w:eastAsia="仿宋_GB2312" w:cs="仿宋_GB2312"/>
          <w:sz w:val="32"/>
          <w:szCs w:val="28"/>
        </w:rPr>
        <w:t>输</w:t>
      </w:r>
      <w:r>
        <w:rPr>
          <w:rFonts w:hint="eastAsia" w:ascii="仿宋_GB2312" w:hAnsi="仿宋_GB2312" w:eastAsia="仿宋_GB2312" w:cs="仿宋_GB2312"/>
          <w:sz w:val="32"/>
          <w:szCs w:val="28"/>
          <w:lang w:eastAsia="zh-CN"/>
        </w:rPr>
        <w:t>—</w:t>
      </w:r>
      <w:r>
        <w:rPr>
          <w:rFonts w:hint="eastAsia" w:ascii="仿宋_GB2312" w:hAnsi="仿宋_GB2312" w:eastAsia="仿宋_GB2312" w:cs="仿宋_GB2312"/>
          <w:sz w:val="32"/>
          <w:szCs w:val="28"/>
        </w:rPr>
        <w:t>配</w:t>
      </w:r>
      <w:r>
        <w:rPr>
          <w:rFonts w:hint="eastAsia" w:ascii="仿宋_GB2312" w:hAnsi="仿宋_GB2312" w:eastAsia="仿宋_GB2312" w:cs="仿宋_GB2312"/>
          <w:sz w:val="32"/>
          <w:szCs w:val="28"/>
          <w:lang w:eastAsia="zh-CN"/>
        </w:rPr>
        <w:t>—</w:t>
      </w:r>
      <w:r>
        <w:rPr>
          <w:rFonts w:hint="eastAsia" w:ascii="仿宋_GB2312" w:hAnsi="仿宋_GB2312" w:eastAsia="仿宋_GB2312" w:cs="仿宋_GB2312"/>
          <w:sz w:val="32"/>
          <w:szCs w:val="28"/>
        </w:rPr>
        <w:t>用全覆盖的环形电网结构，提升用电保障，降低用电成本。支持园区、大型工业企业建设绿色微电网，优先利用可再生能源，加快形成电为中心的能源消费体系，加快推动以电代煤、以电代油、以电代气。</w:t>
      </w:r>
    </w:p>
    <w:p>
      <w:pPr>
        <w:spacing w:line="560" w:lineRule="exact"/>
        <w:ind w:firstLine="640" w:firstLineChars="200"/>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探索建立工业园区“能源碳效码”，将园区碳效水平纳入园区升级、考核、评比、资金补助的前置条件，撬动园区参与“碳减排”活力。</w:t>
      </w:r>
    </w:p>
    <w:p>
      <w:pPr>
        <w:pStyle w:val="4"/>
        <w:spacing w:before="0" w:after="0" w:line="360" w:lineRule="auto"/>
        <w:ind w:firstLine="640" w:firstLineChars="200"/>
        <w:rPr>
          <w:rStyle w:val="47"/>
          <w:rFonts w:hint="eastAsia" w:ascii="黑体" w:hAnsi="黑体" w:eastAsia="黑体" w:cs="黑体"/>
          <w:b w:val="0"/>
          <w:bCs w:val="0"/>
          <w:color w:val="auto"/>
        </w:rPr>
      </w:pPr>
      <w:bookmarkStart w:id="17" w:name="_Toc29754709"/>
      <w:bookmarkStart w:id="18" w:name="_Toc29814752"/>
      <w:r>
        <w:rPr>
          <w:rStyle w:val="47"/>
          <w:rFonts w:hint="eastAsia" w:ascii="黑体" w:hAnsi="黑体" w:eastAsia="黑体" w:cs="黑体"/>
          <w:b w:val="0"/>
          <w:bCs w:val="0"/>
          <w:color w:val="auto"/>
        </w:rPr>
        <w:t>二、</w:t>
      </w:r>
      <w:bookmarkEnd w:id="17"/>
      <w:bookmarkEnd w:id="18"/>
      <w:r>
        <w:rPr>
          <w:rStyle w:val="47"/>
          <w:rFonts w:hint="eastAsia" w:ascii="黑体" w:hAnsi="黑体" w:eastAsia="黑体" w:cs="黑体"/>
          <w:b w:val="0"/>
          <w:bCs w:val="0"/>
          <w:color w:val="auto"/>
        </w:rPr>
        <w:t>坚持“两个优先”，加快建设绿色工业体系</w:t>
      </w:r>
    </w:p>
    <w:p>
      <w:pPr>
        <w:spacing w:line="560" w:lineRule="exact"/>
        <w:ind w:firstLine="640" w:firstLineChars="200"/>
        <w:rPr>
          <w:rFonts w:ascii="Times New Roman" w:hAnsi="Times New Roman" w:eastAsia="楷体_GB2312" w:cs="Times New Roman"/>
          <w:bCs/>
          <w:sz w:val="32"/>
          <w:szCs w:val="28"/>
        </w:rPr>
      </w:pPr>
      <w:r>
        <w:rPr>
          <w:rFonts w:ascii="Times New Roman" w:hAnsi="Times New Roman" w:eastAsia="楷体_GB2312" w:cs="Times New Roman"/>
          <w:bCs/>
          <w:sz w:val="32"/>
          <w:szCs w:val="28"/>
        </w:rPr>
        <w:t>（一）坚持绿色优先，加快绿色园区建设</w:t>
      </w:r>
    </w:p>
    <w:p>
      <w:pPr>
        <w:spacing w:line="560" w:lineRule="exact"/>
        <w:ind w:firstLine="640" w:firstLineChars="200"/>
        <w:rPr>
          <w:rFonts w:hint="eastAsia" w:ascii="仿宋_GB2312" w:hAnsi="仿宋_GB2312" w:eastAsia="仿宋_GB2312" w:cs="仿宋_GB2312"/>
          <w:bCs/>
          <w:sz w:val="32"/>
          <w:szCs w:val="28"/>
        </w:rPr>
      </w:pPr>
      <w:r>
        <w:rPr>
          <w:rFonts w:hint="eastAsia" w:ascii="仿宋_GB2312" w:hAnsi="仿宋_GB2312" w:eastAsia="仿宋_GB2312" w:cs="仿宋_GB2312"/>
          <w:bCs/>
          <w:sz w:val="32"/>
          <w:szCs w:val="28"/>
        </w:rPr>
        <w:t>1.严格园区准入标准</w:t>
      </w:r>
    </w:p>
    <w:p>
      <w:pPr>
        <w:spacing w:line="560" w:lineRule="exact"/>
        <w:ind w:firstLine="640" w:firstLineChars="200"/>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尽快制定全市工业园区绿色发展综合评价考核管理办法，严格执行《关于确保完成“十四五”能耗双控目标任务若干保障措施》《关于加强全区高耗能、高排放项目准入管理的意见》，强化源头管控，对不符合产业政策、产业定位、未落实用能指标的高耗能项目，不予立项。强化落实监测预警和应急调控，落实能耗双控监测预警和会商调度机制，加强重点用能单位能耗在线监测系统建设及应用。健全能耗双控管理体制机制，加强节能监察队伍和能力建设。</w:t>
      </w:r>
    </w:p>
    <w:p>
      <w:pPr>
        <w:spacing w:line="560" w:lineRule="exact"/>
        <w:ind w:firstLine="640" w:firstLineChars="200"/>
        <w:rPr>
          <w:rFonts w:hint="eastAsia" w:ascii="仿宋_GB2312" w:hAnsi="仿宋_GB2312" w:eastAsia="仿宋_GB2312" w:cs="仿宋_GB2312"/>
          <w:bCs/>
          <w:sz w:val="32"/>
          <w:szCs w:val="28"/>
        </w:rPr>
      </w:pPr>
      <w:r>
        <w:rPr>
          <w:rFonts w:hint="eastAsia" w:ascii="仿宋_GB2312" w:hAnsi="仿宋_GB2312" w:eastAsia="仿宋_GB2312" w:cs="仿宋_GB2312"/>
          <w:bCs/>
          <w:sz w:val="32"/>
          <w:szCs w:val="28"/>
        </w:rPr>
        <w:t>2.提升园区用能效率</w:t>
      </w:r>
    </w:p>
    <w:p>
      <w:pPr>
        <w:spacing w:line="560" w:lineRule="exact"/>
        <w:ind w:firstLine="640" w:firstLineChars="200"/>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坚持“以热定电”“热电联产”和“以热为主”的原则，就近并网、就地平衡，以减少电力线路损耗。建设园区级能源“动力岛”，实现清洁与传统能源高效耦合，按时、按需、按质向厂区供能。统一建设供热管网和供电线路及设施，进行热电一体化设计、建设和输送，降低企业用电和用热成本。</w:t>
      </w:r>
    </w:p>
    <w:p>
      <w:pPr>
        <w:spacing w:line="560" w:lineRule="exact"/>
        <w:ind w:firstLine="640" w:firstLineChars="200"/>
        <w:rPr>
          <w:rFonts w:hint="eastAsia" w:ascii="仿宋_GB2312" w:hAnsi="仿宋_GB2312" w:eastAsia="仿宋_GB2312" w:cs="仿宋_GB2312"/>
          <w:bCs/>
          <w:sz w:val="32"/>
          <w:szCs w:val="28"/>
        </w:rPr>
      </w:pPr>
      <w:r>
        <w:rPr>
          <w:rFonts w:hint="eastAsia" w:ascii="仿宋_GB2312" w:hAnsi="仿宋_GB2312" w:eastAsia="仿宋_GB2312" w:cs="仿宋_GB2312"/>
          <w:bCs/>
          <w:sz w:val="32"/>
          <w:szCs w:val="28"/>
        </w:rPr>
        <w:t>3.构建绿色生产体系</w:t>
      </w:r>
    </w:p>
    <w:p>
      <w:pPr>
        <w:spacing w:line="560" w:lineRule="exact"/>
        <w:ind w:firstLine="640" w:firstLineChars="200"/>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严格落实能耗“双控”机制，努力降低生产过程中的资源能源消耗和污染产生量，大力推广应用节能新技术、新产品、新设备和新工艺。以企业为主体，以标准为引领，以绿色产品、绿色工厂、绿色工业园区、绿色供应链为重点，以绿色制造服务平台为支撑，推行绿色管理和认证，加强示范引导，全面推进园区绿色制造体系建设。</w:t>
      </w:r>
    </w:p>
    <w:p>
      <w:pPr>
        <w:spacing w:line="560" w:lineRule="exact"/>
        <w:ind w:firstLine="640" w:firstLineChars="200"/>
        <w:rPr>
          <w:rFonts w:hint="eastAsia" w:ascii="楷体_GB2312" w:hAnsi="楷体_GB2312" w:eastAsia="楷体_GB2312" w:cs="楷体_GB2312"/>
          <w:sz w:val="32"/>
          <w:szCs w:val="28"/>
        </w:rPr>
      </w:pPr>
      <w:r>
        <w:rPr>
          <w:rFonts w:hint="eastAsia" w:ascii="楷体_GB2312" w:hAnsi="楷体_GB2312" w:eastAsia="楷体_GB2312" w:cs="楷体_GB2312"/>
          <w:sz w:val="32"/>
          <w:szCs w:val="28"/>
        </w:rPr>
        <w:t>（二）坚持效益优先，强化“亩均论英雄”</w:t>
      </w:r>
    </w:p>
    <w:p>
      <w:pPr>
        <w:spacing w:line="560" w:lineRule="exact"/>
        <w:ind w:firstLine="640" w:firstLineChars="200"/>
        <w:rPr>
          <w:rFonts w:hint="eastAsia" w:ascii="仿宋_GB2312" w:hAnsi="仿宋_GB2312" w:eastAsia="仿宋_GB2312" w:cs="仿宋_GB2312"/>
          <w:sz w:val="32"/>
          <w:szCs w:val="28"/>
        </w:rPr>
      </w:pPr>
      <w:r>
        <w:rPr>
          <w:rFonts w:hint="eastAsia" w:ascii="仿宋_GB2312" w:hAnsi="仿宋_GB2312" w:eastAsia="仿宋_GB2312" w:cs="仿宋_GB2312"/>
          <w:bCs/>
          <w:sz w:val="32"/>
          <w:szCs w:val="28"/>
        </w:rPr>
        <w:t>提升土地利用效率。</w:t>
      </w:r>
      <w:r>
        <w:rPr>
          <w:rFonts w:hint="eastAsia" w:ascii="仿宋_GB2312" w:hAnsi="仿宋_GB2312" w:eastAsia="仿宋_GB2312" w:cs="仿宋_GB2312"/>
          <w:sz w:val="32"/>
          <w:szCs w:val="28"/>
        </w:rPr>
        <w:t>统一规划各园区产业布局，建立入园企业建设规划审查和用地监管制度，实施项目建设双向约束制度。通过土地整治、增减挂钩等方式进一步盘活用好存量土地。建立健全园区“腾笼换鸟”机制，提高土地投资强度和产出效益。加快探索新型产业混合供地用地模式，实施精准征地、精准供地。建立土地使用退出机制。</w:t>
      </w:r>
    </w:p>
    <w:p>
      <w:pPr>
        <w:spacing w:line="560" w:lineRule="exact"/>
        <w:ind w:firstLine="640" w:firstLineChars="200"/>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探索制定《鄂尔多斯市工业企业综合评价分类实施办法》，按照“亩均税收”“亩均销售”“全员劳动生产率”“研发经费占销售的比重”“单位能耗增加值”等指标对园区企业实行ABCD分类评级，并根据评级结果实施差别化污水处理费、气价、电价政策，通过市场和行政相结合的手段，采取正向激励、反向倒逼的机制，引导工业企业加大技术改造，提高质量和效益，推动土地、用能、排污权等资源要素向优质企业集聚，整治淘汰低效低端产业。</w:t>
      </w:r>
    </w:p>
    <w:p>
      <w:pPr>
        <w:spacing w:line="560" w:lineRule="exact"/>
        <w:ind w:firstLine="560" w:firstLineChars="200"/>
        <w:jc w:val="center"/>
        <w:rPr>
          <w:rFonts w:hint="eastAsia" w:ascii="黑体" w:hAnsi="黑体" w:eastAsia="黑体" w:cs="黑体"/>
          <w:sz w:val="28"/>
          <w:szCs w:val="28"/>
        </w:rPr>
      </w:pPr>
      <w:r>
        <w:rPr>
          <w:rFonts w:hint="eastAsia" w:ascii="黑体" w:hAnsi="黑体" w:eastAsia="黑体" w:cs="黑体"/>
          <w:sz w:val="28"/>
          <w:szCs w:val="28"/>
        </w:rPr>
        <w:t>专栏4-1长三角地区某市工业企业综合评价差别化政策</w:t>
      </w:r>
    </w:p>
    <w:tbl>
      <w:tblPr>
        <w:tblStyle w:val="24"/>
        <w:tblW w:w="0" w:type="auto"/>
        <w:tblInd w:w="5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27"/>
        <w:gridCol w:w="75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27" w:type="dxa"/>
            <w:vAlign w:val="center"/>
          </w:tcPr>
          <w:p>
            <w:pPr>
              <w:snapToGrid w:val="0"/>
              <w:spacing w:line="440" w:lineRule="exact"/>
              <w:jc w:val="center"/>
              <w:rPr>
                <w:rFonts w:hint="eastAsia" w:ascii="仿宋_GB2312" w:hAnsi="仿宋_GB2312" w:eastAsia="仿宋_GB2312" w:cs="仿宋_GB2312"/>
                <w:sz w:val="24"/>
                <w:szCs w:val="28"/>
              </w:rPr>
            </w:pPr>
            <w:r>
              <w:rPr>
                <w:rFonts w:hint="eastAsia" w:ascii="仿宋_GB2312" w:hAnsi="仿宋_GB2312" w:eastAsia="仿宋_GB2312" w:cs="仿宋_GB2312"/>
                <w:sz w:val="24"/>
                <w:szCs w:val="28"/>
              </w:rPr>
              <w:t>A类企业</w:t>
            </w:r>
          </w:p>
        </w:tc>
        <w:tc>
          <w:tcPr>
            <w:tcW w:w="7508" w:type="dxa"/>
            <w:vAlign w:val="center"/>
          </w:tcPr>
          <w:p>
            <w:pPr>
              <w:snapToGrid w:val="0"/>
              <w:spacing w:line="440" w:lineRule="exact"/>
              <w:ind w:firstLine="480" w:firstLineChars="200"/>
              <w:rPr>
                <w:rFonts w:hint="eastAsia" w:ascii="仿宋_GB2312" w:hAnsi="仿宋_GB2312" w:eastAsia="仿宋_GB2312" w:cs="仿宋_GB2312"/>
                <w:sz w:val="24"/>
                <w:szCs w:val="28"/>
              </w:rPr>
            </w:pPr>
            <w:r>
              <w:rPr>
                <w:rFonts w:hint="eastAsia" w:ascii="仿宋_GB2312" w:hAnsi="仿宋_GB2312" w:eastAsia="仿宋_GB2312" w:cs="仿宋_GB2312"/>
                <w:sz w:val="24"/>
                <w:szCs w:val="28"/>
              </w:rPr>
              <w:t>各级各类财政扶持政策向A类企业倾斜，优先支持企业申报国家、省、市试点示范项目、领军企业、品牌目录等，优先支持建设企业技术中心、重点企业研究院、工业品牌企业等，优先推荐企业负责人参加各级各类先进评选，优先进行项目核准备案；</w:t>
            </w:r>
          </w:p>
          <w:p>
            <w:pPr>
              <w:snapToGrid w:val="0"/>
              <w:spacing w:line="440" w:lineRule="exact"/>
              <w:ind w:firstLine="480" w:firstLineChars="200"/>
              <w:rPr>
                <w:rFonts w:hint="eastAsia" w:ascii="仿宋_GB2312" w:hAnsi="仿宋_GB2312" w:eastAsia="仿宋_GB2312" w:cs="仿宋_GB2312"/>
                <w:sz w:val="24"/>
                <w:szCs w:val="28"/>
              </w:rPr>
            </w:pPr>
            <w:r>
              <w:rPr>
                <w:rFonts w:hint="eastAsia" w:ascii="仿宋_GB2312" w:hAnsi="仿宋_GB2312" w:eastAsia="仿宋_GB2312" w:cs="仿宋_GB2312"/>
                <w:sz w:val="24"/>
                <w:szCs w:val="28"/>
              </w:rPr>
              <w:t>支持对落后淘汰企业实施兼并重组；</w:t>
            </w:r>
          </w:p>
          <w:p>
            <w:pPr>
              <w:snapToGrid w:val="0"/>
              <w:spacing w:line="440" w:lineRule="exact"/>
              <w:ind w:firstLine="480" w:firstLineChars="200"/>
              <w:rPr>
                <w:rFonts w:hint="eastAsia" w:ascii="仿宋_GB2312" w:hAnsi="仿宋_GB2312" w:eastAsia="仿宋_GB2312" w:cs="仿宋_GB2312"/>
                <w:sz w:val="24"/>
                <w:szCs w:val="28"/>
              </w:rPr>
            </w:pPr>
            <w:r>
              <w:rPr>
                <w:rFonts w:hint="eastAsia" w:ascii="仿宋_GB2312" w:hAnsi="仿宋_GB2312" w:eastAsia="仿宋_GB2312" w:cs="仿宋_GB2312"/>
                <w:sz w:val="24"/>
                <w:szCs w:val="28"/>
              </w:rPr>
              <w:t>优先保障用地、用电、用能、排放等方面需求；</w:t>
            </w:r>
          </w:p>
          <w:p>
            <w:pPr>
              <w:snapToGrid w:val="0"/>
              <w:spacing w:line="440" w:lineRule="exact"/>
              <w:ind w:firstLine="480" w:firstLineChars="200"/>
              <w:rPr>
                <w:rFonts w:hint="eastAsia" w:ascii="仿宋_GB2312" w:hAnsi="仿宋_GB2312" w:eastAsia="仿宋_GB2312" w:cs="仿宋_GB2312"/>
                <w:sz w:val="24"/>
                <w:szCs w:val="28"/>
              </w:rPr>
            </w:pPr>
            <w:r>
              <w:rPr>
                <w:rFonts w:hint="eastAsia" w:ascii="仿宋_GB2312" w:hAnsi="仿宋_GB2312" w:eastAsia="仿宋_GB2312" w:cs="仿宋_GB2312"/>
                <w:sz w:val="24"/>
                <w:szCs w:val="28"/>
              </w:rPr>
              <w:t>建立定点联系制度，实施精准对接、精准服务，协调解决企业发展中的困难和问题。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27" w:type="dxa"/>
            <w:vAlign w:val="center"/>
          </w:tcPr>
          <w:p>
            <w:pPr>
              <w:snapToGrid w:val="0"/>
              <w:spacing w:line="440" w:lineRule="exact"/>
              <w:jc w:val="center"/>
              <w:rPr>
                <w:rFonts w:hint="eastAsia" w:ascii="仿宋_GB2312" w:hAnsi="仿宋_GB2312" w:eastAsia="仿宋_GB2312" w:cs="仿宋_GB2312"/>
                <w:sz w:val="24"/>
                <w:szCs w:val="28"/>
              </w:rPr>
            </w:pPr>
            <w:r>
              <w:rPr>
                <w:rFonts w:hint="eastAsia" w:ascii="仿宋_GB2312" w:hAnsi="仿宋_GB2312" w:eastAsia="仿宋_GB2312" w:cs="仿宋_GB2312"/>
                <w:sz w:val="24"/>
                <w:szCs w:val="28"/>
              </w:rPr>
              <w:t>B类企业</w:t>
            </w:r>
          </w:p>
        </w:tc>
        <w:tc>
          <w:tcPr>
            <w:tcW w:w="7508" w:type="dxa"/>
            <w:vAlign w:val="center"/>
          </w:tcPr>
          <w:p>
            <w:pPr>
              <w:snapToGrid w:val="0"/>
              <w:spacing w:line="440" w:lineRule="exact"/>
              <w:ind w:firstLine="480" w:firstLineChars="200"/>
              <w:rPr>
                <w:rFonts w:hint="eastAsia" w:ascii="仿宋_GB2312" w:hAnsi="仿宋_GB2312" w:eastAsia="仿宋_GB2312" w:cs="仿宋_GB2312"/>
                <w:sz w:val="24"/>
                <w:szCs w:val="28"/>
              </w:rPr>
            </w:pPr>
            <w:r>
              <w:rPr>
                <w:rFonts w:hint="eastAsia" w:ascii="仿宋_GB2312" w:hAnsi="仿宋_GB2312" w:eastAsia="仿宋_GB2312" w:cs="仿宋_GB2312"/>
                <w:sz w:val="24"/>
                <w:szCs w:val="28"/>
              </w:rPr>
              <w:t>在资金信贷、有序用电、人才引进、品牌建设、技术创新、技术改造等方面给予合理支持；</w:t>
            </w:r>
          </w:p>
          <w:p>
            <w:pPr>
              <w:snapToGrid w:val="0"/>
              <w:spacing w:line="440" w:lineRule="exact"/>
              <w:ind w:firstLine="480" w:firstLineChars="200"/>
              <w:rPr>
                <w:rFonts w:hint="eastAsia" w:ascii="仿宋_GB2312" w:hAnsi="仿宋_GB2312" w:eastAsia="仿宋_GB2312" w:cs="仿宋_GB2312"/>
                <w:sz w:val="24"/>
                <w:szCs w:val="28"/>
              </w:rPr>
            </w:pPr>
            <w:r>
              <w:rPr>
                <w:rFonts w:hint="eastAsia" w:ascii="仿宋_GB2312" w:hAnsi="仿宋_GB2312" w:eastAsia="仿宋_GB2312" w:cs="仿宋_GB2312"/>
                <w:sz w:val="24"/>
                <w:szCs w:val="28"/>
              </w:rPr>
              <w:t>推荐享受城镇土地使用税差别化减免政策。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27" w:type="dxa"/>
            <w:vAlign w:val="center"/>
          </w:tcPr>
          <w:p>
            <w:pPr>
              <w:snapToGrid w:val="0"/>
              <w:spacing w:line="440" w:lineRule="exact"/>
              <w:jc w:val="center"/>
              <w:rPr>
                <w:rFonts w:hint="eastAsia" w:ascii="仿宋_GB2312" w:hAnsi="仿宋_GB2312" w:eastAsia="仿宋_GB2312" w:cs="仿宋_GB2312"/>
                <w:sz w:val="24"/>
                <w:szCs w:val="28"/>
              </w:rPr>
            </w:pPr>
            <w:r>
              <w:rPr>
                <w:rFonts w:hint="eastAsia" w:ascii="仿宋_GB2312" w:hAnsi="仿宋_GB2312" w:eastAsia="仿宋_GB2312" w:cs="仿宋_GB2312"/>
                <w:sz w:val="24"/>
                <w:szCs w:val="28"/>
              </w:rPr>
              <w:t>C类企业</w:t>
            </w:r>
          </w:p>
        </w:tc>
        <w:tc>
          <w:tcPr>
            <w:tcW w:w="7508" w:type="dxa"/>
            <w:vAlign w:val="center"/>
          </w:tcPr>
          <w:p>
            <w:pPr>
              <w:snapToGrid w:val="0"/>
              <w:spacing w:line="440" w:lineRule="exact"/>
              <w:ind w:firstLine="480" w:firstLineChars="200"/>
              <w:rPr>
                <w:rFonts w:hint="eastAsia" w:ascii="仿宋_GB2312" w:hAnsi="仿宋_GB2312" w:eastAsia="仿宋_GB2312" w:cs="仿宋_GB2312"/>
                <w:sz w:val="24"/>
                <w:szCs w:val="28"/>
              </w:rPr>
            </w:pPr>
            <w:r>
              <w:rPr>
                <w:rFonts w:hint="eastAsia" w:ascii="仿宋_GB2312" w:hAnsi="仿宋_GB2312" w:eastAsia="仿宋_GB2312" w:cs="仿宋_GB2312"/>
                <w:sz w:val="24"/>
                <w:szCs w:val="28"/>
              </w:rPr>
              <w:t>指导企业制定落实整改提升方案；</w:t>
            </w:r>
          </w:p>
          <w:p>
            <w:pPr>
              <w:snapToGrid w:val="0"/>
              <w:spacing w:line="440" w:lineRule="exact"/>
              <w:ind w:firstLine="480" w:firstLineChars="200"/>
              <w:rPr>
                <w:rFonts w:hint="eastAsia" w:ascii="仿宋_GB2312" w:hAnsi="仿宋_GB2312" w:eastAsia="仿宋_GB2312" w:cs="仿宋_GB2312"/>
                <w:sz w:val="24"/>
                <w:szCs w:val="28"/>
              </w:rPr>
            </w:pPr>
            <w:r>
              <w:rPr>
                <w:rFonts w:hint="eastAsia" w:ascii="仿宋_GB2312" w:hAnsi="仿宋_GB2312" w:eastAsia="仿宋_GB2312" w:cs="仿宋_GB2312"/>
                <w:sz w:val="24"/>
                <w:szCs w:val="28"/>
              </w:rPr>
              <w:t>不予核准和审批新的投资项目（转型升级项目除外）；</w:t>
            </w:r>
          </w:p>
          <w:p>
            <w:pPr>
              <w:snapToGrid w:val="0"/>
              <w:spacing w:line="440" w:lineRule="exact"/>
              <w:ind w:firstLine="480" w:firstLineChars="200"/>
              <w:rPr>
                <w:rFonts w:hint="eastAsia" w:ascii="仿宋_GB2312" w:hAnsi="仿宋_GB2312" w:eastAsia="仿宋_GB2312" w:cs="仿宋_GB2312"/>
                <w:sz w:val="24"/>
                <w:szCs w:val="28"/>
              </w:rPr>
            </w:pPr>
            <w:r>
              <w:rPr>
                <w:rFonts w:hint="eastAsia" w:ascii="仿宋_GB2312" w:hAnsi="仿宋_GB2312" w:eastAsia="仿宋_GB2312" w:cs="仿宋_GB2312"/>
                <w:sz w:val="24"/>
                <w:szCs w:val="28"/>
              </w:rPr>
              <w:t>实施差别电价政策，在现有电价基础上加价；</w:t>
            </w:r>
          </w:p>
          <w:p>
            <w:pPr>
              <w:snapToGrid w:val="0"/>
              <w:spacing w:line="440" w:lineRule="exact"/>
              <w:ind w:firstLine="480" w:firstLineChars="200"/>
              <w:rPr>
                <w:rFonts w:hint="eastAsia" w:ascii="仿宋_GB2312" w:hAnsi="仿宋_GB2312" w:eastAsia="仿宋_GB2312" w:cs="仿宋_GB2312"/>
                <w:sz w:val="24"/>
                <w:szCs w:val="28"/>
              </w:rPr>
            </w:pPr>
            <w:r>
              <w:rPr>
                <w:rFonts w:hint="eastAsia" w:ascii="仿宋_GB2312" w:hAnsi="仿宋_GB2312" w:eastAsia="仿宋_GB2312" w:cs="仿宋_GB2312"/>
                <w:sz w:val="24"/>
                <w:szCs w:val="28"/>
              </w:rPr>
              <w:t>实施有序用电和节能管理时，作为首要限电对象；</w:t>
            </w:r>
          </w:p>
          <w:p>
            <w:pPr>
              <w:snapToGrid w:val="0"/>
              <w:spacing w:line="440" w:lineRule="exact"/>
              <w:ind w:firstLine="480" w:firstLineChars="200"/>
              <w:rPr>
                <w:rFonts w:hint="eastAsia" w:ascii="仿宋_GB2312" w:hAnsi="仿宋_GB2312" w:eastAsia="仿宋_GB2312" w:cs="仿宋_GB2312"/>
                <w:sz w:val="24"/>
                <w:szCs w:val="28"/>
              </w:rPr>
            </w:pPr>
            <w:r>
              <w:rPr>
                <w:rFonts w:hint="eastAsia" w:ascii="仿宋_GB2312" w:hAnsi="仿宋_GB2312" w:eastAsia="仿宋_GB2312" w:cs="仿宋_GB2312"/>
                <w:sz w:val="24"/>
                <w:szCs w:val="28"/>
              </w:rPr>
              <w:t>不得申报各类项目补助及享受有关财政优惠政策；</w:t>
            </w:r>
          </w:p>
          <w:p>
            <w:pPr>
              <w:snapToGrid w:val="0"/>
              <w:spacing w:line="440" w:lineRule="exact"/>
              <w:ind w:firstLine="480" w:firstLineChars="200"/>
              <w:rPr>
                <w:rFonts w:hint="eastAsia" w:ascii="仿宋_GB2312" w:hAnsi="仿宋_GB2312" w:eastAsia="仿宋_GB2312" w:cs="仿宋_GB2312"/>
                <w:sz w:val="24"/>
                <w:szCs w:val="28"/>
              </w:rPr>
            </w:pPr>
            <w:r>
              <w:rPr>
                <w:rFonts w:hint="eastAsia" w:ascii="仿宋_GB2312" w:hAnsi="仿宋_GB2312" w:eastAsia="仿宋_GB2312" w:cs="仿宋_GB2312"/>
                <w:sz w:val="24"/>
                <w:szCs w:val="28"/>
              </w:rPr>
              <w:t>定期进行执法检查，严格各类违法违规行为的处罚；</w:t>
            </w:r>
          </w:p>
          <w:p>
            <w:pPr>
              <w:snapToGrid w:val="0"/>
              <w:spacing w:line="440" w:lineRule="exact"/>
              <w:ind w:firstLine="480" w:firstLineChars="200"/>
              <w:rPr>
                <w:rFonts w:hint="eastAsia" w:ascii="仿宋_GB2312" w:hAnsi="仿宋_GB2312" w:eastAsia="仿宋_GB2312" w:cs="仿宋_GB2312"/>
                <w:sz w:val="24"/>
                <w:szCs w:val="28"/>
              </w:rPr>
            </w:pPr>
            <w:r>
              <w:rPr>
                <w:rFonts w:hint="eastAsia" w:ascii="仿宋_GB2312" w:hAnsi="仿宋_GB2312" w:eastAsia="仿宋_GB2312" w:cs="仿宋_GB2312"/>
                <w:sz w:val="24"/>
                <w:szCs w:val="28"/>
              </w:rPr>
              <w:t>定期对企业负责人进行约谈，并按照“一企一方案”原则对企业提出整治提升意见，对无法达到提升要求的企业采取强制淘汰退出。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27" w:type="dxa"/>
            <w:vAlign w:val="center"/>
          </w:tcPr>
          <w:p>
            <w:pPr>
              <w:snapToGrid w:val="0"/>
              <w:spacing w:line="440" w:lineRule="exact"/>
              <w:jc w:val="center"/>
              <w:rPr>
                <w:rFonts w:hint="eastAsia" w:ascii="仿宋_GB2312" w:hAnsi="仿宋_GB2312" w:eastAsia="仿宋_GB2312" w:cs="仿宋_GB2312"/>
                <w:sz w:val="24"/>
                <w:szCs w:val="28"/>
              </w:rPr>
            </w:pPr>
            <w:r>
              <w:rPr>
                <w:rFonts w:hint="eastAsia" w:ascii="仿宋_GB2312" w:hAnsi="仿宋_GB2312" w:eastAsia="仿宋_GB2312" w:cs="仿宋_GB2312"/>
                <w:sz w:val="24"/>
                <w:szCs w:val="28"/>
              </w:rPr>
              <w:t>D类企业</w:t>
            </w:r>
          </w:p>
        </w:tc>
        <w:tc>
          <w:tcPr>
            <w:tcW w:w="7508" w:type="dxa"/>
            <w:vAlign w:val="center"/>
          </w:tcPr>
          <w:p>
            <w:pPr>
              <w:snapToGrid w:val="0"/>
              <w:spacing w:line="440" w:lineRule="exact"/>
              <w:ind w:firstLine="480" w:firstLineChars="200"/>
              <w:rPr>
                <w:rFonts w:hint="eastAsia" w:ascii="仿宋_GB2312" w:hAnsi="仿宋_GB2312" w:eastAsia="仿宋_GB2312" w:cs="仿宋_GB2312"/>
                <w:sz w:val="24"/>
                <w:szCs w:val="28"/>
              </w:rPr>
            </w:pPr>
            <w:r>
              <w:rPr>
                <w:rFonts w:hint="eastAsia" w:ascii="仿宋_GB2312" w:hAnsi="仿宋_GB2312" w:eastAsia="仿宋_GB2312" w:cs="仿宋_GB2312"/>
                <w:sz w:val="24"/>
                <w:szCs w:val="28"/>
              </w:rPr>
              <w:t>不得享受政府有关财政性奖励等政策；</w:t>
            </w:r>
          </w:p>
          <w:p>
            <w:pPr>
              <w:snapToGrid w:val="0"/>
              <w:spacing w:line="440" w:lineRule="exact"/>
              <w:ind w:firstLine="480" w:firstLineChars="200"/>
              <w:rPr>
                <w:rFonts w:hint="eastAsia" w:ascii="仿宋_GB2312" w:hAnsi="仿宋_GB2312" w:eastAsia="仿宋_GB2312" w:cs="仿宋_GB2312"/>
                <w:sz w:val="24"/>
                <w:szCs w:val="28"/>
              </w:rPr>
            </w:pPr>
            <w:r>
              <w:rPr>
                <w:rFonts w:hint="eastAsia" w:ascii="仿宋_GB2312" w:hAnsi="仿宋_GB2312" w:eastAsia="仿宋_GB2312" w:cs="仿宋_GB2312"/>
                <w:sz w:val="24"/>
                <w:szCs w:val="28"/>
              </w:rPr>
              <w:t>不予核准和审批新的投资项目（转型升级项目除外）；</w:t>
            </w:r>
          </w:p>
          <w:p>
            <w:pPr>
              <w:snapToGrid w:val="0"/>
              <w:spacing w:line="440" w:lineRule="exact"/>
              <w:ind w:firstLine="480" w:firstLineChars="200"/>
              <w:rPr>
                <w:rFonts w:hint="eastAsia" w:ascii="仿宋_GB2312" w:hAnsi="仿宋_GB2312" w:eastAsia="仿宋_GB2312" w:cs="仿宋_GB2312"/>
                <w:sz w:val="24"/>
                <w:szCs w:val="28"/>
              </w:rPr>
            </w:pPr>
            <w:r>
              <w:rPr>
                <w:rFonts w:hint="eastAsia" w:ascii="仿宋_GB2312" w:hAnsi="仿宋_GB2312" w:eastAsia="仿宋_GB2312" w:cs="仿宋_GB2312"/>
                <w:sz w:val="24"/>
                <w:szCs w:val="28"/>
              </w:rPr>
              <w:t>实施差别电价政策，在现有电价基础上加价；</w:t>
            </w:r>
          </w:p>
          <w:p>
            <w:pPr>
              <w:snapToGrid w:val="0"/>
              <w:spacing w:line="440" w:lineRule="exact"/>
              <w:ind w:firstLine="480" w:firstLineChars="200"/>
              <w:rPr>
                <w:rFonts w:hint="eastAsia" w:ascii="仿宋_GB2312" w:hAnsi="仿宋_GB2312" w:eastAsia="仿宋_GB2312" w:cs="仿宋_GB2312"/>
                <w:sz w:val="24"/>
                <w:szCs w:val="28"/>
              </w:rPr>
            </w:pPr>
            <w:r>
              <w:rPr>
                <w:rFonts w:hint="eastAsia" w:ascii="仿宋_GB2312" w:hAnsi="仿宋_GB2312" w:eastAsia="仿宋_GB2312" w:cs="仿宋_GB2312"/>
                <w:sz w:val="24"/>
                <w:szCs w:val="28"/>
              </w:rPr>
              <w:t>实施有序用电和节能管理时，作为首要限电对象；</w:t>
            </w:r>
          </w:p>
          <w:p>
            <w:pPr>
              <w:snapToGrid w:val="0"/>
              <w:spacing w:line="440" w:lineRule="exact"/>
              <w:ind w:firstLine="480" w:firstLineChars="200"/>
              <w:rPr>
                <w:rFonts w:hint="eastAsia" w:ascii="仿宋_GB2312" w:hAnsi="仿宋_GB2312" w:eastAsia="仿宋_GB2312" w:cs="仿宋_GB2312"/>
                <w:sz w:val="24"/>
                <w:szCs w:val="28"/>
              </w:rPr>
            </w:pPr>
            <w:r>
              <w:rPr>
                <w:rFonts w:hint="eastAsia" w:ascii="仿宋_GB2312" w:hAnsi="仿宋_GB2312" w:eastAsia="仿宋_GB2312" w:cs="仿宋_GB2312"/>
                <w:sz w:val="24"/>
                <w:szCs w:val="28"/>
              </w:rPr>
              <w:t>不得申报各类项目补助及享受有关财政优惠政策；</w:t>
            </w:r>
          </w:p>
          <w:p>
            <w:pPr>
              <w:snapToGrid w:val="0"/>
              <w:spacing w:line="440" w:lineRule="exact"/>
              <w:ind w:firstLine="480" w:firstLineChars="200"/>
              <w:rPr>
                <w:rFonts w:hint="eastAsia" w:ascii="仿宋_GB2312" w:hAnsi="仿宋_GB2312" w:eastAsia="仿宋_GB2312" w:cs="仿宋_GB2312"/>
                <w:sz w:val="24"/>
                <w:szCs w:val="28"/>
              </w:rPr>
            </w:pPr>
            <w:r>
              <w:rPr>
                <w:rFonts w:hint="eastAsia" w:ascii="仿宋_GB2312" w:hAnsi="仿宋_GB2312" w:eastAsia="仿宋_GB2312" w:cs="仿宋_GB2312"/>
                <w:sz w:val="24"/>
                <w:szCs w:val="28"/>
              </w:rPr>
              <w:t>定期进行执法检查，严格各类违法违规行为的处罚；</w:t>
            </w:r>
          </w:p>
          <w:p>
            <w:pPr>
              <w:snapToGrid w:val="0"/>
              <w:spacing w:line="440" w:lineRule="exact"/>
              <w:ind w:firstLine="480" w:firstLineChars="200"/>
              <w:rPr>
                <w:rFonts w:hint="eastAsia" w:ascii="仿宋_GB2312" w:hAnsi="仿宋_GB2312" w:eastAsia="仿宋_GB2312" w:cs="仿宋_GB2312"/>
                <w:sz w:val="24"/>
                <w:szCs w:val="28"/>
              </w:rPr>
            </w:pPr>
            <w:r>
              <w:rPr>
                <w:rFonts w:hint="eastAsia" w:ascii="仿宋_GB2312" w:hAnsi="仿宋_GB2312" w:eastAsia="仿宋_GB2312" w:cs="仿宋_GB2312"/>
                <w:sz w:val="24"/>
                <w:szCs w:val="28"/>
              </w:rPr>
              <w:t>严格按照环境保护、安全生产、资源节约等方面法律法规和国家、省有关产业政策，对落后和严重过剩产能，依法依规加大资源要素差别化政策实施和整治淘汰力度。</w:t>
            </w:r>
          </w:p>
        </w:tc>
      </w:tr>
    </w:tbl>
    <w:p>
      <w:pPr>
        <w:spacing w:line="560" w:lineRule="exact"/>
        <w:ind w:firstLine="640" w:firstLineChars="200"/>
        <w:rPr>
          <w:rFonts w:ascii="Times New Roman" w:hAnsi="Times New Roman" w:eastAsia="楷体_GB2312" w:cs="Times New Roman"/>
          <w:sz w:val="32"/>
          <w:szCs w:val="28"/>
        </w:rPr>
      </w:pPr>
    </w:p>
    <w:p>
      <w:pPr>
        <w:pStyle w:val="4"/>
        <w:spacing w:before="0" w:after="0" w:line="360" w:lineRule="auto"/>
        <w:ind w:firstLine="640" w:firstLineChars="200"/>
        <w:rPr>
          <w:rStyle w:val="47"/>
          <w:b w:val="0"/>
          <w:bCs w:val="0"/>
          <w:color w:val="auto"/>
        </w:rPr>
      </w:pPr>
      <w:bookmarkStart w:id="19" w:name="_Toc29754710"/>
      <w:bookmarkStart w:id="20" w:name="_Toc36395810"/>
      <w:bookmarkStart w:id="21" w:name="_Toc29814753"/>
      <w:bookmarkStart w:id="22" w:name="_Toc36664381"/>
      <w:r>
        <w:rPr>
          <w:rStyle w:val="47"/>
          <w:b w:val="0"/>
          <w:bCs w:val="0"/>
          <w:color w:val="auto"/>
        </w:rPr>
        <w:t>三、</w:t>
      </w:r>
      <w:bookmarkEnd w:id="19"/>
      <w:bookmarkEnd w:id="20"/>
      <w:bookmarkEnd w:id="21"/>
      <w:bookmarkEnd w:id="22"/>
      <w:r>
        <w:rPr>
          <w:rStyle w:val="47"/>
          <w:b w:val="0"/>
          <w:bCs w:val="0"/>
          <w:color w:val="auto"/>
        </w:rPr>
        <w:t>着力创新体制机制，推动大宗固废综合利用</w:t>
      </w:r>
    </w:p>
    <w:p>
      <w:pPr>
        <w:spacing w:line="560" w:lineRule="exact"/>
        <w:ind w:firstLine="640" w:firstLineChars="200"/>
        <w:rPr>
          <w:rFonts w:ascii="Times New Roman" w:hAnsi="Times New Roman" w:eastAsia="楷体_GB2312" w:cs="Times New Roman"/>
          <w:bCs/>
          <w:sz w:val="32"/>
          <w:szCs w:val="28"/>
        </w:rPr>
      </w:pPr>
      <w:r>
        <w:rPr>
          <w:rFonts w:ascii="Times New Roman" w:hAnsi="Times New Roman" w:eastAsia="楷体_GB2312" w:cs="Times New Roman"/>
          <w:bCs/>
          <w:sz w:val="32"/>
          <w:szCs w:val="28"/>
        </w:rPr>
        <w:t>（一）加强顶层设计，落实主体责任</w:t>
      </w:r>
    </w:p>
    <w:p>
      <w:pPr>
        <w:spacing w:line="560" w:lineRule="exact"/>
        <w:ind w:firstLine="640" w:firstLineChars="200"/>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加强规划引领，启动编制《鄂尔多斯大宗固废综合利用总体规划》，根据不同行业、产品、工艺的需求，规划和设计产业内部、产业之间的大宗固废综合利用方案。积极向上争取国家、自治区资金和政策扶持，整合全市引导资金支持工业固废收运处置体系和一般工业固废综合利用处置设施建设，建立固体废弃物综合利用协同发展示范区，探索大宗固废综合利用发展新模式，做到园区固废应用尽用，应处理尽处理，杜绝违法堆放、排放。</w:t>
      </w:r>
    </w:p>
    <w:p>
      <w:pPr>
        <w:spacing w:line="560" w:lineRule="exact"/>
        <w:ind w:firstLine="640" w:firstLineChars="200"/>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充分利用大数据、互联网等现代化信息技术手段，推动大宗固废产生量大的行业、地区和产业园区建立“互联网+大宗固废”综合利用信息管理系统，提高大宗固废综合利用信息化管理水平。充分依托已有资源，鼓励社会力量开展大宗固废综合利用交易信息服务，为产废和利废企业提供信息服务，分品种及时发布大宗固废产生单位、产生量、品质及利用情况等，提高资源配置效率，促进大宗固废综合利用率整体提升。</w:t>
      </w:r>
    </w:p>
    <w:p>
      <w:pPr>
        <w:spacing w:line="560" w:lineRule="exact"/>
        <w:ind w:firstLine="640" w:firstLineChars="200"/>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强化固体废弃物污染防控，落实产废企业污染防治和利用工业固废的主体责任，健全生态环境长效监督管理制度，运用大数据、云计算、物联网和移动互联等新技术手段，提升园区执法管理效率和水平，加大重点流域和重点区域大宗固废的综合整治力度。</w:t>
      </w:r>
    </w:p>
    <w:p>
      <w:pPr>
        <w:spacing w:line="560" w:lineRule="exact"/>
        <w:ind w:firstLine="640" w:firstLineChars="200"/>
        <w:rPr>
          <w:rFonts w:ascii="Times New Roman" w:hAnsi="Times New Roman" w:eastAsia="楷体_GB2312" w:cs="Times New Roman"/>
          <w:bCs/>
          <w:sz w:val="32"/>
          <w:szCs w:val="28"/>
        </w:rPr>
      </w:pPr>
      <w:r>
        <w:rPr>
          <w:rFonts w:ascii="Times New Roman" w:hAnsi="Times New Roman" w:eastAsia="楷体_GB2312" w:cs="Times New Roman"/>
          <w:bCs/>
          <w:sz w:val="32"/>
          <w:szCs w:val="28"/>
        </w:rPr>
        <w:t>（二）强化科技支撑，拓宽利用方向</w:t>
      </w:r>
    </w:p>
    <w:p>
      <w:pPr>
        <w:spacing w:line="560" w:lineRule="exact"/>
        <w:ind w:firstLine="640" w:firstLineChars="200"/>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积极对接中科院过程工程研究所、清华大学、吉林大学和中国矿业大学等科技部“固废资源化”重点专项承担机构，组建产学研联合技术攻关平台组织工业固废综合利用技术合力攻关，重点围绕煤矸石和粉煤灰综合利用水平及整体利用等方向，提高大宗固废资源的利用效率。鼓励企业建立技术研发平台，加大关键技术研发投入力度，重点突破源头减量减害与高质综合利用关键核心技术和装备，推动大宗固废利用过程风险控制的关键技术研发。</w:t>
      </w:r>
    </w:p>
    <w:p>
      <w:pPr>
        <w:spacing w:line="560" w:lineRule="exact"/>
        <w:ind w:firstLine="640" w:firstLineChars="200"/>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推进产废行业绿色转型，实现源头减量。大力发展绿色矿业，推广应用矸石不出井模式，鼓励采矿企业利用尾矿、共伴生矿填充采空区、治理塌陷区，推动实现尾矿就地消纳。开展能源、冶金、化工等重点行业绿色化改造，不断优化工艺流程、改进技术装备，降低大宗固废产生强度。推动煤矸石、尾矿、炉渣等大宗固废产生过程自消纳，为综合利用创造条件。加强工业废水处理和回用，强化工业园区工业废水处理工程设施建设，加强工业废水治理和回用，促进园区（企业）内部废水近“零排放”。加快推进煤化工企业高盐水结晶项目建设，完成高盐水结晶改造，实现高盐水资源化利用。</w:t>
      </w:r>
    </w:p>
    <w:p>
      <w:pPr>
        <w:spacing w:line="560" w:lineRule="exact"/>
        <w:ind w:firstLine="640" w:firstLineChars="200"/>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积极拓宽大宗固废资源利用方向，推进煤矸石和粉煤灰在工程建设、塌陷区治理、矿井充填以及盐碱地、沙漠化土地生态修复等领域的利用；鼓励建筑垃圾再生骨料及制品在建筑工程和道路工程中的应用，以及将建筑垃圾用于土方平衡、林业用土、环境治理、烧结制品及回填等；持续推进秸秆肥料化、饲料化和基料化利用，扩大秸秆清洁能源利用规模，鼓励利用秸秆等生物质能供热供气供暖，推进生物质天然气在工业领域应用。</w:t>
      </w:r>
    </w:p>
    <w:p>
      <w:pPr>
        <w:spacing w:line="560" w:lineRule="exact"/>
        <w:ind w:firstLine="640" w:firstLineChars="200"/>
        <w:rPr>
          <w:rFonts w:ascii="Times New Roman" w:hAnsi="Times New Roman" w:eastAsia="楷体_GB2312" w:cs="Times New Roman"/>
          <w:bCs/>
          <w:sz w:val="32"/>
          <w:szCs w:val="28"/>
        </w:rPr>
      </w:pPr>
      <w:r>
        <w:rPr>
          <w:rFonts w:ascii="Times New Roman" w:hAnsi="Times New Roman" w:eastAsia="楷体_GB2312" w:cs="Times New Roman"/>
          <w:bCs/>
          <w:sz w:val="32"/>
          <w:szCs w:val="28"/>
        </w:rPr>
        <w:t>（三）创新协同利用机制，推广资源综合利用产品</w:t>
      </w:r>
    </w:p>
    <w:p>
      <w:pPr>
        <w:spacing w:line="560" w:lineRule="exact"/>
        <w:ind w:firstLine="640" w:firstLineChars="200"/>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发挥鄂尔多斯国家工业固废综合利用试点基地引领作用，鼓励多产业协同利用，推进大宗固废综合利用产业与上游煤电、冶金、化工等产业协同发展，与下游建筑、建材、市政、交通、环境治理等产品应用领域深度融合，推进综合利用产业规模化发展。</w:t>
      </w:r>
    </w:p>
    <w:p>
      <w:pPr>
        <w:spacing w:line="560" w:lineRule="exact"/>
        <w:ind w:firstLine="640" w:firstLineChars="200"/>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鼓励园区向上争取国家、自治区</w:t>
      </w:r>
      <w:r>
        <w:rPr>
          <w:rFonts w:hint="eastAsia" w:ascii="仿宋_GB2312" w:hAnsi="仿宋_GB2312" w:eastAsia="仿宋_GB2312" w:cs="仿宋_GB2312"/>
          <w:sz w:val="32"/>
          <w:szCs w:val="28"/>
          <w:lang w:eastAsia="zh-CN"/>
        </w:rPr>
        <w:t>和我</w:t>
      </w:r>
      <w:r>
        <w:rPr>
          <w:rFonts w:hint="eastAsia" w:ascii="仿宋_GB2312" w:hAnsi="仿宋_GB2312" w:eastAsia="仿宋_GB2312" w:cs="仿宋_GB2312"/>
          <w:sz w:val="32"/>
          <w:szCs w:val="28"/>
        </w:rPr>
        <w:t>市</w:t>
      </w:r>
      <w:r>
        <w:rPr>
          <w:rFonts w:hint="eastAsia" w:ascii="仿宋_GB2312" w:hAnsi="仿宋_GB2312" w:eastAsia="仿宋_GB2312" w:cs="仿宋_GB2312"/>
          <w:sz w:val="32"/>
          <w:szCs w:val="28"/>
          <w:lang w:eastAsia="zh-CN"/>
        </w:rPr>
        <w:t>的</w:t>
      </w:r>
      <w:r>
        <w:rPr>
          <w:rFonts w:hint="eastAsia" w:ascii="仿宋_GB2312" w:hAnsi="仿宋_GB2312" w:eastAsia="仿宋_GB2312" w:cs="仿宋_GB2312"/>
          <w:sz w:val="32"/>
          <w:szCs w:val="28"/>
        </w:rPr>
        <w:t>财政及政策支持，建立跨区域协同处置网络，向京津冀、长三角和珠三角地区推广资源综合利用产品。同时，将推广使用资源综合利用产品纳入节约型机关、绿色学校等绿色生活创建行动。加大政府绿色采购力度，鼓励党政机关和学校、医院等公共机构优先采购资源综合利用产品，发挥公共机构示范作用。鼓励绿色建筑使用以煤矸石、粉煤灰、工业副产石膏等大宗固废为原料的新型墙体材料、装饰装修材料。</w:t>
      </w:r>
    </w:p>
    <w:p>
      <w:pPr>
        <w:pStyle w:val="4"/>
        <w:spacing w:before="0" w:after="0" w:line="360" w:lineRule="auto"/>
        <w:ind w:firstLine="640" w:firstLineChars="200"/>
        <w:rPr>
          <w:rStyle w:val="47"/>
          <w:b w:val="0"/>
          <w:bCs w:val="0"/>
          <w:color w:val="auto"/>
        </w:rPr>
      </w:pPr>
      <w:r>
        <w:rPr>
          <w:rStyle w:val="47"/>
          <w:b w:val="0"/>
          <w:bCs w:val="0"/>
          <w:color w:val="auto"/>
        </w:rPr>
        <w:t>四、打造低碳、零碳特色园区，实现园区发展转型升级</w:t>
      </w:r>
    </w:p>
    <w:p>
      <w:pPr>
        <w:spacing w:line="560" w:lineRule="exact"/>
        <w:ind w:firstLine="640" w:firstLineChars="200"/>
        <w:rPr>
          <w:rFonts w:hint="eastAsia" w:ascii="楷体_GB2312" w:hAnsi="楷体_GB2312" w:eastAsia="楷体_GB2312" w:cs="楷体_GB2312"/>
          <w:bCs/>
          <w:sz w:val="32"/>
          <w:szCs w:val="28"/>
        </w:rPr>
      </w:pPr>
      <w:r>
        <w:rPr>
          <w:rFonts w:hint="eastAsia" w:ascii="楷体_GB2312" w:hAnsi="楷体_GB2312" w:eastAsia="楷体_GB2312" w:cs="楷体_GB2312"/>
          <w:bCs/>
          <w:sz w:val="32"/>
          <w:szCs w:val="28"/>
        </w:rPr>
        <w:t>（一）制定全市低碳、零碳发展路线图</w:t>
      </w:r>
    </w:p>
    <w:p>
      <w:pPr>
        <w:spacing w:line="560" w:lineRule="exact"/>
        <w:ind w:firstLine="640" w:firstLineChars="200"/>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跟踪国家、自治区低碳政策动态要求，及时出台全市工业园区温室气体核算框架及实施细则，开展各园区企业能耗和碳排放的全面摸底调查，用可靠数据支撑全市工业园区碳达峰决策。探索制定园区低碳发展分类指导路线图，将园区按照绿色水平、经济规模、主导产业、设施状况分类分级，明确各类各级园区低碳转型行动重点。以“一园一策”模式编制各园区低碳转型规划、实施方案和路径。</w:t>
      </w:r>
    </w:p>
    <w:p>
      <w:pPr>
        <w:spacing w:line="560" w:lineRule="exact"/>
        <w:ind w:firstLine="640" w:firstLineChars="200"/>
        <w:rPr>
          <w:rFonts w:ascii="Times New Roman" w:hAnsi="Times New Roman" w:eastAsia="楷体_GB2312" w:cs="Times New Roman"/>
          <w:bCs/>
          <w:sz w:val="32"/>
          <w:szCs w:val="28"/>
        </w:rPr>
      </w:pPr>
      <w:r>
        <w:rPr>
          <w:rFonts w:ascii="Times New Roman" w:hAnsi="Times New Roman" w:eastAsia="楷体_GB2312" w:cs="Times New Roman"/>
          <w:bCs/>
          <w:sz w:val="32"/>
          <w:szCs w:val="28"/>
        </w:rPr>
        <w:t>（二）建设一批低碳、零碳示范园区</w:t>
      </w:r>
    </w:p>
    <w:p>
      <w:pPr>
        <w:spacing w:line="560" w:lineRule="exact"/>
        <w:ind w:firstLine="640" w:firstLineChars="200"/>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实施园区可再生能源替代行动，推动园区企业采用新能源供能方式进行电能替代，在用电负荷相对集中、具备自主调峰能力的工业园区打造一批以新能源就地消纳为主的低碳示范园区、零碳示范园区，先期支持鄂托克经济开发区、蒙苏经济开发区分别打造低碳、零碳示范园区。到2025年低碳示范园区、零碳示范园区新能源消纳比重分别达到50%和100%。</w:t>
      </w:r>
    </w:p>
    <w:p>
      <w:pPr>
        <w:pStyle w:val="3"/>
        <w:spacing w:before="312" w:beforeLines="100" w:after="312" w:afterLines="100"/>
        <w:rPr>
          <w:rFonts w:ascii="Times New Roman" w:hAnsi="Times New Roman" w:eastAsia="楷体_GB2312"/>
          <w:sz w:val="32"/>
        </w:rPr>
      </w:pPr>
      <w:bookmarkStart w:id="23" w:name="_Toc14232"/>
      <w:r>
        <w:rPr>
          <w:rFonts w:ascii="Times New Roman" w:hAnsi="Times New Roman" w:eastAsia="楷体_GB2312"/>
          <w:b w:val="0"/>
          <w:bCs w:val="0"/>
          <w:sz w:val="32"/>
        </w:rPr>
        <w:t>第二节 增强园区发展创新驱动</w:t>
      </w:r>
      <w:bookmarkEnd w:id="23"/>
    </w:p>
    <w:p>
      <w:pPr>
        <w:spacing w:line="560" w:lineRule="exact"/>
        <w:ind w:firstLine="640" w:firstLineChars="200"/>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大力实施创新驱动发展战略，提升科技创新水平，推动现代能源、煤化工等优势产业向中高端迈进。加快新能源、新材料、绿色环保、大规模储能、氢能、碳捕集封存等新兴产业技术研发速度，深入实施“科技兴蒙”行动，高质量建设呼包鄂国家自主创新示范区、鄂尔多斯国家可持续发展议程创新示范区，推动鄂尔多斯高新技术产业开发区提质进位，鼓励和支持符合条件的工业园区创建自治区级高新技术产业开发区。</w:t>
      </w:r>
    </w:p>
    <w:p>
      <w:pPr>
        <w:pStyle w:val="4"/>
        <w:spacing w:before="0" w:after="0" w:line="360" w:lineRule="auto"/>
        <w:ind w:firstLine="640" w:firstLineChars="200"/>
        <w:rPr>
          <w:rStyle w:val="47"/>
          <w:b w:val="0"/>
          <w:bCs w:val="0"/>
          <w:color w:val="auto"/>
        </w:rPr>
      </w:pPr>
      <w:r>
        <w:rPr>
          <w:rStyle w:val="47"/>
          <w:b w:val="0"/>
          <w:bCs w:val="0"/>
          <w:color w:val="auto"/>
        </w:rPr>
        <w:t>一、加强科技研发平台建设</w:t>
      </w:r>
    </w:p>
    <w:p>
      <w:pPr>
        <w:spacing w:line="560" w:lineRule="exact"/>
        <w:ind w:firstLine="640" w:firstLineChars="200"/>
        <w:rPr>
          <w:rFonts w:ascii="Times New Roman" w:hAnsi="Times New Roman" w:eastAsia="仿宋_GB2312" w:cs="Times New Roman"/>
          <w:sz w:val="32"/>
          <w:szCs w:val="28"/>
        </w:rPr>
      </w:pPr>
      <w:r>
        <w:rPr>
          <w:rFonts w:ascii="Times New Roman" w:hAnsi="Times New Roman" w:eastAsia="仿宋_GB2312" w:cs="Times New Roman"/>
          <w:sz w:val="32"/>
          <w:szCs w:val="28"/>
        </w:rPr>
        <w:t>强化企业创新主体地位，以内蒙古伊泰集团有限公司、鄂尔多斯集团及神华集团有限责任公司等龙头企业为主体，深化与清华大学、中科院等高校、科研院所合作，组建特色学院、新型研究院和产学研协同创新独立法人组织。重点在现代能源、煤化工等优势产业领域，新能源、新材料、绿色环保、大规模储能、氢能、碳捕集封存等新兴领域，布局培育一批国家或自治区级重点实验室、工程研究中心，构建形成创新平台体系。</w:t>
      </w:r>
    </w:p>
    <w:p>
      <w:pPr>
        <w:spacing w:line="560" w:lineRule="exact"/>
        <w:ind w:firstLine="640" w:firstLineChars="200"/>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依托伊泰煤基新材料研究院、</w:t>
      </w:r>
      <w:r>
        <w:rPr>
          <w:rFonts w:hint="eastAsia" w:ascii="仿宋_GB2312" w:hAnsi="仿宋_GB2312" w:eastAsia="仿宋_GB2312" w:cs="仿宋_GB2312"/>
          <w:sz w:val="32"/>
          <w:szCs w:val="32"/>
        </w:rPr>
        <w:t>鄂尔多斯市碳中和研究院</w:t>
      </w:r>
      <w:r>
        <w:rPr>
          <w:rFonts w:hint="eastAsia" w:ascii="仿宋_GB2312" w:hAnsi="仿宋_GB2312" w:eastAsia="仿宋_GB2312" w:cs="仿宋_GB2312"/>
          <w:sz w:val="32"/>
          <w:szCs w:val="28"/>
        </w:rPr>
        <w:t>及内蒙古工业陶瓷研究院等国家及自治区重点实验室，重点开展煤基新材料、煤矸石及粉煤灰等资源综合利用、储能和节能技术和微电网等方向的研究。</w:t>
      </w:r>
    </w:p>
    <w:p>
      <w:pPr>
        <w:pStyle w:val="4"/>
        <w:spacing w:before="0" w:after="0" w:line="360" w:lineRule="auto"/>
        <w:ind w:firstLine="640" w:firstLineChars="200"/>
        <w:rPr>
          <w:rStyle w:val="47"/>
          <w:b w:val="0"/>
          <w:bCs w:val="0"/>
          <w:color w:val="auto"/>
        </w:rPr>
      </w:pPr>
      <w:r>
        <w:rPr>
          <w:rStyle w:val="47"/>
          <w:b w:val="0"/>
          <w:bCs w:val="0"/>
          <w:color w:val="auto"/>
        </w:rPr>
        <w:t>二、完善科技支撑平台建设</w:t>
      </w:r>
    </w:p>
    <w:p>
      <w:pPr>
        <w:ind w:firstLine="640" w:firstLineChars="200"/>
        <w:rPr>
          <w:rFonts w:ascii="Times New Roman" w:hAnsi="Times New Roman" w:eastAsia="楷体_GB2312" w:cs="Times New Roman"/>
          <w:bCs/>
          <w:sz w:val="32"/>
          <w:szCs w:val="28"/>
        </w:rPr>
      </w:pPr>
      <w:r>
        <w:rPr>
          <w:rFonts w:ascii="Times New Roman" w:hAnsi="Times New Roman" w:eastAsia="楷体_GB2312" w:cs="Times New Roman"/>
          <w:bCs/>
          <w:sz w:val="32"/>
          <w:szCs w:val="28"/>
        </w:rPr>
        <w:t>（一）完善科技创新服务体系</w:t>
      </w:r>
    </w:p>
    <w:p>
      <w:pPr>
        <w:spacing w:line="560" w:lineRule="exact"/>
        <w:ind w:firstLine="640" w:firstLineChars="200"/>
        <w:rPr>
          <w:rFonts w:ascii="Times New Roman" w:hAnsi="Times New Roman" w:eastAsia="仿宋_GB2312" w:cs="Times New Roman"/>
          <w:sz w:val="32"/>
          <w:szCs w:val="28"/>
        </w:rPr>
      </w:pPr>
      <w:r>
        <w:rPr>
          <w:rFonts w:ascii="Times New Roman" w:hAnsi="Times New Roman" w:eastAsia="仿宋_GB2312" w:cs="Times New Roman"/>
          <w:sz w:val="32"/>
          <w:szCs w:val="28"/>
        </w:rPr>
        <w:t>依托鄂尔多斯高新技术产业开发区，推动建设面向全市的科技成果转移转化平台，完善由政府和市场共同推动的多层次、社会化的科技服务体系，提升科技成果转化专业化水平。支持企业与高等院校、科研院所联合建立科技成果转移转化机构。鼓励在有条件的园区建设一批科技创新服务中心和科技金融服务机构，重点推进研发设计、信息资源、创业孵化、科技中介、科技金融、科技文化融合、检验检测等七大科技服务业领域加快发展，形成全链条科技服务体系。</w:t>
      </w:r>
    </w:p>
    <w:p>
      <w:pPr>
        <w:ind w:firstLine="640" w:firstLineChars="200"/>
        <w:rPr>
          <w:rFonts w:ascii="Times New Roman" w:hAnsi="Times New Roman" w:eastAsia="楷体_GB2312" w:cs="Times New Roman"/>
          <w:bCs/>
          <w:sz w:val="32"/>
          <w:szCs w:val="28"/>
        </w:rPr>
      </w:pPr>
      <w:r>
        <w:rPr>
          <w:rFonts w:ascii="Times New Roman" w:hAnsi="Times New Roman" w:eastAsia="楷体_GB2312" w:cs="Times New Roman"/>
          <w:bCs/>
          <w:sz w:val="32"/>
          <w:szCs w:val="28"/>
        </w:rPr>
        <w:t>（二）加强人才平台建设</w:t>
      </w:r>
    </w:p>
    <w:p>
      <w:pPr>
        <w:spacing w:line="560" w:lineRule="exact"/>
        <w:ind w:firstLine="640" w:firstLineChars="200"/>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注重通过搭建平台集聚优秀人才，以优秀人才引领产业转型升级，按照“人才+项目+平台”的工作思路，注重发挥驻外人才工作站前沿阵地作用，强化人才改革试验园区创新探索，努力为人才创新创业搭建广阔平台。加快构建“一心多点”人才工作新格局，依托3家驻外人才工作站，加强与长三角、珠三角、京津冀地区的合作，鼓励和支持企业管理人员、专业技术人员来鄂尔多斯工作。实施柔性引才计划，以短期聘用、兼职、顾问、客座、项目引进、智力服务、合作研究、技术咨询等柔性方式在鄂尔多斯工业园区服务。</w:t>
      </w:r>
    </w:p>
    <w:p>
      <w:pPr>
        <w:pStyle w:val="4"/>
        <w:spacing w:before="0" w:after="0" w:line="360" w:lineRule="auto"/>
        <w:ind w:firstLine="640" w:firstLineChars="200"/>
        <w:rPr>
          <w:rStyle w:val="47"/>
          <w:b w:val="0"/>
          <w:bCs w:val="0"/>
          <w:color w:val="auto"/>
        </w:rPr>
      </w:pPr>
      <w:r>
        <w:rPr>
          <w:rStyle w:val="47"/>
          <w:b w:val="0"/>
          <w:bCs w:val="0"/>
          <w:color w:val="auto"/>
        </w:rPr>
        <w:t>三、探索推动科创飞地建设</w:t>
      </w:r>
    </w:p>
    <w:p>
      <w:pPr>
        <w:spacing w:line="560" w:lineRule="exact"/>
        <w:ind w:firstLine="640" w:firstLineChars="200"/>
        <w:rPr>
          <w:rFonts w:ascii="Times New Roman" w:hAnsi="Times New Roman" w:eastAsia="仿宋_GB2312" w:cs="Times New Roman"/>
          <w:sz w:val="32"/>
          <w:szCs w:val="28"/>
        </w:rPr>
      </w:pPr>
      <w:r>
        <w:rPr>
          <w:rFonts w:ascii="Times New Roman" w:hAnsi="Times New Roman" w:eastAsia="仿宋_GB2312" w:cs="Times New Roman"/>
          <w:sz w:val="32"/>
          <w:szCs w:val="28"/>
        </w:rPr>
        <w:t>积极探索研发和市场“两头”在外，绿色生产、成果转化“主体”在鄂尔多斯的发展模式，统筹本地“政、产、学、研、资”资源，建立开放共享的综合性科技云平台，吸引国内外高校院所、科技服务机构、企业技术中心、专家智库入驻，加快在北京、上海、南京等创新要素集聚地区建设科创飞地，组建一批多元化投资、企业化管理、市场化激励、产学研合作的高水平离岸创新中心，吸引企业总部和分部、研发机构、行业协会、产业联盟入驻，实现借力发展。</w:t>
      </w:r>
    </w:p>
    <w:p>
      <w:pPr>
        <w:jc w:val="center"/>
        <w:rPr>
          <w:rFonts w:ascii="Times New Roman" w:hAnsi="Times New Roman" w:eastAsia="楷体_GB2312" w:cs="Times New Roman"/>
          <w:bCs/>
          <w:sz w:val="32"/>
          <w:szCs w:val="28"/>
        </w:rPr>
      </w:pPr>
      <w:r>
        <w:rPr>
          <w:rFonts w:ascii="Times New Roman" w:hAnsi="Times New Roman" w:eastAsia="楷体_GB2312" w:cs="Times New Roman"/>
          <w:bCs/>
          <w:sz w:val="32"/>
          <w:szCs w:val="28"/>
        </w:rPr>
        <w:drawing>
          <wp:inline distT="0" distB="0" distL="0" distR="0">
            <wp:extent cx="4799330" cy="1790700"/>
            <wp:effectExtent l="0" t="0" r="0" b="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4804163" cy="1792319"/>
                    </a:xfrm>
                    <a:prstGeom prst="rect">
                      <a:avLst/>
                    </a:prstGeom>
                    <a:noFill/>
                  </pic:spPr>
                </pic:pic>
              </a:graphicData>
            </a:graphic>
          </wp:inline>
        </w:drawing>
      </w:r>
    </w:p>
    <w:p>
      <w:pPr>
        <w:jc w:val="center"/>
        <w:rPr>
          <w:rFonts w:hint="eastAsia" w:ascii="黑体" w:hAnsi="黑体" w:eastAsia="黑体" w:cs="黑体"/>
          <w:sz w:val="28"/>
          <w:szCs w:val="28"/>
        </w:rPr>
      </w:pPr>
      <w:r>
        <w:rPr>
          <w:rFonts w:hint="eastAsia" w:ascii="黑体" w:hAnsi="黑体" w:eastAsia="黑体" w:cs="黑体"/>
          <w:sz w:val="28"/>
          <w:szCs w:val="28"/>
        </w:rPr>
        <w:t>图4-1科创飞地示意图</w:t>
      </w:r>
    </w:p>
    <w:p>
      <w:pPr>
        <w:spacing w:line="560" w:lineRule="exact"/>
        <w:ind w:firstLine="640" w:firstLineChars="200"/>
        <w:rPr>
          <w:rFonts w:ascii="Times New Roman" w:hAnsi="Times New Roman" w:eastAsia="仿宋_GB2312" w:cs="Times New Roman"/>
          <w:sz w:val="32"/>
          <w:szCs w:val="28"/>
        </w:rPr>
      </w:pPr>
      <w:r>
        <w:rPr>
          <w:rFonts w:ascii="Times New Roman" w:hAnsi="Times New Roman" w:eastAsia="仿宋_GB2312" w:cs="Times New Roman"/>
          <w:sz w:val="32"/>
          <w:szCs w:val="28"/>
        </w:rPr>
        <w:t>通过重大科技专项、联合基金等多种合作模式，建立健全市场化运作机制，为鄂尔多斯现代能源、煤化工等优势产业及新能源、新材料、绿色环保、大规模储能、氢能、碳捕集封存等新兴产业开展柔性技术服务。</w:t>
      </w:r>
    </w:p>
    <w:p>
      <w:pPr>
        <w:spacing w:line="560" w:lineRule="exact"/>
        <w:ind w:firstLine="640" w:firstLineChars="200"/>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依托多层次创新成果转化体系，打通创新成果产业化全链条，突出目标导向，从产出和转化两端健全完善科技成果转化的要素保障、收益分配和风险分担机制，真正打通科研成果产业化的制度通道、路径通道，促进创新成果与产业发展紧密对接，为绿色新兴产业在鄂尔多斯转化落户提供契机，构建“鄂尔多斯特色+发达地区支撑”的特色创新创业平台，推动鄂尔多斯人才引育和战略性新兴产业孵化端口前移。</w:t>
      </w:r>
    </w:p>
    <w:p>
      <w:pPr>
        <w:pStyle w:val="3"/>
        <w:spacing w:before="312" w:beforeLines="100" w:after="312" w:afterLines="100"/>
        <w:rPr>
          <w:rFonts w:ascii="Times New Roman" w:hAnsi="Times New Roman" w:eastAsia="楷体_GB2312"/>
          <w:b w:val="0"/>
          <w:bCs w:val="0"/>
          <w:sz w:val="32"/>
        </w:rPr>
      </w:pPr>
      <w:bookmarkStart w:id="24" w:name="_Toc15181"/>
      <w:r>
        <w:rPr>
          <w:rFonts w:ascii="Times New Roman" w:hAnsi="Times New Roman" w:eastAsia="楷体_GB2312"/>
          <w:b w:val="0"/>
          <w:bCs w:val="0"/>
          <w:sz w:val="32"/>
        </w:rPr>
        <w:t>第三节 完善园区基础设施配套</w:t>
      </w:r>
      <w:bookmarkEnd w:id="24"/>
    </w:p>
    <w:p>
      <w:pPr>
        <w:spacing w:line="560" w:lineRule="exact"/>
        <w:ind w:firstLine="640" w:firstLineChars="200"/>
        <w:rPr>
          <w:rFonts w:ascii="Times New Roman" w:hAnsi="Times New Roman" w:eastAsia="仿宋_GB2312" w:cs="Times New Roman"/>
          <w:sz w:val="32"/>
          <w:szCs w:val="28"/>
        </w:rPr>
      </w:pPr>
      <w:r>
        <w:rPr>
          <w:rFonts w:ascii="Times New Roman" w:hAnsi="Times New Roman" w:eastAsia="仿宋_GB2312" w:cs="Times New Roman"/>
          <w:sz w:val="32"/>
          <w:szCs w:val="28"/>
        </w:rPr>
        <w:t>按照适度超前、功能完善、协调配套、经济可靠的原则，科学推进交通、现代物流、供排水、生态环境及应急等现代化基础设施项目，加快建设信息互联、智能融合的新型基础设施体系，促进园区配套设施建设与产业、创新功能的平衡和协调，提升开发区配套设施建设水平。</w:t>
      </w:r>
    </w:p>
    <w:p>
      <w:pPr>
        <w:pStyle w:val="4"/>
        <w:spacing w:before="0" w:after="0" w:line="360" w:lineRule="auto"/>
        <w:ind w:firstLine="640" w:firstLineChars="200"/>
        <w:rPr>
          <w:rStyle w:val="47"/>
          <w:b w:val="0"/>
          <w:bCs w:val="0"/>
          <w:color w:val="auto"/>
        </w:rPr>
      </w:pPr>
      <w:r>
        <w:rPr>
          <w:rStyle w:val="47"/>
          <w:b w:val="0"/>
          <w:bCs w:val="0"/>
          <w:color w:val="auto"/>
        </w:rPr>
        <w:t>一、传统基础设施</w:t>
      </w:r>
    </w:p>
    <w:p>
      <w:pPr>
        <w:snapToGrid w:val="0"/>
        <w:spacing w:line="560" w:lineRule="exact"/>
        <w:ind w:firstLine="640" w:firstLineChars="200"/>
        <w:rPr>
          <w:rFonts w:ascii="Times New Roman" w:hAnsi="Times New Roman" w:eastAsia="楷体_GB2312" w:cs="Times New Roman"/>
          <w:bCs/>
          <w:sz w:val="32"/>
          <w:szCs w:val="28"/>
        </w:rPr>
      </w:pPr>
      <w:r>
        <w:rPr>
          <w:rFonts w:ascii="Times New Roman" w:hAnsi="Times New Roman" w:eastAsia="楷体_GB2312" w:cs="Times New Roman"/>
          <w:bCs/>
          <w:sz w:val="32"/>
          <w:szCs w:val="28"/>
        </w:rPr>
        <w:t>（一）构建清洁便捷对外交通网络，加快内部路网互联互通</w:t>
      </w:r>
    </w:p>
    <w:p>
      <w:pPr>
        <w:spacing w:line="560" w:lineRule="exact"/>
        <w:ind w:firstLine="640" w:firstLineChars="200"/>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促进高速公路、普通公路、铁路、航空等交通基础设施与园区有效衔接。统筹推进园区及周边路网与枢纽升级改造，增强园区与中心城区的联系，加快建设园区与中心城区（城镇）和干线公路的连接道路。推动园区缩小与高速公路出入口、货运站、火车站等枢纽的时空距离。实施公共领域车辆电动化行动计划，重点在公共交通、快递物流、公务用车、环卫车等领域推广使用新能源汽车。</w:t>
      </w:r>
    </w:p>
    <w:p>
      <w:pPr>
        <w:spacing w:line="560" w:lineRule="exact"/>
        <w:ind w:firstLine="640" w:firstLineChars="200"/>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结合区域高等级路网和产业分布，构建方便快捷的公路货运出入通道，实施交通节点改造。打通一园多区之间，以及产业联系紧密的园区之间快速联系通道，加快建设连接重要园区之间的高速公路、普通国省道，提升园区之间互联互通水平，促进园区联动发展。支持园区建设区域交通枢纽，打造各园区之间的快速交通网络，支持人流、信息流高效流动，提高公共交通服务水平。</w:t>
      </w:r>
    </w:p>
    <w:p>
      <w:pPr>
        <w:snapToGrid w:val="0"/>
        <w:spacing w:line="560" w:lineRule="exact"/>
        <w:ind w:left="640"/>
        <w:rPr>
          <w:rFonts w:ascii="Times New Roman" w:hAnsi="Times New Roman" w:eastAsia="楷体_GB2312" w:cs="Times New Roman"/>
          <w:bCs/>
          <w:sz w:val="32"/>
          <w:szCs w:val="28"/>
        </w:rPr>
      </w:pPr>
      <w:r>
        <w:rPr>
          <w:rFonts w:ascii="Times New Roman" w:hAnsi="Times New Roman" w:eastAsia="楷体_GB2312" w:cs="Times New Roman"/>
          <w:bCs/>
          <w:sz w:val="32"/>
          <w:szCs w:val="28"/>
        </w:rPr>
        <w:t>（二）加快完善配套设施建设，推动配套设施集约利用</w:t>
      </w:r>
    </w:p>
    <w:p>
      <w:pPr>
        <w:spacing w:line="560" w:lineRule="exact"/>
        <w:ind w:firstLine="640" w:firstLineChars="200"/>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根据各工业园区主体产业需要，以区域功能开发为主线，整体规划建设基础设施和公共设施，配套供电、供气、供水、供热、通信、交通、消防、防汛、人防、治污等设施。重点以现代物流、供水、生态环境、应急为突破口，采用分区域相对集中、一体化的模式，最大限度实现规模化、集聚化、集约化。</w:t>
      </w:r>
    </w:p>
    <w:p>
      <w:pPr>
        <w:spacing w:line="560" w:lineRule="exact"/>
        <w:ind w:firstLine="640" w:firstLineChars="200"/>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1.现代物流</w:t>
      </w:r>
    </w:p>
    <w:p>
      <w:pPr>
        <w:spacing w:line="560" w:lineRule="exact"/>
        <w:ind w:firstLine="640" w:firstLineChars="200"/>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依托鄂尔多斯区位交通优势，坚持通过铁路和公路相结合的方式，打造“门到门”物流运输网络，构建以现代化综合物流为核心、五大专业性物流为内容的标准化、信息化、智能化和集约化物流体系。重点推动设施联通、网络互通、信息畅通的建设与完善。加强物流园区、公铁联运设施以及基础通道等方面的建设，强化公路物流集散能力，增强鄂尔多斯在公铁物流交通网络中的集散功能；通过政策支持、引导整合物流资源到统一的信息化平台，优化商品交易流程，提升商品配送服务能力；积极推动物流体制机制创新，重点在物流政务服务等方面进行突破。</w:t>
      </w:r>
    </w:p>
    <w:p>
      <w:pPr>
        <w:spacing w:line="560" w:lineRule="exact"/>
        <w:ind w:firstLine="640" w:firstLineChars="200"/>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2.供水设施</w:t>
      </w:r>
    </w:p>
    <w:p>
      <w:pPr>
        <w:spacing w:line="560" w:lineRule="exact"/>
        <w:ind w:firstLine="640" w:firstLineChars="200"/>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一体化建设项目区供水系统，采用高效、节能水处理系统和设备，做到技术先进可靠、经济合理，并遵循节约用水的原则，一水多用、循环利用。排水方案采用集中处理后回用和企业自行处理后回用两种方式，实现废水“零排放”。雨、污分流并建设生活污水、工业污水和浓盐水管网分类收集处理，通过“多效蒸发-结晶”的方式实现最终处置，实现废水“零排放”。</w:t>
      </w:r>
    </w:p>
    <w:p>
      <w:pPr>
        <w:spacing w:line="560" w:lineRule="exact"/>
        <w:ind w:firstLine="640" w:firstLineChars="200"/>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3.生态环境设施</w:t>
      </w:r>
    </w:p>
    <w:p>
      <w:pPr>
        <w:spacing w:line="560" w:lineRule="exact"/>
        <w:ind w:firstLine="640" w:firstLineChars="200"/>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建立全市工业园区统一的生态环境实时监控系统，分区域建成生态环境监管中心，实现园区环境实时监控，建立多部门、强队伍联动的环保监督检查体系，切实加强环保监管力度。持续推进环境一体化监测体系的建设和完善，并与相关部门联网，为园区发展提供安全环保生产保障。</w:t>
      </w:r>
    </w:p>
    <w:p>
      <w:pPr>
        <w:spacing w:line="560" w:lineRule="exact"/>
        <w:ind w:firstLine="640" w:firstLineChars="200"/>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4.应急设施</w:t>
      </w:r>
    </w:p>
    <w:p>
      <w:pPr>
        <w:spacing w:line="560" w:lineRule="exact"/>
        <w:ind w:firstLine="640" w:firstLineChars="200"/>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建立健全各园区消防安全体系，完善公共消防设施，加快消防站、消防供水、消防通信、消防车通道等的规划建设。全面推进工业园区开展安全评估和达标认定。每3年至少组织开展一次已建成投用园区的整体性安全风险评估。完善水、电、气、风、污水处理、道路交通、应急救援设施、消防设施、消防车道等公用工程配套和安全保障设施建设，建立统一的集灾害预警预报系统、防灾指挥系统、避难场所、避难疏散通道、生命线工程、应急救灾物资等为一体的综合防灾应急保障系统，提高园区综合防灾保障能力，确保地区发展安全。依照《化工园区安全风险排查治理导则（试行）》，对标完善化工园区安全基础设施。</w:t>
      </w:r>
    </w:p>
    <w:p>
      <w:pPr>
        <w:pStyle w:val="4"/>
        <w:spacing w:before="0" w:after="0" w:line="360" w:lineRule="auto"/>
        <w:ind w:firstLine="640" w:firstLineChars="200"/>
        <w:rPr>
          <w:rStyle w:val="47"/>
          <w:b w:val="0"/>
          <w:bCs w:val="0"/>
          <w:color w:val="auto"/>
        </w:rPr>
      </w:pPr>
      <w:r>
        <w:rPr>
          <w:rStyle w:val="47"/>
          <w:b w:val="0"/>
          <w:bCs w:val="0"/>
          <w:color w:val="auto"/>
        </w:rPr>
        <w:t>二、新型基础设施</w:t>
      </w:r>
    </w:p>
    <w:p>
      <w:pPr>
        <w:spacing w:line="560" w:lineRule="exact"/>
        <w:ind w:firstLine="640" w:firstLineChars="200"/>
        <w:rPr>
          <w:rFonts w:ascii="Times New Roman" w:hAnsi="Times New Roman" w:eastAsia="楷体_GB2312" w:cs="Times New Roman"/>
          <w:sz w:val="32"/>
          <w:szCs w:val="28"/>
        </w:rPr>
      </w:pPr>
      <w:r>
        <w:rPr>
          <w:rFonts w:ascii="Times New Roman" w:hAnsi="Times New Roman" w:eastAsia="楷体_GB2312" w:cs="Times New Roman"/>
          <w:sz w:val="32"/>
          <w:szCs w:val="28"/>
        </w:rPr>
        <w:t>（一）信息互联基础设施</w:t>
      </w:r>
    </w:p>
    <w:p>
      <w:pPr>
        <w:spacing w:line="560" w:lineRule="exact"/>
        <w:ind w:firstLine="640" w:firstLineChars="200"/>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加快布局数字“新基建”，推进以5G、云计算、物联网、车联网等为代表的新一代信息基础设施建设，实现5G网络、超高速光纤网、新型城域物联专网等全覆盖，构建安全便利、信息畅通的全球数据枢纽平台、互联网数据专用通道等国际通信设施。超前谋划适应未来发展的“海陆空天”一体化信息基础设施建设，形成一流网络接入能力、服务质量和国际化应用水平，争创国家新型工业化产业示范基地（“5G+工业互联网”方向）及自治区“5G+工业互联网”融合应用先导区。</w:t>
      </w:r>
    </w:p>
    <w:p>
      <w:pPr>
        <w:spacing w:line="560" w:lineRule="exact"/>
        <w:ind w:firstLine="640" w:firstLineChars="200"/>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1.全面建成高水平全光网</w:t>
      </w:r>
    </w:p>
    <w:p>
      <w:pPr>
        <w:spacing w:line="560" w:lineRule="exact"/>
        <w:ind w:firstLine="640" w:firstLineChars="200"/>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优化互联网骨干网间的互联架构，提高网间互联带宽和互联质量，完善以鄂尔多斯市为中心，各园区为节点的骨干光纤网络布局，推动实现园区光纤网络全覆盖。支持和鼓励三大电信运营商优先安排园区信息基础设施，实现园区主要场所无线局域网全覆盖。</w:t>
      </w:r>
    </w:p>
    <w:p>
      <w:pPr>
        <w:spacing w:line="560" w:lineRule="exact"/>
        <w:ind w:firstLine="640" w:firstLineChars="200"/>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2.推动通信网络设施IPv6升级</w:t>
      </w:r>
    </w:p>
    <w:p>
      <w:pPr>
        <w:spacing w:line="560" w:lineRule="exact"/>
        <w:ind w:firstLine="640" w:firstLineChars="200"/>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完善IPv6骨干网间互联体系，改造升级互联网骨干网互联节点，实现园区互联网、广电网骨干网络IPv6的互联互通。</w:t>
      </w:r>
    </w:p>
    <w:p>
      <w:pPr>
        <w:spacing w:line="560" w:lineRule="exact"/>
        <w:ind w:firstLine="640" w:firstLineChars="200"/>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3.构建工业互联网平台</w:t>
      </w:r>
    </w:p>
    <w:p>
      <w:pPr>
        <w:spacing w:line="560" w:lineRule="exact"/>
        <w:ind w:firstLine="640" w:firstLineChars="200"/>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在化工、冶金、建材、现代装备制造、绿色农畜产品加工和新兴产业等领域，建设一批企业级、行业级、园区级工业互联网平台。建设国家工业互联网二级综合标识解析节点，开展基于标识服务的关键产品追溯、全生命周期管理、供应链协同等应用创新。深入推进企业登云行动，重点推动产业链上下游企业登云上平台和关键设备数字化网络化改造。</w:t>
      </w:r>
    </w:p>
    <w:p>
      <w:pPr>
        <w:spacing w:line="560" w:lineRule="exact"/>
        <w:ind w:firstLine="640" w:firstLineChars="200"/>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4.发展新一代移动通信网络</w:t>
      </w:r>
    </w:p>
    <w:p>
      <w:pPr>
        <w:spacing w:line="560" w:lineRule="exact"/>
        <w:ind w:firstLine="640" w:firstLineChars="200"/>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鼓励园区协助电信运营企业、通信设备制造企业开展基站选址建设和网络试验。推进NB-IoT建设应用，提升网络覆盖和服务质量。</w:t>
      </w:r>
    </w:p>
    <w:p>
      <w:pPr>
        <w:spacing w:line="560" w:lineRule="exact"/>
        <w:ind w:firstLine="640" w:firstLineChars="200"/>
        <w:rPr>
          <w:rFonts w:ascii="Times New Roman" w:hAnsi="Times New Roman" w:eastAsia="楷体_GB2312" w:cs="Times New Roman"/>
          <w:sz w:val="32"/>
          <w:szCs w:val="28"/>
        </w:rPr>
      </w:pPr>
      <w:r>
        <w:rPr>
          <w:rFonts w:ascii="Times New Roman" w:hAnsi="Times New Roman" w:eastAsia="楷体_GB2312" w:cs="Times New Roman"/>
          <w:sz w:val="32"/>
          <w:szCs w:val="28"/>
        </w:rPr>
        <w:t>（二）智能融合基础设施</w:t>
      </w:r>
    </w:p>
    <w:p>
      <w:pPr>
        <w:spacing w:line="560" w:lineRule="exact"/>
        <w:ind w:firstLine="640" w:firstLineChars="200"/>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推进鄂尔多斯市发展平台信息服务系统建设，构建全市园区信息数据平台和一站式服务平台。建立和完善数字化园区智能管理信息系统，并与城市规划建设系统、交通管理系统、安全管理系统、环境管理系统、能源管理系统等城市管理平台系统实现互联互通，提升政府管理、政策制定、公共服务，以及交通、能源、生态环境、应急救援等领域智能化应用水平。</w:t>
      </w:r>
    </w:p>
    <w:p>
      <w:pPr>
        <w:spacing w:line="560" w:lineRule="exact"/>
        <w:ind w:firstLine="640" w:firstLineChars="200"/>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1.政府服务平台</w:t>
      </w:r>
    </w:p>
    <w:p>
      <w:pPr>
        <w:spacing w:line="560" w:lineRule="exact"/>
        <w:ind w:firstLine="640" w:firstLineChars="200"/>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通过云计算、大数据技术为园区管理人员提供服务，起到辅助决策、辅助日常办公、协管的作用。具体包括：智慧办公平台和智慧招商平台。智慧办公平台通过定制化报表，为服务园区内企业制定更精准的政策提供数据支持。智慧招商平台广泛抓取自治区、市与招商引资相关的信息，挖掘企业需求，形成招商信息库，对招商项目绘制高质量项目画像。</w:t>
      </w:r>
    </w:p>
    <w:p>
      <w:pPr>
        <w:spacing w:line="560" w:lineRule="exact"/>
        <w:ind w:firstLine="640" w:firstLineChars="200"/>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2.公共服务平台</w:t>
      </w:r>
    </w:p>
    <w:p>
      <w:pPr>
        <w:spacing w:line="560" w:lineRule="exact"/>
        <w:ind w:firstLine="640" w:firstLineChars="200"/>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建立鄂尔多斯公共服务平台，主要包含企业信息公开、园区宣教活动、工厂招聘、服务热线、舆情监控等，通过公众服务平台对公众展示园区内企业生产经营、污染排放等情况，并为公众提供微博、微信、热线等多种沟通渠道。</w:t>
      </w:r>
    </w:p>
    <w:p>
      <w:pPr>
        <w:spacing w:line="560" w:lineRule="exact"/>
        <w:ind w:firstLine="640" w:firstLineChars="200"/>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3.智慧运行监管平台</w:t>
      </w:r>
    </w:p>
    <w:p>
      <w:pPr>
        <w:spacing w:line="560" w:lineRule="exact"/>
        <w:ind w:firstLine="640" w:firstLineChars="200"/>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（1）经济运行监测</w:t>
      </w:r>
    </w:p>
    <w:p>
      <w:pPr>
        <w:spacing w:line="560" w:lineRule="exact"/>
        <w:ind w:firstLine="640" w:firstLineChars="200"/>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建设标准要求规上企业实现100%的数据接入；其</w:t>
      </w:r>
      <w:r>
        <w:rPr>
          <w:rFonts w:hint="eastAsia" w:ascii="仿宋_GB2312" w:hAnsi="仿宋_GB2312" w:eastAsia="仿宋_GB2312" w:cs="仿宋_GB2312"/>
          <w:sz w:val="32"/>
          <w:szCs w:val="28"/>
          <w:lang w:eastAsia="zh-CN"/>
        </w:rPr>
        <w:t>它</w:t>
      </w:r>
      <w:r>
        <w:rPr>
          <w:rFonts w:hint="eastAsia" w:ascii="仿宋_GB2312" w:hAnsi="仿宋_GB2312" w:eastAsia="仿宋_GB2312" w:cs="仿宋_GB2312"/>
          <w:sz w:val="32"/>
          <w:szCs w:val="28"/>
        </w:rPr>
        <w:t>入园企业不低于20%实现数据接入。</w:t>
      </w:r>
    </w:p>
    <w:p>
      <w:pPr>
        <w:spacing w:line="560" w:lineRule="exact"/>
        <w:ind w:firstLine="640" w:firstLineChars="200"/>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（2）能耗监测</w:t>
      </w:r>
    </w:p>
    <w:p>
      <w:pPr>
        <w:spacing w:line="560" w:lineRule="exact"/>
        <w:ind w:firstLine="640" w:firstLineChars="200"/>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实现重点用能企业煤水油气电五类用能单位（厂级）计量数据100%实时接入（或采集）和上传；工</w:t>
      </w:r>
      <w:r>
        <w:rPr>
          <w:rFonts w:hint="eastAsia" w:ascii="仿宋_GB2312" w:hAnsi="仿宋_GB2312" w:eastAsia="仿宋_GB2312" w:cs="仿宋_GB2312"/>
          <w:sz w:val="32"/>
          <w:szCs w:val="28"/>
          <w:lang w:eastAsia="zh-CN"/>
        </w:rPr>
        <w:t>业和</w:t>
      </w:r>
      <w:r>
        <w:rPr>
          <w:rFonts w:hint="eastAsia" w:ascii="仿宋_GB2312" w:hAnsi="仿宋_GB2312" w:eastAsia="仿宋_GB2312" w:cs="仿宋_GB2312"/>
          <w:sz w:val="32"/>
          <w:szCs w:val="28"/>
        </w:rPr>
        <w:t>信</w:t>
      </w:r>
      <w:r>
        <w:rPr>
          <w:rFonts w:hint="eastAsia" w:ascii="仿宋_GB2312" w:hAnsi="仿宋_GB2312" w:eastAsia="仿宋_GB2312" w:cs="仿宋_GB2312"/>
          <w:sz w:val="32"/>
          <w:szCs w:val="28"/>
          <w:lang w:eastAsia="zh-CN"/>
        </w:rPr>
        <w:t>息化</w:t>
      </w:r>
      <w:r>
        <w:rPr>
          <w:rFonts w:hint="eastAsia" w:ascii="仿宋_GB2312" w:hAnsi="仿宋_GB2312" w:eastAsia="仿宋_GB2312" w:cs="仿宋_GB2312"/>
          <w:sz w:val="32"/>
          <w:szCs w:val="28"/>
        </w:rPr>
        <w:t>局方面实现不低于20%的非重点用能企业用能单位（厂级）计量采集点（水电油气煤）数据实时接入（或采集）和上传。</w:t>
      </w:r>
    </w:p>
    <w:p>
      <w:pPr>
        <w:spacing w:line="560" w:lineRule="exact"/>
        <w:ind w:firstLine="640" w:firstLineChars="200"/>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（3）安全应急管理</w:t>
      </w:r>
    </w:p>
    <w:p>
      <w:pPr>
        <w:spacing w:line="560" w:lineRule="exact"/>
        <w:ind w:firstLine="640" w:firstLineChars="200"/>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实现建设区二维地图上的园区管理和应急管理；实现核心区三维地图上的园区管理和应急管理；化工园区实现三维地图上的园区管理和应急管理；数据范围包括重大危险源、储罐感知数据，重点监管的危险化工工艺装置的感知数据，厂区可燃有毒气体泄漏的感知数据、视频数据；重点应急监管企业名录中企业100%、其</w:t>
      </w:r>
      <w:r>
        <w:rPr>
          <w:rFonts w:hint="eastAsia" w:ascii="仿宋_GB2312" w:hAnsi="仿宋_GB2312" w:eastAsia="仿宋_GB2312" w:cs="仿宋_GB2312"/>
          <w:sz w:val="32"/>
          <w:szCs w:val="28"/>
          <w:lang w:eastAsia="zh-CN"/>
        </w:rPr>
        <w:t>它</w:t>
      </w:r>
      <w:r>
        <w:rPr>
          <w:rFonts w:hint="eastAsia" w:ascii="仿宋_GB2312" w:hAnsi="仿宋_GB2312" w:eastAsia="仿宋_GB2312" w:cs="仿宋_GB2312"/>
          <w:sz w:val="32"/>
          <w:szCs w:val="28"/>
        </w:rPr>
        <w:t>入园企业不低于20%实现数据实时接入（或采集）和上传；重大危险源各监测数据和视频接入率不低于20%；非重大危险源各监测数据和视频接入率不低于20%；参照化工园区封闭化管理有关标准，实现出入车辆登记、危化品车辆关键环节监管；园区自有车辆100%安装北斗/GPS等导航系统，并实现数据实时获取；外来车辆实现100%的重点区域进入监管，包括车辆行使路线、关键区域进入、违停等；部署封闭闸口及危化品运输车辆监控终端设备，各卡口应具有车辆识别和人脸识别功能；建设智能安全用电监测与主动式节能降耗系统。</w:t>
      </w:r>
    </w:p>
    <w:p>
      <w:pPr>
        <w:spacing w:line="560" w:lineRule="exact"/>
        <w:ind w:firstLine="640" w:firstLineChars="200"/>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（4）环保监测</w:t>
      </w:r>
    </w:p>
    <w:p>
      <w:pPr>
        <w:spacing w:line="560" w:lineRule="exact"/>
        <w:ind w:firstLine="640" w:firstLineChars="200"/>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数据范围包括重点排污单位自行监测数据、视频数据；重点排污单位名录中企业实现数据实时接入（或采集）和上传；各监测点数据和视频接入率不低于20%。</w:t>
      </w:r>
    </w:p>
    <w:p>
      <w:pPr>
        <w:spacing w:line="560" w:lineRule="exact"/>
        <w:ind w:firstLine="640" w:firstLineChars="200"/>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（5）人力资源管理</w:t>
      </w:r>
    </w:p>
    <w:p>
      <w:pPr>
        <w:spacing w:line="560" w:lineRule="exact"/>
        <w:ind w:firstLine="640" w:firstLineChars="200"/>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建设具有用工统计、在线培训和技能考核等功能的人力资源管理系统；进出加强管理、登记，使用具有安全防疫、人脸识别功能的设备设施。</w:t>
      </w:r>
    </w:p>
    <w:p>
      <w:pPr>
        <w:spacing w:line="560" w:lineRule="exact"/>
        <w:ind w:firstLine="640" w:firstLineChars="200"/>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（6）交通物流</w:t>
      </w:r>
    </w:p>
    <w:p>
      <w:pPr>
        <w:spacing w:line="560" w:lineRule="exact"/>
        <w:ind w:firstLine="640" w:firstLineChars="200"/>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主次干道实现车辆轨迹监控、违章监控并接入原有道路监控视频。</w:t>
      </w:r>
    </w:p>
    <w:p>
      <w:pPr>
        <w:spacing w:line="560" w:lineRule="exact"/>
        <w:ind w:firstLine="640" w:firstLineChars="200"/>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（7）综合服务</w:t>
      </w:r>
    </w:p>
    <w:p>
      <w:pPr>
        <w:spacing w:line="560" w:lineRule="exact"/>
        <w:ind w:firstLine="640" w:firstLineChars="200"/>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建设基于云服务的线上线下融合视频会议系统；提供智慧党建基础应用。</w:t>
      </w:r>
    </w:p>
    <w:p>
      <w:pPr>
        <w:spacing w:line="560" w:lineRule="exact"/>
        <w:ind w:firstLine="640" w:firstLineChars="200"/>
        <w:rPr>
          <w:rFonts w:ascii="Times New Roman" w:hAnsi="Times New Roman" w:eastAsia="楷体_GB2312" w:cs="Times New Roman"/>
          <w:sz w:val="32"/>
          <w:szCs w:val="28"/>
        </w:rPr>
      </w:pPr>
      <w:r>
        <w:rPr>
          <w:rFonts w:ascii="Times New Roman" w:hAnsi="Times New Roman" w:eastAsia="楷体_GB2312" w:cs="Times New Roman"/>
          <w:sz w:val="32"/>
          <w:szCs w:val="28"/>
        </w:rPr>
        <w:t>（三）创新支撑基础设施</w:t>
      </w:r>
    </w:p>
    <w:p>
      <w:pPr>
        <w:spacing w:line="560" w:lineRule="exact"/>
        <w:ind w:firstLine="640" w:firstLineChars="200"/>
        <w:rPr>
          <w:rFonts w:ascii="Times New Roman" w:hAnsi="Times New Roman" w:eastAsia="仿宋_GB2312" w:cs="Times New Roman"/>
          <w:sz w:val="32"/>
          <w:szCs w:val="28"/>
        </w:rPr>
      </w:pPr>
      <w:r>
        <w:rPr>
          <w:rFonts w:ascii="Times New Roman" w:hAnsi="Times New Roman" w:eastAsia="仿宋_GB2312" w:cs="Times New Roman"/>
          <w:sz w:val="32"/>
          <w:szCs w:val="28"/>
        </w:rPr>
        <w:t>构建战略研究平台，通过开展定期调研、研讨等形式，充分把握各园区内主要企业技术研究方向、动态与科技研发需求以及所面临的困难与问题。通过政策引导等方式，着力提升开发区高新技术企业数量和质量，鼓励各园区向主导产业明确、关联企业集聚、综合配套能力较为完备的方向发展。统筹布局建设全市科技研发基础设施和创新基地，针对各园区产业现状，引导关联企业建立产业共性技术研发基地，通过积极的资源共享、整合及财政资金的投入，逐步形成公共研发共享机制，提高原有资源的利用率。</w:t>
      </w:r>
    </w:p>
    <w:p>
      <w:pPr>
        <w:pStyle w:val="4"/>
        <w:spacing w:before="0" w:after="0" w:line="360" w:lineRule="auto"/>
        <w:ind w:firstLine="640" w:firstLineChars="200"/>
        <w:rPr>
          <w:rStyle w:val="47"/>
          <w:b w:val="0"/>
          <w:bCs w:val="0"/>
          <w:color w:val="auto"/>
        </w:rPr>
      </w:pPr>
      <w:r>
        <w:rPr>
          <w:rStyle w:val="47"/>
          <w:b w:val="0"/>
          <w:bCs w:val="0"/>
          <w:color w:val="auto"/>
        </w:rPr>
        <w:t>三、智慧工业园区建设</w:t>
      </w:r>
    </w:p>
    <w:p>
      <w:pPr>
        <w:spacing w:line="560" w:lineRule="exact"/>
        <w:ind w:firstLine="640" w:firstLineChars="200"/>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加快推进智慧工业园区建设，重点推动智慧交通、智慧物流、智能制造、智能安全监管等重点工程，统建“经济运行监测”“能耗监测”“安全应急管理”“环保监测”“交通物流”“人力资源管理”和“综合服务”七个模块，实现企业运行数据采集、安全环保在线监控、突发事件应急响应、交通物流协调调度、入园企业综合服务等数据应用功能。</w:t>
      </w:r>
    </w:p>
    <w:p>
      <w:pPr>
        <w:spacing w:line="560" w:lineRule="exact"/>
        <w:ind w:firstLine="640" w:firstLineChars="200"/>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建设智慧园区管理服务平台，实现工业园区经济运行监测、能耗监测、安全应急管理、环保监测的全覆盖，加强园区企业考核，严格奖惩管理办法执行。</w:t>
      </w:r>
    </w:p>
    <w:p>
      <w:pPr>
        <w:adjustRightInd w:val="0"/>
        <w:jc w:val="center"/>
        <w:rPr>
          <w:rFonts w:ascii="Times New Roman" w:hAnsi="Times New Roman" w:cs="Times New Roman"/>
        </w:rPr>
      </w:pPr>
      <w:r>
        <w:rPr>
          <w:rFonts w:ascii="Times New Roman" w:hAnsi="Times New Roman" w:cs="Times New Roman"/>
        </w:rPr>
        <w:drawing>
          <wp:inline distT="0" distB="0" distL="114300" distR="114300">
            <wp:extent cx="4817745" cy="2692400"/>
            <wp:effectExtent l="0" t="0" r="1905" b="0"/>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9"/>
                    <a:stretch>
                      <a:fillRect/>
                    </a:stretch>
                  </pic:blipFill>
                  <pic:spPr>
                    <a:xfrm>
                      <a:off x="0" y="0"/>
                      <a:ext cx="4817795" cy="2692151"/>
                    </a:xfrm>
                    <a:prstGeom prst="rect">
                      <a:avLst/>
                    </a:prstGeom>
                    <a:noFill/>
                    <a:ln w="9525">
                      <a:noFill/>
                      <a:miter/>
                    </a:ln>
                  </pic:spPr>
                </pic:pic>
              </a:graphicData>
            </a:graphic>
          </wp:inline>
        </w:drawing>
      </w:r>
    </w:p>
    <w:p>
      <w:pPr>
        <w:jc w:val="center"/>
        <w:rPr>
          <w:rFonts w:hint="eastAsia" w:ascii="黑体" w:hAnsi="黑体" w:eastAsia="黑体" w:cs="黑体"/>
          <w:sz w:val="28"/>
          <w:szCs w:val="28"/>
        </w:rPr>
      </w:pPr>
      <w:r>
        <w:rPr>
          <w:rFonts w:hint="eastAsia" w:ascii="黑体" w:hAnsi="黑体" w:eastAsia="黑体" w:cs="黑体"/>
          <w:sz w:val="28"/>
          <w:szCs w:val="28"/>
        </w:rPr>
        <w:t>图4-2智慧工业园区平台示意图</w:t>
      </w:r>
    </w:p>
    <w:p>
      <w:pPr>
        <w:ind w:firstLine="636"/>
        <w:rPr>
          <w:rFonts w:ascii="Times New Roman" w:hAnsi="Times New Roman" w:eastAsia="仿宋_GB2312" w:cs="Times New Roman"/>
          <w:sz w:val="16"/>
          <w:szCs w:val="16"/>
        </w:rPr>
      </w:pPr>
    </w:p>
    <w:p>
      <w:pPr>
        <w:pStyle w:val="4"/>
        <w:spacing w:before="0" w:after="0" w:line="360" w:lineRule="auto"/>
        <w:ind w:firstLine="640" w:firstLineChars="200"/>
        <w:rPr>
          <w:rStyle w:val="47"/>
          <w:b w:val="0"/>
          <w:bCs w:val="0"/>
          <w:color w:val="auto"/>
        </w:rPr>
      </w:pPr>
      <w:r>
        <w:rPr>
          <w:rStyle w:val="47"/>
          <w:b w:val="0"/>
          <w:bCs w:val="0"/>
          <w:color w:val="auto"/>
        </w:rPr>
        <w:t>四、智能工厂建设</w:t>
      </w:r>
    </w:p>
    <w:p>
      <w:pPr>
        <w:ind w:firstLine="636"/>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以工业园区企业为试点，以推广动态感知、互联互通、数据集成和智能管控系统为抓手，推动企业采用智能设备、自动化技术、自动识别技术等数字技术，促进车间计划排产、加工装配、检验检测、能耗管理等各生产环节的智能协作与联动，建设数字化车间。在铁合金、电石、民爆等行业实施“机器换人”。深入推进“两化融合”，开展企业数字化诊断，推动规模以上工业企业“两化融合”贯标。</w:t>
      </w:r>
    </w:p>
    <w:p>
      <w:pPr>
        <w:pStyle w:val="3"/>
        <w:spacing w:before="312" w:beforeLines="100" w:after="312" w:afterLines="100"/>
        <w:rPr>
          <w:rFonts w:ascii="Times New Roman" w:hAnsi="Times New Roman" w:eastAsia="楷体_GB2312"/>
          <w:b w:val="0"/>
          <w:bCs w:val="0"/>
          <w:sz w:val="32"/>
        </w:rPr>
      </w:pPr>
      <w:bookmarkStart w:id="25" w:name="_Toc26499"/>
      <w:r>
        <w:rPr>
          <w:rFonts w:ascii="Times New Roman" w:hAnsi="Times New Roman" w:eastAsia="楷体_GB2312"/>
          <w:b w:val="0"/>
          <w:bCs w:val="0"/>
          <w:sz w:val="32"/>
        </w:rPr>
        <w:t xml:space="preserve">第四节 </w:t>
      </w:r>
      <w:bookmarkEnd w:id="25"/>
      <w:r>
        <w:rPr>
          <w:rFonts w:ascii="Times New Roman" w:hAnsi="Times New Roman" w:eastAsia="楷体_GB2312"/>
          <w:b w:val="0"/>
          <w:bCs w:val="0"/>
          <w:sz w:val="32"/>
        </w:rPr>
        <w:t>优化园区管理服务机制</w:t>
      </w:r>
    </w:p>
    <w:p>
      <w:pPr>
        <w:pStyle w:val="4"/>
        <w:spacing w:before="0" w:after="0" w:line="360" w:lineRule="auto"/>
        <w:ind w:firstLine="640" w:firstLineChars="200"/>
        <w:rPr>
          <w:rStyle w:val="47"/>
          <w:b w:val="0"/>
          <w:bCs w:val="0"/>
          <w:color w:val="auto"/>
        </w:rPr>
      </w:pPr>
      <w:r>
        <w:rPr>
          <w:rStyle w:val="47"/>
          <w:b w:val="0"/>
          <w:bCs w:val="0"/>
          <w:color w:val="auto"/>
        </w:rPr>
        <w:t>一、明确园区管理职能定位</w:t>
      </w:r>
    </w:p>
    <w:p>
      <w:pPr>
        <w:spacing w:line="560" w:lineRule="exact"/>
        <w:ind w:firstLine="640" w:firstLineChars="200"/>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强化园区管理机构招商引资、投资服务、经济运行、项目建设等功能，增强工业园区管理机构服务企业的积极性、主动性；因地制宜精简或逐步剥离教育卫生、公共文化、行政执法等社会事务管理和服务职能，由园区所在旗区政府按照管理权限做好承接工作，确保剥离的社会事务管理和服务职能承接到位。加大简政放权力度，将能够下放的管理权限下放给园区并实行清单管理，确保园区管理机构有充分的权限统筹园区管理、协调发展。</w:t>
      </w:r>
    </w:p>
    <w:p>
      <w:pPr>
        <w:pStyle w:val="4"/>
        <w:spacing w:before="0" w:after="0" w:line="360" w:lineRule="auto"/>
        <w:ind w:firstLine="640" w:firstLineChars="200"/>
        <w:rPr>
          <w:rStyle w:val="47"/>
          <w:rFonts w:hint="eastAsia" w:ascii="黑体" w:hAnsi="黑体" w:eastAsia="黑体" w:cs="黑体"/>
          <w:b w:val="0"/>
          <w:bCs w:val="0"/>
          <w:color w:val="auto"/>
        </w:rPr>
      </w:pPr>
      <w:r>
        <w:rPr>
          <w:rStyle w:val="47"/>
          <w:rFonts w:hint="eastAsia" w:ascii="黑体" w:hAnsi="黑体" w:eastAsia="黑体" w:cs="黑体"/>
          <w:b w:val="0"/>
          <w:bCs w:val="0"/>
          <w:color w:val="auto"/>
        </w:rPr>
        <w:t>二、提升园区管理服务效能</w:t>
      </w:r>
    </w:p>
    <w:p>
      <w:pPr>
        <w:spacing w:line="560" w:lineRule="exact"/>
        <w:ind w:firstLine="640" w:firstLineChars="200"/>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园区所在旗区政府应将园区发展纳入国民经济和社会发展规划，制定促进工业园区发展的政策措施，建立重大问题议事协调机制，落实目标责任制和奖惩制度，推动工业园区健康有序发展，在规划编制、招商引资、基础设施建设等方面支持工业园区建设发展，完善要素保障机制，加大对园区内企业的用地、用电、用水、用气、物流、用工、资金、技术、数据等要素的保障力度，为园区发展创造良好条件。</w:t>
      </w:r>
    </w:p>
    <w:p>
      <w:pPr>
        <w:pStyle w:val="3"/>
        <w:spacing w:before="312" w:beforeLines="100" w:after="312" w:afterLines="100"/>
        <w:rPr>
          <w:rFonts w:ascii="Times New Roman" w:hAnsi="Times New Roman" w:eastAsia="楷体_GB2312"/>
          <w:b w:val="0"/>
          <w:bCs w:val="0"/>
          <w:sz w:val="32"/>
        </w:rPr>
      </w:pPr>
      <w:bookmarkStart w:id="26" w:name="_Toc9360"/>
      <w:r>
        <w:rPr>
          <w:rFonts w:ascii="Times New Roman" w:hAnsi="Times New Roman" w:eastAsia="楷体_GB2312"/>
          <w:b w:val="0"/>
          <w:bCs w:val="0"/>
          <w:sz w:val="32"/>
        </w:rPr>
        <w:t>第五节 持续优化园区营商环境</w:t>
      </w:r>
      <w:bookmarkEnd w:id="26"/>
    </w:p>
    <w:p>
      <w:pPr>
        <w:spacing w:line="560" w:lineRule="exact"/>
        <w:ind w:firstLine="640" w:firstLineChars="200"/>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对标全国先进标准，树立用户思维，注重客户体验，持续深化“放管服”改革，更好激发市场主体活力和社会创造力，努力在法治诚信、智慧政务、企业服务、统筹协同等方面实现较大突破，让企业在鄂尔多斯投资放心、干事顺心、发展安心，着力打造市场化、法治化、国际化的营商环境。</w:t>
      </w:r>
    </w:p>
    <w:p>
      <w:pPr>
        <w:pStyle w:val="4"/>
        <w:spacing w:before="0" w:after="0" w:line="360" w:lineRule="auto"/>
        <w:ind w:firstLine="640" w:firstLineChars="200"/>
        <w:rPr>
          <w:rStyle w:val="47"/>
          <w:rFonts w:hint="eastAsia" w:ascii="黑体" w:hAnsi="黑体" w:eastAsia="黑体" w:cs="黑体"/>
          <w:b w:val="0"/>
          <w:bCs w:val="0"/>
          <w:color w:val="auto"/>
        </w:rPr>
      </w:pPr>
      <w:r>
        <w:rPr>
          <w:rStyle w:val="47"/>
          <w:rFonts w:hint="eastAsia" w:ascii="黑体" w:hAnsi="黑体" w:eastAsia="黑体" w:cs="黑体"/>
          <w:b w:val="0"/>
          <w:bCs w:val="0"/>
          <w:color w:val="auto"/>
        </w:rPr>
        <w:t>一、致力法治诚信，实现“投资放心”</w:t>
      </w:r>
    </w:p>
    <w:p>
      <w:pPr>
        <w:spacing w:line="560" w:lineRule="exact"/>
        <w:ind w:firstLine="640" w:firstLineChars="200"/>
        <w:rPr>
          <w:rFonts w:hint="eastAsia" w:ascii="仿宋_GB2312" w:hAnsi="仿宋_GB2312" w:eastAsia="仿宋_GB2312" w:cs="仿宋_GB2312"/>
          <w:sz w:val="32"/>
          <w:szCs w:val="28"/>
        </w:rPr>
      </w:pPr>
      <w:r>
        <w:rPr>
          <w:rFonts w:hint="eastAsia" w:ascii="楷体_GB2312" w:hAnsi="楷体_GB2312" w:eastAsia="楷体_GB2312" w:cs="楷体_GB2312"/>
          <w:sz w:val="32"/>
          <w:szCs w:val="28"/>
        </w:rPr>
        <w:t>（一）强化营商法治保障。</w:t>
      </w:r>
      <w:r>
        <w:rPr>
          <w:rFonts w:hint="eastAsia" w:ascii="仿宋_GB2312" w:hAnsi="仿宋_GB2312" w:eastAsia="仿宋_GB2312" w:cs="仿宋_GB2312"/>
          <w:sz w:val="32"/>
          <w:szCs w:val="28"/>
        </w:rPr>
        <w:t>深入贯彻《优化营商环境条例》，全面落实《鄂尔多斯市对标先进建设最优营商环境行动方案（500条）》，巩固总结一批深化改革、优化营商环境的经验做法，建立健全市场主体全生命周期法治服务体系。构建以市场主体和社会公众满意度为导向的法治化营商环境评估体系，定期发布法治化营商环境评估报告。</w:t>
      </w:r>
    </w:p>
    <w:p>
      <w:pPr>
        <w:spacing w:line="560" w:lineRule="exact"/>
        <w:ind w:firstLine="640" w:firstLineChars="200"/>
        <w:rPr>
          <w:rFonts w:hint="eastAsia" w:ascii="仿宋_GB2312" w:hAnsi="仿宋_GB2312" w:eastAsia="仿宋_GB2312" w:cs="仿宋_GB2312"/>
          <w:sz w:val="32"/>
          <w:szCs w:val="28"/>
        </w:rPr>
      </w:pPr>
      <w:r>
        <w:rPr>
          <w:rFonts w:ascii="Times New Roman" w:hAnsi="Times New Roman" w:eastAsia="楷体_GB2312" w:cs="Times New Roman"/>
          <w:sz w:val="32"/>
          <w:szCs w:val="28"/>
        </w:rPr>
        <w:t>（二）加强政务诚信建设。</w:t>
      </w:r>
      <w:r>
        <w:rPr>
          <w:rFonts w:hint="eastAsia" w:ascii="仿宋_GB2312" w:hAnsi="仿宋_GB2312" w:eastAsia="仿宋_GB2312" w:cs="仿宋_GB2312"/>
          <w:sz w:val="32"/>
          <w:szCs w:val="28"/>
        </w:rPr>
        <w:t>建立“政府承诺+社会监督+失信问责”机制，把各级</w:t>
      </w:r>
      <w:r>
        <w:rPr>
          <w:rFonts w:hint="eastAsia" w:ascii="仿宋_GB2312" w:hAnsi="仿宋_GB2312" w:eastAsia="仿宋_GB2312" w:cs="仿宋_GB2312"/>
          <w:sz w:val="32"/>
          <w:szCs w:val="28"/>
          <w:lang w:eastAsia="zh-CN"/>
        </w:rPr>
        <w:t>人民</w:t>
      </w:r>
      <w:r>
        <w:rPr>
          <w:rFonts w:hint="eastAsia" w:ascii="仿宋_GB2312" w:hAnsi="仿宋_GB2312" w:eastAsia="仿宋_GB2312" w:cs="仿宋_GB2312"/>
          <w:sz w:val="32"/>
          <w:szCs w:val="28"/>
        </w:rPr>
        <w:t>政府部门兑现政策、履行承诺、执行联合信用奖惩情况纳入政务诚信考核内容。在生态环境、社会保障、安全生产、市场监管、税务、价格、交通运输、文明交通、财政等重点领域，落实信用信息和信用产品在部门业务流程中的查询与应用，提高政务公信力。</w:t>
      </w:r>
    </w:p>
    <w:p>
      <w:pPr>
        <w:pStyle w:val="4"/>
        <w:spacing w:before="0" w:after="0" w:line="360" w:lineRule="auto"/>
        <w:ind w:firstLine="640" w:firstLineChars="200"/>
        <w:rPr>
          <w:rStyle w:val="47"/>
          <w:rFonts w:hint="eastAsia" w:ascii="黑体" w:hAnsi="黑体" w:eastAsia="黑体" w:cs="黑体"/>
          <w:b w:val="0"/>
          <w:bCs w:val="0"/>
          <w:color w:val="auto"/>
        </w:rPr>
      </w:pPr>
      <w:r>
        <w:rPr>
          <w:rStyle w:val="47"/>
          <w:rFonts w:hint="eastAsia" w:ascii="黑体" w:hAnsi="黑体" w:eastAsia="黑体" w:cs="黑体"/>
          <w:b w:val="0"/>
          <w:bCs w:val="0"/>
          <w:color w:val="auto"/>
        </w:rPr>
        <w:t>二、致力“放管服”改革，实现“干事顺心”</w:t>
      </w:r>
    </w:p>
    <w:p>
      <w:pPr>
        <w:spacing w:line="560" w:lineRule="exact"/>
        <w:ind w:firstLine="640" w:firstLineChars="200"/>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充分运用人工智能、大数据、云计算等现代信息技术，加快提升“互联网+政务服务”水平，加快复制推广“一站式服务”“一证通办”“一网通办”“不见面审批”“最多跑一次”改革创新经验。</w:t>
      </w:r>
    </w:p>
    <w:p>
      <w:pPr>
        <w:spacing w:line="560" w:lineRule="exact"/>
        <w:ind w:firstLine="640" w:firstLineChars="200"/>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增强园区招商投资等服务功能，全面实行容缺受理制和告知承诺制。探索推行“一窗受理+承诺容缺+并联审批+会商联审”模式，发挥“店小二”服务精神，做到精准服务，提高审批效率，努力实现让企业办事花最少的时间、跑最少的路、交最少的材料、找最少的部门。</w:t>
      </w:r>
    </w:p>
    <w:p>
      <w:pPr>
        <w:spacing w:line="560" w:lineRule="exact"/>
        <w:ind w:firstLine="640" w:firstLineChars="200"/>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深化落实区域评估机制。以园区（开发区）为单位，对工程建设项目审批过程中具有共性的前置性评估事项，重点包括环境影响评价、水资源论证、地质灾害危险性评估、水土保持方案论证、压覆重要矿产资源评估、文物保护评估、洪水影响评价、节能评价、地震安全性评价和气候可行性论证等，提前实施统一集中评估、评审，形成整体性、区域化评估评审结果，变工程建设项目评估评审的“单体评估”为“区域评估”，由企业申请后评审变为政府提前服务，逐步解决目前建设项目评估评审手续多、时间长等问题，进一步提高审批服务效率、减轻企业跑路和费用负担、促进建设项目尽快落地。</w:t>
      </w:r>
    </w:p>
    <w:p>
      <w:pPr>
        <w:pStyle w:val="4"/>
        <w:spacing w:before="0" w:after="0" w:line="360" w:lineRule="auto"/>
        <w:ind w:firstLine="640" w:firstLineChars="200"/>
        <w:rPr>
          <w:rStyle w:val="47"/>
          <w:rFonts w:hint="eastAsia" w:ascii="黑体" w:hAnsi="黑体" w:eastAsia="黑体" w:cs="黑体"/>
          <w:b w:val="0"/>
          <w:bCs w:val="0"/>
          <w:color w:val="auto"/>
        </w:rPr>
      </w:pPr>
      <w:r>
        <w:rPr>
          <w:rStyle w:val="47"/>
          <w:rFonts w:hint="eastAsia" w:ascii="黑体" w:hAnsi="黑体" w:eastAsia="黑体" w:cs="黑体"/>
          <w:b w:val="0"/>
          <w:bCs w:val="0"/>
          <w:color w:val="auto"/>
        </w:rPr>
        <w:t>三、致力亲商安商，实现“发展安心”</w:t>
      </w:r>
    </w:p>
    <w:p>
      <w:pPr>
        <w:spacing w:line="560" w:lineRule="exact"/>
        <w:ind w:firstLine="640" w:firstLineChars="200"/>
        <w:rPr>
          <w:rFonts w:hint="eastAsia" w:ascii="仿宋_GB2312" w:hAnsi="仿宋_GB2312" w:eastAsia="仿宋_GB2312" w:cs="仿宋_GB2312"/>
          <w:sz w:val="32"/>
          <w:szCs w:val="28"/>
        </w:rPr>
      </w:pPr>
      <w:r>
        <w:rPr>
          <w:rFonts w:hint="eastAsia" w:ascii="楷体_GB2312" w:hAnsi="楷体_GB2312" w:eastAsia="楷体_GB2312" w:cs="楷体_GB2312"/>
          <w:sz w:val="32"/>
          <w:szCs w:val="28"/>
        </w:rPr>
        <w:t>（一）畅通交流互动渠道。</w:t>
      </w:r>
      <w:r>
        <w:rPr>
          <w:rFonts w:hint="eastAsia" w:ascii="仿宋_GB2312" w:hAnsi="仿宋_GB2312" w:eastAsia="仿宋_GB2312" w:cs="仿宋_GB2312"/>
          <w:sz w:val="32"/>
          <w:szCs w:val="28"/>
        </w:rPr>
        <w:t>坚持“有求必应、无事不扰”，让企业的声音听得到、意见看得到、诉求办得到。探索建立民营企业月/季度沙龙、企业家微信群联系、企业信息直报等机制，为企业家提供全天候和个性化定制服务。进一步完善“一对一”“点对点”企业首席服务官制度工作机制，对重点工业企业、重点工业园区、重点工业项目实施“一对一”精准服务，协调解决企业（项目）在建设运营中用地、用电、用工、资金、市场开拓等方面面临的困难问题。以企业服务月、项目推进联席会议等多种方式，集中力量解决一批企业（项目）所反映的突出问题、共性问题，不断提升行政服务的水平和能力。</w:t>
      </w:r>
    </w:p>
    <w:p>
      <w:pPr>
        <w:spacing w:line="560" w:lineRule="exact"/>
        <w:ind w:firstLine="640" w:firstLineChars="200"/>
        <w:rPr>
          <w:rFonts w:hint="eastAsia" w:ascii="仿宋_GB2312" w:hAnsi="仿宋_GB2312" w:eastAsia="仿宋_GB2312" w:cs="仿宋_GB2312"/>
          <w:sz w:val="32"/>
          <w:szCs w:val="28"/>
        </w:rPr>
      </w:pPr>
      <w:r>
        <w:rPr>
          <w:rFonts w:ascii="Times New Roman" w:hAnsi="Times New Roman" w:eastAsia="楷体_GB2312" w:cs="Times New Roman"/>
          <w:sz w:val="32"/>
          <w:szCs w:val="28"/>
        </w:rPr>
        <w:t>（二）建立企业家参与涉企政策制定机制。</w:t>
      </w:r>
      <w:r>
        <w:rPr>
          <w:rFonts w:hint="eastAsia" w:ascii="仿宋_GB2312" w:hAnsi="仿宋_GB2312" w:eastAsia="仿宋_GB2312" w:cs="仿宋_GB2312"/>
          <w:sz w:val="32"/>
          <w:szCs w:val="28"/>
        </w:rPr>
        <w:t>研究制定企业家参与涉企政策制定的工作规范，明确分类听取企业家、行业商会协会的意见建议的规范性要求，对企业敏感的行业规定或限制性措施设置合理过渡期。建立企业家诉求反映的受理、处置、反馈机制，提出针对性解决方案。</w:t>
      </w:r>
    </w:p>
    <w:p>
      <w:pPr>
        <w:pStyle w:val="3"/>
        <w:spacing w:before="312" w:beforeLines="100" w:after="312" w:afterLines="100"/>
        <w:rPr>
          <w:rFonts w:ascii="Times New Roman" w:hAnsi="Times New Roman" w:eastAsia="楷体_GB2312"/>
          <w:b w:val="0"/>
          <w:bCs w:val="0"/>
          <w:sz w:val="32"/>
        </w:rPr>
      </w:pPr>
      <w:bookmarkStart w:id="27" w:name="_Toc12622"/>
      <w:r>
        <w:rPr>
          <w:rFonts w:ascii="Times New Roman" w:hAnsi="Times New Roman" w:eastAsia="楷体_GB2312"/>
          <w:b w:val="0"/>
          <w:bCs w:val="0"/>
          <w:sz w:val="32"/>
        </w:rPr>
        <w:t>第六节 强化园区开放合作功能</w:t>
      </w:r>
      <w:bookmarkEnd w:id="27"/>
    </w:p>
    <w:p>
      <w:pPr>
        <w:pStyle w:val="4"/>
        <w:spacing w:before="0" w:after="0" w:line="360" w:lineRule="auto"/>
        <w:ind w:firstLine="640" w:firstLineChars="200"/>
        <w:rPr>
          <w:rStyle w:val="47"/>
          <w:b w:val="0"/>
          <w:bCs w:val="0"/>
          <w:color w:val="auto"/>
        </w:rPr>
      </w:pPr>
      <w:r>
        <w:rPr>
          <w:rStyle w:val="47"/>
          <w:b w:val="0"/>
          <w:bCs w:val="0"/>
          <w:color w:val="auto"/>
        </w:rPr>
        <w:t>一、支持周边地区合作共建</w:t>
      </w:r>
    </w:p>
    <w:p>
      <w:pPr>
        <w:spacing w:line="560" w:lineRule="exact"/>
        <w:ind w:firstLine="640" w:firstLineChars="200"/>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积极融入和推动呼包鄂榆城市群建设发展，加强与宁夏、陕西、山西等周边省区的合作。在突出各开发区产业定位、发展特色基础上，加强开发区之间产业配套协作和循环补链工作。建设各开发区之间、开发区与行政区之间的合作机制。支持发展条件互补的园区围绕主导产业优化布局和产业链延伸配套。例如，引导装备制造产业园整车制造产业链相关的铸件、锻件类补链项目，落地于周边开发区，探索地区生产总值和税收分享、环境容量分担等政策创新，形成全市乃至周边更广泛区域的产业链互补协作、一体化发展模式。</w:t>
      </w:r>
    </w:p>
    <w:p>
      <w:pPr>
        <w:pStyle w:val="4"/>
        <w:spacing w:before="0" w:after="0" w:line="360" w:lineRule="auto"/>
        <w:ind w:firstLine="640" w:firstLineChars="200"/>
        <w:rPr>
          <w:rStyle w:val="47"/>
          <w:b w:val="0"/>
          <w:bCs w:val="0"/>
          <w:color w:val="auto"/>
        </w:rPr>
      </w:pPr>
      <w:r>
        <w:rPr>
          <w:rStyle w:val="47"/>
          <w:b w:val="0"/>
          <w:bCs w:val="0"/>
          <w:color w:val="auto"/>
        </w:rPr>
        <w:t>二、重点加强与发达地区合作</w:t>
      </w:r>
    </w:p>
    <w:p>
      <w:pPr>
        <w:spacing w:line="560" w:lineRule="exact"/>
        <w:ind w:firstLine="640" w:firstLineChars="200"/>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发挥蒙苏经济开发区示范带动作用，重点加强对接京津冀、长三角、粤港澳大湾区等发达地区，探索从双向集群招商、产业链互补招商、共建园区等方面开展合作。鼓励各旗区围绕特色优势产业与市外地区进行城对城、园对园对接，承接产业转移。按照“经济协同、产业转承”的思路，积极推进产业梯度转移型飞地模式，建立产业转移示范区，促进行业领军企业与鄂尔多斯优势资源嫁接，积极承接装备制造、新材料、新能源、电子信息等产业的转移。</w:t>
      </w:r>
    </w:p>
    <w:p>
      <w:pPr>
        <w:spacing w:line="560" w:lineRule="exact"/>
        <w:ind w:firstLine="640" w:firstLineChars="200"/>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积极选派优秀干部赴上海、江苏、浙江等东部地区国家级经开区和国家级高新区挂职锻炼。深入学习和借鉴发达地区发展理念、模式和经验，积极促进区域经济交流与合作。同时，也使挂职干部进一步开阔眼界、丰富阅历、增长才干，为推动全市经济社会发展提供人才保障和智力支持。</w:t>
      </w:r>
    </w:p>
    <w:p>
      <w:pPr>
        <w:pStyle w:val="4"/>
        <w:spacing w:before="0" w:after="0" w:line="360" w:lineRule="auto"/>
        <w:ind w:firstLine="640" w:firstLineChars="200"/>
        <w:rPr>
          <w:rStyle w:val="47"/>
          <w:b w:val="0"/>
          <w:bCs w:val="0"/>
          <w:color w:val="auto"/>
        </w:rPr>
      </w:pPr>
      <w:r>
        <w:rPr>
          <w:rStyle w:val="47"/>
          <w:b w:val="0"/>
          <w:bCs w:val="0"/>
          <w:color w:val="auto"/>
        </w:rPr>
        <w:t>三、鼓励开展跨国合作</w:t>
      </w:r>
    </w:p>
    <w:p>
      <w:pPr>
        <w:spacing w:line="560" w:lineRule="exact"/>
        <w:ind w:firstLine="640" w:firstLineChars="200"/>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支持园区开展共建“一带一路”经贸领域合作，参与境外经贸合作区建设。抓住国家重大开放战略机遇，放宽国际化视野，鼓励园区企业加强与“一带一路”沿线国家合作，走出去拓展市场、共谋发展。积极利用国内外多重展会、论坛、友好城市等平台，建立城市间、地区间经常性贸易往来联系，积极向西开拓中亚、西亚、中东欧市场，大力提升全市工业经济对外开放的广度和深度。</w:t>
      </w:r>
    </w:p>
    <w:p>
      <w:pPr>
        <w:spacing w:line="560" w:lineRule="exact"/>
        <w:ind w:firstLine="640" w:firstLineChars="200"/>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支持有条件的自治区级开发区按规定程序申报升级为国家级开发区。鼓励自治区级开发区提高发展水平和建设标准，通过申请升级或设立为国家级经开区、国家级高新区争取国家更大的政策支持。重点培育1-2家综合发展水平高、具有示范带动作用的自治区级经济开发区，作为升级国家级经济开发区的后备力量。</w:t>
      </w:r>
    </w:p>
    <w:p>
      <w:pPr>
        <w:spacing w:line="560" w:lineRule="exact"/>
        <w:jc w:val="center"/>
        <w:rPr>
          <w:rFonts w:hint="eastAsia" w:ascii="黑体" w:hAnsi="黑体" w:eastAsia="黑体" w:cs="黑体"/>
          <w:sz w:val="28"/>
          <w:szCs w:val="28"/>
        </w:rPr>
      </w:pPr>
      <w:r>
        <w:rPr>
          <w:rFonts w:hint="eastAsia" w:ascii="黑体" w:hAnsi="黑体" w:eastAsia="黑体" w:cs="黑体"/>
          <w:sz w:val="28"/>
          <w:szCs w:val="28"/>
        </w:rPr>
        <w:t>专栏4-2自治区级经济开发区升级国家级经济开发区申报条件</w:t>
      </w:r>
    </w:p>
    <w:tbl>
      <w:tblPr>
        <w:tblStyle w:val="24"/>
        <w:tblW w:w="488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8"/>
        <w:gridCol w:w="77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09" w:type="pct"/>
            <w:vAlign w:val="center"/>
          </w:tcPr>
          <w:p>
            <w:pPr>
              <w:snapToGrid w:val="0"/>
              <w:spacing w:line="44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综合发展情况</w:t>
            </w:r>
          </w:p>
        </w:tc>
        <w:tc>
          <w:tcPr>
            <w:tcW w:w="4390" w:type="pct"/>
            <w:vAlign w:val="center"/>
          </w:tcPr>
          <w:p>
            <w:pPr>
              <w:widowControl/>
              <w:snapToGrid w:val="0"/>
              <w:spacing w:line="44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1．参照国家级开发区投资环境综合评价办法，申请升级的自治区级开发区综合经济实力需达到同期自治区内国家级开发区中等以上发展水平。</w:t>
            </w:r>
          </w:p>
          <w:p>
            <w:pPr>
              <w:widowControl/>
              <w:snapToGrid w:val="0"/>
              <w:spacing w:line="44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2．申请升级的自治区级开发区上年度主要经济指标位于所在自治区的自治区级开发区排名前五位。</w:t>
            </w:r>
          </w:p>
          <w:p>
            <w:pPr>
              <w:widowControl/>
              <w:snapToGrid w:val="0"/>
              <w:spacing w:line="44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3．申请升级的开发区必须达到以下发展基础：</w:t>
            </w:r>
          </w:p>
          <w:p>
            <w:pPr>
              <w:widowControl/>
              <w:snapToGrid w:val="0"/>
              <w:spacing w:line="44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（1）年工业产值每平方公里15亿元以上；</w:t>
            </w:r>
          </w:p>
          <w:p>
            <w:pPr>
              <w:widowControl/>
              <w:snapToGrid w:val="0"/>
              <w:spacing w:line="44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（2）年实现税收收入达到5亿元以上；</w:t>
            </w:r>
          </w:p>
          <w:p>
            <w:pPr>
              <w:widowControl/>
              <w:snapToGrid w:val="0"/>
              <w:spacing w:line="44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（3）年出口额达到2.5亿美元以上；</w:t>
            </w:r>
          </w:p>
          <w:p>
            <w:pPr>
              <w:widowControl/>
              <w:snapToGrid w:val="0"/>
              <w:spacing w:line="44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（4）实际吸收外资直接投资累计达到5亿美元。</w:t>
            </w:r>
          </w:p>
        </w:tc>
      </w:tr>
    </w:tbl>
    <w:p>
      <w:pPr>
        <w:pStyle w:val="2"/>
        <w:spacing w:line="578" w:lineRule="atLeast"/>
        <w:jc w:val="center"/>
        <w:rPr>
          <w:rFonts w:ascii="Times New Roman" w:hAnsi="Times New Roman" w:eastAsia="黑体" w:cs="Times New Roman"/>
          <w:b w:val="0"/>
          <w:bCs w:val="0"/>
          <w:sz w:val="32"/>
          <w:szCs w:val="32"/>
        </w:rPr>
      </w:pPr>
      <w:bookmarkStart w:id="28" w:name="_Toc25742"/>
      <w:r>
        <w:rPr>
          <w:rFonts w:ascii="Times New Roman" w:hAnsi="Times New Roman" w:eastAsia="黑体" w:cs="Times New Roman"/>
          <w:b w:val="0"/>
          <w:bCs w:val="0"/>
          <w:sz w:val="32"/>
          <w:szCs w:val="32"/>
        </w:rPr>
        <w:t>第五章 保障措施</w:t>
      </w:r>
      <w:bookmarkEnd w:id="28"/>
    </w:p>
    <w:p>
      <w:pPr>
        <w:pStyle w:val="3"/>
        <w:spacing w:before="312" w:beforeLines="100" w:after="312" w:afterLines="100"/>
        <w:rPr>
          <w:rFonts w:ascii="Times New Roman" w:hAnsi="Times New Roman" w:eastAsia="楷体_GB2312"/>
          <w:b w:val="0"/>
          <w:bCs w:val="0"/>
          <w:sz w:val="32"/>
        </w:rPr>
      </w:pPr>
      <w:bookmarkStart w:id="29" w:name="_Toc27554607"/>
      <w:bookmarkStart w:id="30" w:name="_Toc3795"/>
      <w:r>
        <w:rPr>
          <w:rFonts w:ascii="Times New Roman" w:hAnsi="Times New Roman" w:eastAsia="楷体_GB2312"/>
          <w:b w:val="0"/>
          <w:bCs w:val="0"/>
          <w:sz w:val="32"/>
        </w:rPr>
        <w:t>第一节 组织保障</w:t>
      </w:r>
      <w:bookmarkEnd w:id="29"/>
      <w:bookmarkEnd w:id="30"/>
    </w:p>
    <w:p>
      <w:pPr>
        <w:pStyle w:val="4"/>
        <w:spacing w:before="0" w:after="0" w:line="360" w:lineRule="auto"/>
        <w:ind w:firstLine="640" w:firstLineChars="200"/>
        <w:rPr>
          <w:rStyle w:val="47"/>
          <w:b w:val="0"/>
          <w:bCs w:val="0"/>
          <w:color w:val="auto"/>
        </w:rPr>
      </w:pPr>
      <w:r>
        <w:rPr>
          <w:rStyle w:val="47"/>
          <w:b w:val="0"/>
          <w:bCs w:val="0"/>
          <w:color w:val="auto"/>
        </w:rPr>
        <w:t>一、健全规划体系</w:t>
      </w:r>
    </w:p>
    <w:p>
      <w:pPr>
        <w:spacing w:line="560" w:lineRule="exact"/>
        <w:ind w:firstLine="640" w:firstLineChars="200"/>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将本规划内容纳入国土空间规划体系。探索市、旗区及各园区发展规划、专项规划、空间规划等的“多规合一”，形成一个区域一本规划、一张蓝图，强化国土空间规划对各专项规划的约束指导作用。建设实现发革、自然资源、工信等部门间信息共享和审批信息实时联动的信息管理平台，为政府决策提供依据和落实政府决策。各工业园区应按本规划修编园区总体规划和产业发展规划，明确发展目标、产业特色、空间布局和生态环境保护等内容，按照程序报批后组织实施。</w:t>
      </w:r>
    </w:p>
    <w:p>
      <w:pPr>
        <w:pStyle w:val="4"/>
        <w:spacing w:before="0" w:after="0" w:line="360" w:lineRule="auto"/>
        <w:ind w:firstLine="640" w:firstLineChars="200"/>
        <w:rPr>
          <w:rStyle w:val="47"/>
          <w:b w:val="0"/>
          <w:bCs w:val="0"/>
          <w:color w:val="auto"/>
        </w:rPr>
      </w:pPr>
      <w:r>
        <w:rPr>
          <w:rStyle w:val="47"/>
          <w:b w:val="0"/>
          <w:bCs w:val="0"/>
          <w:color w:val="auto"/>
        </w:rPr>
        <w:t>二、完善工作机制</w:t>
      </w:r>
    </w:p>
    <w:p>
      <w:pPr>
        <w:spacing w:line="560" w:lineRule="exact"/>
        <w:ind w:firstLine="640" w:firstLineChars="200"/>
        <w:rPr>
          <w:rFonts w:ascii="Times New Roman" w:hAnsi="Times New Roman" w:eastAsia="仿宋_GB2312" w:cs="Times New Roman"/>
          <w:sz w:val="32"/>
          <w:szCs w:val="28"/>
        </w:rPr>
      </w:pPr>
      <w:r>
        <w:rPr>
          <w:rFonts w:ascii="Times New Roman" w:hAnsi="Times New Roman" w:eastAsia="仿宋_GB2312" w:cs="Times New Roman"/>
          <w:sz w:val="32"/>
          <w:szCs w:val="28"/>
        </w:rPr>
        <w:t>围绕规划制定的各项目标、重点任务以及保障措施，制定实施方案或行动计划与专项推进工作方案，明确市级部门、各旗区政府、园区任务分工以及年度计划。建立重点工业项目建设、重点产业培育通报与考核制度，实行一月一调度、一季一通报、半年一观摩、一年一考核，并将检查结果纳入干部考评与选拔任用指标当中，同时推进中期评估和后评估工作，完善规划动态修订机制。</w:t>
      </w:r>
    </w:p>
    <w:p>
      <w:pPr>
        <w:spacing w:line="560" w:lineRule="exact"/>
        <w:ind w:firstLine="640" w:firstLineChars="200"/>
        <w:rPr>
          <w:rFonts w:ascii="Times New Roman" w:hAnsi="Times New Roman" w:eastAsia="仿宋_GB2312" w:cs="Times New Roman"/>
          <w:sz w:val="32"/>
          <w:szCs w:val="28"/>
        </w:rPr>
      </w:pPr>
      <w:r>
        <w:rPr>
          <w:rFonts w:ascii="Times New Roman" w:hAnsi="Times New Roman" w:eastAsia="仿宋_GB2312" w:cs="Times New Roman"/>
          <w:sz w:val="32"/>
          <w:szCs w:val="28"/>
        </w:rPr>
        <w:t>对重大项目、重点工作专班推进，大力推行一线工作法，切实做到靠前指挥在一线、责任落实在一线、问题发现在一线、困难解决在一线。</w:t>
      </w:r>
    </w:p>
    <w:p>
      <w:pPr>
        <w:pStyle w:val="4"/>
        <w:spacing w:before="0" w:after="0" w:line="360" w:lineRule="auto"/>
        <w:ind w:firstLine="640" w:firstLineChars="200"/>
        <w:rPr>
          <w:rStyle w:val="47"/>
          <w:b w:val="0"/>
          <w:bCs w:val="0"/>
          <w:color w:val="auto"/>
        </w:rPr>
      </w:pPr>
      <w:r>
        <w:rPr>
          <w:rStyle w:val="47"/>
          <w:b w:val="0"/>
          <w:bCs w:val="0"/>
          <w:color w:val="auto"/>
        </w:rPr>
        <w:t>三、加强舆论宣传</w:t>
      </w:r>
    </w:p>
    <w:p>
      <w:pPr>
        <w:spacing w:line="560" w:lineRule="exact"/>
        <w:ind w:firstLine="640" w:firstLineChars="200"/>
        <w:rPr>
          <w:rFonts w:ascii="Times New Roman" w:hAnsi="Times New Roman" w:eastAsia="仿宋_GB2312" w:cs="Times New Roman"/>
          <w:sz w:val="32"/>
          <w:szCs w:val="28"/>
        </w:rPr>
      </w:pPr>
      <w:r>
        <w:rPr>
          <w:rFonts w:ascii="Times New Roman" w:hAnsi="Times New Roman" w:eastAsia="仿宋_GB2312" w:cs="Times New Roman"/>
          <w:sz w:val="32"/>
          <w:szCs w:val="28"/>
        </w:rPr>
        <w:t>通过开辟宣传专栏、微信公众号、举办政策宣讲等形式，加强宣传引导。对于市场主体关注的重点难点问题，及时研究解决，回应社会关切，合理引导预期。对已出台的优化营商环境政策措施要及时跟进解读，准确传递权威信息和政策意图，并向企业精准推送各类优惠政策信息。</w:t>
      </w:r>
      <w:bookmarkStart w:id="31" w:name="_Toc27554608"/>
    </w:p>
    <w:p>
      <w:pPr>
        <w:pStyle w:val="3"/>
        <w:spacing w:before="312" w:beforeLines="100" w:after="312" w:afterLines="100"/>
        <w:rPr>
          <w:rFonts w:ascii="Times New Roman" w:hAnsi="Times New Roman" w:eastAsia="楷体_GB2312"/>
          <w:b w:val="0"/>
          <w:bCs w:val="0"/>
          <w:sz w:val="32"/>
        </w:rPr>
      </w:pPr>
      <w:bookmarkStart w:id="32" w:name="_Toc4775"/>
      <w:r>
        <w:rPr>
          <w:rFonts w:ascii="Times New Roman" w:hAnsi="Times New Roman" w:eastAsia="楷体_GB2312"/>
          <w:b w:val="0"/>
          <w:bCs w:val="0"/>
          <w:sz w:val="32"/>
        </w:rPr>
        <w:t>第二节 政策保障</w:t>
      </w:r>
      <w:bookmarkEnd w:id="31"/>
      <w:bookmarkEnd w:id="32"/>
    </w:p>
    <w:p>
      <w:pPr>
        <w:pStyle w:val="4"/>
        <w:spacing w:before="0" w:after="0" w:line="360" w:lineRule="auto"/>
        <w:ind w:firstLine="640" w:firstLineChars="200"/>
        <w:rPr>
          <w:rStyle w:val="47"/>
          <w:b w:val="0"/>
          <w:bCs w:val="0"/>
          <w:color w:val="auto"/>
        </w:rPr>
      </w:pPr>
      <w:r>
        <w:rPr>
          <w:rStyle w:val="47"/>
          <w:b w:val="0"/>
          <w:bCs w:val="0"/>
          <w:color w:val="auto"/>
        </w:rPr>
        <w:t>一、实施产业引导政策</w:t>
      </w:r>
    </w:p>
    <w:p>
      <w:pPr>
        <w:spacing w:line="560" w:lineRule="exact"/>
        <w:ind w:firstLine="640" w:firstLineChars="200"/>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全面推进正向激励与反向倒逼相结合的产业结构调整创新机制，差异化实施市场准入、要素供应、资金补贴等各项措施，促进企业提质增效。落实生态环境和清洁生产法规，严格执行现状管理，加大日常监督检查执行力度，杜绝违法排污现象，适时开展清洁生产专项行动。协助生态环境部门组织对企业实施清洁生产的效果进行评估验收，逐步推行质量、环境及职业健康安全三标一体化认证。</w:t>
      </w:r>
    </w:p>
    <w:p>
      <w:pPr>
        <w:pStyle w:val="4"/>
        <w:spacing w:before="0" w:after="0" w:line="360" w:lineRule="auto"/>
        <w:ind w:firstLine="640" w:firstLineChars="200"/>
        <w:rPr>
          <w:rStyle w:val="47"/>
          <w:b w:val="0"/>
          <w:bCs w:val="0"/>
          <w:color w:val="auto"/>
        </w:rPr>
      </w:pPr>
      <w:r>
        <w:rPr>
          <w:rStyle w:val="47"/>
          <w:b w:val="0"/>
          <w:bCs w:val="0"/>
          <w:color w:val="auto"/>
        </w:rPr>
        <w:t>二、强化产业扶持政策</w:t>
      </w:r>
    </w:p>
    <w:p>
      <w:pPr>
        <w:spacing w:line="560" w:lineRule="exact"/>
        <w:ind w:firstLine="640" w:firstLineChars="200"/>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密切关注并积极争取有利于全市工业园区发展的政策，引导企业用好用足国家、自治区、市、旗区各项产业优惠政策，帮助企业做好对接工作，实现政策红利最大化。清理取消、整合规范现行涉企行政事业性收费项目。建立定期会商制度，密切协调配合，定期研究和部署促进产业发展工作措施，做好对重点龙头企业发展情况的跟踪服务和指导，建立推进自治区、市、旗区产业发展、人才培育的协调机制，进一步提升全市产业发展层次。</w:t>
      </w:r>
    </w:p>
    <w:p>
      <w:pPr>
        <w:pStyle w:val="3"/>
        <w:spacing w:before="312" w:beforeLines="100" w:after="312" w:afterLines="100"/>
        <w:rPr>
          <w:rFonts w:ascii="Times New Roman" w:hAnsi="Times New Roman" w:eastAsia="楷体_GB2312"/>
          <w:b w:val="0"/>
          <w:bCs w:val="0"/>
          <w:sz w:val="32"/>
        </w:rPr>
      </w:pPr>
      <w:bookmarkStart w:id="33" w:name="_Toc27554609"/>
      <w:bookmarkStart w:id="34" w:name="_Toc21295"/>
      <w:r>
        <w:rPr>
          <w:rFonts w:ascii="Times New Roman" w:hAnsi="Times New Roman" w:eastAsia="楷体_GB2312"/>
          <w:b w:val="0"/>
          <w:bCs w:val="0"/>
          <w:sz w:val="32"/>
        </w:rPr>
        <w:t>第三节 土地保障</w:t>
      </w:r>
      <w:bookmarkEnd w:id="33"/>
      <w:bookmarkEnd w:id="34"/>
    </w:p>
    <w:p>
      <w:pPr>
        <w:pStyle w:val="4"/>
        <w:spacing w:before="0" w:after="0" w:line="360" w:lineRule="auto"/>
        <w:ind w:firstLine="640" w:firstLineChars="200"/>
        <w:rPr>
          <w:rStyle w:val="47"/>
          <w:b w:val="0"/>
          <w:bCs w:val="0"/>
          <w:color w:val="auto"/>
        </w:rPr>
      </w:pPr>
      <w:r>
        <w:rPr>
          <w:rStyle w:val="47"/>
          <w:b w:val="0"/>
          <w:bCs w:val="0"/>
          <w:color w:val="auto"/>
        </w:rPr>
        <w:t>一、建立土地弹性出让制度</w:t>
      </w:r>
    </w:p>
    <w:p>
      <w:pPr>
        <w:spacing w:line="560" w:lineRule="exact"/>
        <w:ind w:firstLine="640" w:firstLineChars="200"/>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建立实行产业用地弹性出让制度。新增产业项目类用地出让年限原则不超过30年，重大产业项目、战略性新兴产业项目，可按最高年期50年予以出让。采取“先租后让”土地供应方式的出让总年期不超过30年，可先签订为期5年的租赁合同，由土地竞得人先行承租土地进行建设，通过约定的受让条件后，按照协议出让方式签订出让合同，转为出让建设用地。</w:t>
      </w:r>
    </w:p>
    <w:p>
      <w:pPr>
        <w:pStyle w:val="4"/>
        <w:spacing w:before="0" w:after="0" w:line="360" w:lineRule="auto"/>
        <w:ind w:firstLine="640" w:firstLineChars="200"/>
        <w:rPr>
          <w:rStyle w:val="47"/>
          <w:b w:val="0"/>
          <w:bCs w:val="0"/>
          <w:color w:val="auto"/>
        </w:rPr>
      </w:pPr>
      <w:r>
        <w:rPr>
          <w:rStyle w:val="47"/>
          <w:b w:val="0"/>
          <w:bCs w:val="0"/>
          <w:color w:val="auto"/>
        </w:rPr>
        <w:t>二、提供差别化用地保障</w:t>
      </w:r>
    </w:p>
    <w:p>
      <w:pPr>
        <w:spacing w:line="560" w:lineRule="exact"/>
        <w:ind w:firstLine="640" w:firstLineChars="200"/>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建立工业园区差别化用地保障机制，对符合园区主导产业的重点项目落地和新兴产业、先进制造业、现代服务业项目所需建设用地优先保障，对工业园区基础设施和公共服务设施建设用地统筹安排。对列入国家和自治区《禁止用地项目目录》及产业政策禁止投资的产业项目不予供地；积极推行标准地制度，不断增强园区承载能力，对技术示范类项目适用现有研发载体或标准厂房的不单独供地，引导该类项目优先利用存量房产资源。健全工业园区土地供应利用统计监测、集约利用评价制度，评价结果纳入工业园区综合考核评价体系，对土地利用效率高、集约用地成效显著的工业园区，给予用地方面倾斜支持。</w:t>
      </w:r>
    </w:p>
    <w:p>
      <w:pPr>
        <w:pStyle w:val="4"/>
        <w:spacing w:before="0" w:after="0" w:line="360" w:lineRule="auto"/>
        <w:ind w:firstLine="640" w:firstLineChars="200"/>
        <w:rPr>
          <w:rStyle w:val="47"/>
          <w:b w:val="0"/>
          <w:bCs w:val="0"/>
          <w:color w:val="auto"/>
        </w:rPr>
      </w:pPr>
      <w:r>
        <w:rPr>
          <w:rStyle w:val="47"/>
          <w:b w:val="0"/>
          <w:bCs w:val="0"/>
          <w:color w:val="auto"/>
        </w:rPr>
        <w:t>三、建立土地退出机制</w:t>
      </w:r>
    </w:p>
    <w:p>
      <w:pPr>
        <w:spacing w:line="560" w:lineRule="exact"/>
        <w:ind w:firstLine="640" w:firstLineChars="200"/>
        <w:rPr>
          <w:rFonts w:ascii="Times New Roman" w:hAnsi="Times New Roman" w:eastAsia="仿宋_GB2312" w:cs="Times New Roman"/>
          <w:sz w:val="32"/>
          <w:szCs w:val="28"/>
        </w:rPr>
      </w:pPr>
      <w:r>
        <w:rPr>
          <w:rFonts w:ascii="Times New Roman" w:hAnsi="Times New Roman" w:eastAsia="仿宋_GB2312" w:cs="Times New Roman"/>
          <w:sz w:val="32"/>
          <w:szCs w:val="28"/>
        </w:rPr>
        <w:t>建立实行土地退出机制。坚持以亩产论英雄、以效益论英雄、以环境论英雄，加大对土地等闲置指标清理处置力度。在《国有建设用地使用权出让合同》约定的开工日期之前或者产业项目达产之后，因产业用地受让人自身原因无法开发建设或无法按照《产业发展协议》运营的，受让人可申请解除土地出让合同，经出让人报旗区</w:t>
      </w:r>
      <w:r>
        <w:rPr>
          <w:rFonts w:hint="eastAsia" w:ascii="Times New Roman" w:hAnsi="Times New Roman" w:eastAsia="仿宋_GB2312" w:cs="Times New Roman"/>
          <w:sz w:val="32"/>
          <w:szCs w:val="28"/>
          <w:lang w:eastAsia="zh-CN"/>
        </w:rPr>
        <w:t>人民</w:t>
      </w:r>
      <w:r>
        <w:rPr>
          <w:rFonts w:ascii="Times New Roman" w:hAnsi="Times New Roman" w:eastAsia="仿宋_GB2312" w:cs="Times New Roman"/>
          <w:sz w:val="32"/>
          <w:szCs w:val="28"/>
        </w:rPr>
        <w:t>政府批准同意后，按照约定终止合同，收回国有建设用地使用权，返还剩余年期土地出让价款；对地上合法建筑物或构筑物的补偿，采取残值补偿等方式处置，并事先在《产业发展协议》中约定。鼓励工业园区通过收购储备、鼓励流转、协议置换、合作经营、自主开发等方式，对闲置土地、低效用地等存量建设用地进行再开发。对盘活利用存量土地的工业园区，给予用地指标奖励。</w:t>
      </w:r>
      <w:bookmarkStart w:id="35" w:name="_Toc27554610"/>
    </w:p>
    <w:p>
      <w:pPr>
        <w:pStyle w:val="3"/>
        <w:spacing w:before="312" w:beforeLines="100" w:after="312" w:afterLines="100"/>
        <w:rPr>
          <w:rFonts w:ascii="Times New Roman" w:hAnsi="Times New Roman" w:eastAsia="楷体_GB2312"/>
          <w:b w:val="0"/>
          <w:bCs w:val="0"/>
          <w:sz w:val="32"/>
        </w:rPr>
      </w:pPr>
      <w:bookmarkStart w:id="36" w:name="_Toc29117"/>
      <w:r>
        <w:rPr>
          <w:rFonts w:ascii="Times New Roman" w:hAnsi="Times New Roman" w:eastAsia="楷体_GB2312"/>
          <w:b w:val="0"/>
          <w:bCs w:val="0"/>
          <w:sz w:val="32"/>
        </w:rPr>
        <w:t>第四节 资金保障</w:t>
      </w:r>
      <w:bookmarkEnd w:id="35"/>
      <w:bookmarkEnd w:id="36"/>
    </w:p>
    <w:p>
      <w:pPr>
        <w:pStyle w:val="4"/>
        <w:spacing w:before="0" w:after="0" w:line="360" w:lineRule="auto"/>
        <w:ind w:firstLine="640" w:firstLineChars="200"/>
        <w:rPr>
          <w:rStyle w:val="47"/>
          <w:b w:val="0"/>
          <w:bCs w:val="0"/>
          <w:color w:val="auto"/>
        </w:rPr>
      </w:pPr>
      <w:r>
        <w:rPr>
          <w:rStyle w:val="47"/>
          <w:b w:val="0"/>
          <w:bCs w:val="0"/>
          <w:color w:val="auto"/>
        </w:rPr>
        <w:t>一、切实落实减税降费政策</w:t>
      </w:r>
    </w:p>
    <w:p>
      <w:pPr>
        <w:spacing w:line="560" w:lineRule="exact"/>
        <w:ind w:firstLine="640" w:firstLineChars="200"/>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落实好新一轮减税降费政策，使“真金白银”真正惠及企业，让市场主体充分享受政策红利，扎实推进实施国家关于普惠性减税和结构性减税相结合的各项政策，积极争取国家、自治区、市各类产业基金和专项资金。全面贯彻落实国家、自治区、市清费降本减负各项要求，要加快清理拖欠民营企业无分歧账款，有分歧的也要想方设法尽快加以解决。加快推进网上办税和简约办税，全面实现备案类减免税网上办理、核准类减免税网上预申请，统一网上申请、受理、办理、反馈流程，主要涉税业务实现“一网通办”。</w:t>
      </w:r>
    </w:p>
    <w:p>
      <w:pPr>
        <w:pStyle w:val="4"/>
        <w:spacing w:before="0" w:after="0" w:line="360" w:lineRule="auto"/>
        <w:ind w:firstLine="640" w:firstLineChars="200"/>
        <w:rPr>
          <w:rStyle w:val="47"/>
          <w:b w:val="0"/>
          <w:bCs w:val="0"/>
          <w:color w:val="auto"/>
        </w:rPr>
      </w:pPr>
      <w:r>
        <w:rPr>
          <w:rStyle w:val="47"/>
          <w:b w:val="0"/>
          <w:bCs w:val="0"/>
          <w:color w:val="auto"/>
        </w:rPr>
        <w:t>二、落实财政政策支持</w:t>
      </w:r>
    </w:p>
    <w:p>
      <w:pPr>
        <w:spacing w:line="560" w:lineRule="exact"/>
        <w:ind w:firstLine="640" w:firstLineChars="200"/>
        <w:rPr>
          <w:rFonts w:ascii="Times New Roman" w:hAnsi="Times New Roman" w:eastAsia="仿宋_GB2312" w:cs="Times New Roman"/>
          <w:sz w:val="32"/>
          <w:szCs w:val="28"/>
        </w:rPr>
      </w:pPr>
      <w:r>
        <w:rPr>
          <w:rFonts w:ascii="Times New Roman" w:hAnsi="Times New Roman" w:eastAsia="仿宋_GB2312" w:cs="Times New Roman"/>
          <w:sz w:val="32"/>
          <w:szCs w:val="28"/>
        </w:rPr>
        <w:t>进一步落实财政资金支持力度，在自治区工业园区发展专项资金基础上，设立鄂尔多斯工业园区发展专项资金，在基础设施、营商环境、智慧园区、绿色低碳、产业培育等领域支持工业园区发展。</w:t>
      </w:r>
    </w:p>
    <w:p>
      <w:pPr>
        <w:pStyle w:val="4"/>
        <w:spacing w:before="0" w:after="0" w:line="360" w:lineRule="auto"/>
        <w:ind w:firstLine="640" w:firstLineChars="200"/>
        <w:rPr>
          <w:rStyle w:val="47"/>
          <w:b w:val="0"/>
          <w:bCs w:val="0"/>
          <w:color w:val="auto"/>
        </w:rPr>
      </w:pPr>
      <w:r>
        <w:rPr>
          <w:rStyle w:val="47"/>
          <w:b w:val="0"/>
          <w:bCs w:val="0"/>
          <w:color w:val="auto"/>
        </w:rPr>
        <w:t>三、加大企业直接融资支持力度</w:t>
      </w:r>
    </w:p>
    <w:p>
      <w:pPr>
        <w:spacing w:line="560" w:lineRule="exact"/>
        <w:ind w:firstLine="640" w:firstLineChars="200"/>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整合现有各类融资支持政策，综合运用贴息、风险补偿、信用保证基金、政银合作产品等方式，加大对企业融资支持力度，鼓励加强普惠金融服务。鼓励银行业金融机构对民营企业加大信贷支持力度，建立银行业金融机构绩效与小微信贷投放挂钩的激励机制。</w:t>
      </w:r>
    </w:p>
    <w:p>
      <w:pPr>
        <w:spacing w:line="560" w:lineRule="exact"/>
        <w:ind w:firstLine="640" w:firstLineChars="200"/>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充分运用贷款贴息、创业投资、担保等多种融资模式，拓宽企业融资渠道。贯彻落实“个转企、小升规、规改股、股上市”等市场主体升级行动计划，推动重点企业挂牌上市，有效对接多层次资本市场。支持符合条件的企业通过股权市场和债券市场进行融资。</w:t>
      </w:r>
    </w:p>
    <w:p>
      <w:pPr>
        <w:pStyle w:val="3"/>
        <w:spacing w:before="312" w:beforeLines="100" w:after="312" w:afterLines="100"/>
        <w:rPr>
          <w:rFonts w:ascii="Times New Roman" w:hAnsi="Times New Roman" w:eastAsia="楷体_GB2312"/>
          <w:b w:val="0"/>
          <w:bCs w:val="0"/>
          <w:sz w:val="32"/>
        </w:rPr>
      </w:pPr>
      <w:bookmarkStart w:id="37" w:name="_Toc27554611"/>
      <w:bookmarkStart w:id="38" w:name="_Toc26898"/>
      <w:r>
        <w:rPr>
          <w:rFonts w:ascii="Times New Roman" w:hAnsi="Times New Roman" w:eastAsia="楷体_GB2312"/>
          <w:b w:val="0"/>
          <w:bCs w:val="0"/>
          <w:sz w:val="32"/>
        </w:rPr>
        <w:t>第五节 人才保障</w:t>
      </w:r>
      <w:bookmarkEnd w:id="37"/>
      <w:bookmarkEnd w:id="38"/>
    </w:p>
    <w:p>
      <w:pPr>
        <w:pStyle w:val="4"/>
        <w:spacing w:before="0" w:after="0" w:line="360" w:lineRule="auto"/>
        <w:ind w:firstLine="640" w:firstLineChars="200"/>
        <w:rPr>
          <w:rStyle w:val="47"/>
          <w:b w:val="0"/>
          <w:bCs w:val="0"/>
          <w:color w:val="auto"/>
        </w:rPr>
      </w:pPr>
      <w:r>
        <w:rPr>
          <w:rStyle w:val="47"/>
          <w:b w:val="0"/>
          <w:bCs w:val="0"/>
          <w:color w:val="auto"/>
        </w:rPr>
        <w:t>一、扎实落实人才扶持政策，构建多层次人才培养体系</w:t>
      </w:r>
    </w:p>
    <w:p>
      <w:pPr>
        <w:spacing w:line="560" w:lineRule="exact"/>
        <w:ind w:firstLine="640" w:firstLineChars="200"/>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坚定“人才强市”理念，不断创造人才集聚、人尽其才的良好机制和氛围。依托国家“万人计划”、自治区“草原英才”工程、“新世纪321人才工程”等一系列重点人才项目，加强各领域人才培养，加强宏观政策引导，给予人才更多支持，吸引和引导先进技术、优质项目及高层次人才等资源向我市流动。</w:t>
      </w:r>
    </w:p>
    <w:p>
      <w:pPr>
        <w:spacing w:line="560" w:lineRule="exact"/>
        <w:jc w:val="center"/>
        <w:rPr>
          <w:rFonts w:hint="eastAsia" w:ascii="黑体" w:hAnsi="黑体" w:eastAsia="黑体" w:cs="黑体"/>
          <w:sz w:val="28"/>
          <w:szCs w:val="28"/>
        </w:rPr>
      </w:pPr>
      <w:r>
        <w:rPr>
          <w:rFonts w:hint="eastAsia" w:ascii="黑体" w:hAnsi="黑体" w:eastAsia="黑体" w:cs="黑体"/>
          <w:bCs/>
          <w:kern w:val="0"/>
          <w:sz w:val="28"/>
          <w:szCs w:val="28"/>
        </w:rPr>
        <w:t>专栏5-1人才引进的“痛点思维”</w:t>
      </w:r>
    </w:p>
    <w:tbl>
      <w:tblPr>
        <w:tblStyle w:val="23"/>
        <w:tblW w:w="832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43"/>
        <w:gridCol w:w="2835"/>
        <w:gridCol w:w="36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843" w:type="dxa"/>
            <w:tcBorders>
              <w:top w:val="single" w:color="auto" w:sz="4" w:space="0"/>
              <w:left w:val="single" w:color="auto" w:sz="4" w:space="0"/>
              <w:bottom w:val="single" w:color="auto" w:sz="4" w:space="0"/>
              <w:right w:val="single" w:color="auto" w:sz="4" w:space="0"/>
            </w:tcBorders>
            <w:vAlign w:val="center"/>
          </w:tcPr>
          <w:p>
            <w:pPr>
              <w:widowControl/>
              <w:snapToGrid w:val="0"/>
              <w:jc w:val="center"/>
              <w:rPr>
                <w:rFonts w:hint="eastAsia" w:ascii="黑体" w:hAnsi="黑体" w:eastAsia="黑体" w:cs="黑体"/>
                <w:bCs/>
                <w:kern w:val="0"/>
                <w:sz w:val="24"/>
                <w:szCs w:val="28"/>
              </w:rPr>
            </w:pPr>
            <w:r>
              <w:rPr>
                <w:rFonts w:hint="eastAsia" w:ascii="黑体" w:hAnsi="黑体" w:eastAsia="黑体" w:cs="黑体"/>
                <w:bCs/>
                <w:kern w:val="0"/>
                <w:sz w:val="24"/>
                <w:szCs w:val="28"/>
              </w:rPr>
              <w:t>人才类型</w:t>
            </w:r>
          </w:p>
        </w:tc>
        <w:tc>
          <w:tcPr>
            <w:tcW w:w="2835" w:type="dxa"/>
            <w:tcBorders>
              <w:top w:val="single" w:color="auto" w:sz="4" w:space="0"/>
              <w:left w:val="single" w:color="auto" w:sz="4" w:space="0"/>
              <w:bottom w:val="single" w:color="auto" w:sz="4" w:space="0"/>
              <w:right w:val="single" w:color="auto" w:sz="4" w:space="0"/>
            </w:tcBorders>
            <w:vAlign w:val="center"/>
          </w:tcPr>
          <w:p>
            <w:pPr>
              <w:widowControl/>
              <w:snapToGrid w:val="0"/>
              <w:jc w:val="center"/>
              <w:rPr>
                <w:rFonts w:hint="eastAsia" w:ascii="黑体" w:hAnsi="黑体" w:eastAsia="黑体" w:cs="黑体"/>
                <w:bCs/>
                <w:kern w:val="0"/>
                <w:sz w:val="24"/>
                <w:szCs w:val="28"/>
              </w:rPr>
            </w:pPr>
            <w:r>
              <w:rPr>
                <w:rFonts w:hint="eastAsia" w:ascii="黑体" w:hAnsi="黑体" w:eastAsia="黑体" w:cs="黑体"/>
                <w:bCs/>
                <w:kern w:val="0"/>
                <w:sz w:val="24"/>
                <w:szCs w:val="28"/>
              </w:rPr>
              <w:t>人才引进“痛点”</w:t>
            </w:r>
          </w:p>
        </w:tc>
        <w:tc>
          <w:tcPr>
            <w:tcW w:w="3645" w:type="dxa"/>
            <w:tcBorders>
              <w:top w:val="single" w:color="auto" w:sz="4" w:space="0"/>
              <w:left w:val="single" w:color="auto" w:sz="4" w:space="0"/>
              <w:bottom w:val="single" w:color="auto" w:sz="4" w:space="0"/>
              <w:right w:val="single" w:color="auto" w:sz="4" w:space="0"/>
            </w:tcBorders>
            <w:vAlign w:val="center"/>
          </w:tcPr>
          <w:p>
            <w:pPr>
              <w:widowControl/>
              <w:snapToGrid w:val="0"/>
              <w:jc w:val="center"/>
              <w:rPr>
                <w:rFonts w:hint="eastAsia" w:ascii="黑体" w:hAnsi="黑体" w:eastAsia="黑体" w:cs="黑体"/>
                <w:bCs/>
                <w:kern w:val="0"/>
                <w:sz w:val="24"/>
                <w:szCs w:val="28"/>
              </w:rPr>
            </w:pPr>
            <w:r>
              <w:rPr>
                <w:rFonts w:hint="eastAsia" w:ascii="黑体" w:hAnsi="黑体" w:eastAsia="黑体" w:cs="黑体"/>
                <w:bCs/>
                <w:kern w:val="0"/>
                <w:sz w:val="24"/>
                <w:szCs w:val="28"/>
              </w:rPr>
              <w:t>人才引进策略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843" w:type="dxa"/>
            <w:tcBorders>
              <w:top w:val="single" w:color="auto" w:sz="4" w:space="0"/>
              <w:left w:val="single" w:color="auto" w:sz="4" w:space="0"/>
              <w:bottom w:val="single" w:color="auto" w:sz="4" w:space="0"/>
              <w:right w:val="single" w:color="auto" w:sz="4" w:space="0"/>
            </w:tcBorders>
            <w:vAlign w:val="center"/>
          </w:tcPr>
          <w:p>
            <w:pPr>
              <w:widowControl/>
              <w:snapToGrid w:val="0"/>
              <w:spacing w:line="440" w:lineRule="exact"/>
              <w:jc w:val="center"/>
              <w:rPr>
                <w:rFonts w:ascii="Times New Roman" w:hAnsi="Times New Roman" w:eastAsia="仿宋_GB2312" w:cs="Times New Roman"/>
                <w:bCs/>
                <w:kern w:val="0"/>
                <w:sz w:val="24"/>
                <w:szCs w:val="28"/>
              </w:rPr>
            </w:pPr>
            <w:r>
              <w:rPr>
                <w:rFonts w:ascii="Times New Roman" w:hAnsi="Times New Roman" w:eastAsia="仿宋_GB2312" w:cs="Times New Roman"/>
                <w:bCs/>
                <w:kern w:val="0"/>
                <w:sz w:val="24"/>
                <w:szCs w:val="28"/>
              </w:rPr>
              <w:t>产业领军人才</w:t>
            </w:r>
          </w:p>
        </w:tc>
        <w:tc>
          <w:tcPr>
            <w:tcW w:w="2835" w:type="dxa"/>
            <w:tcBorders>
              <w:top w:val="single" w:color="auto" w:sz="4" w:space="0"/>
              <w:left w:val="single" w:color="auto" w:sz="4" w:space="0"/>
              <w:bottom w:val="single" w:color="auto" w:sz="4" w:space="0"/>
              <w:right w:val="single" w:color="auto" w:sz="4" w:space="0"/>
            </w:tcBorders>
            <w:vAlign w:val="center"/>
          </w:tcPr>
          <w:p>
            <w:pPr>
              <w:pStyle w:val="34"/>
              <w:widowControl/>
              <w:numPr>
                <w:ilvl w:val="0"/>
                <w:numId w:val="0"/>
              </w:numPr>
              <w:snapToGrid w:val="0"/>
              <w:spacing w:line="440" w:lineRule="exact"/>
              <w:ind w:leftChars="0"/>
              <w:rPr>
                <w:rFonts w:ascii="Times New Roman" w:hAnsi="Times New Roman" w:eastAsia="仿宋_GB2312" w:cs="Times New Roman"/>
                <w:sz w:val="24"/>
                <w:szCs w:val="28"/>
                <w:shd w:val="clear" w:color="auto" w:fill="FFFFFF"/>
              </w:rPr>
            </w:pPr>
            <w:r>
              <w:rPr>
                <w:rFonts w:ascii="Times New Roman" w:hAnsi="Times New Roman" w:eastAsia="仿宋_GB2312" w:cs="Times New Roman"/>
                <w:sz w:val="24"/>
                <w:szCs w:val="28"/>
                <w:shd w:val="clear" w:color="auto" w:fill="FFFFFF"/>
              </w:rPr>
              <w:t>承载平台有限</w:t>
            </w:r>
          </w:p>
          <w:p>
            <w:pPr>
              <w:pStyle w:val="34"/>
              <w:widowControl/>
              <w:numPr>
                <w:ilvl w:val="0"/>
                <w:numId w:val="0"/>
              </w:numPr>
              <w:snapToGrid w:val="0"/>
              <w:spacing w:line="440" w:lineRule="exact"/>
              <w:ind w:leftChars="0"/>
              <w:rPr>
                <w:rFonts w:ascii="Times New Roman" w:hAnsi="Times New Roman" w:eastAsia="仿宋_GB2312" w:cs="Times New Roman"/>
                <w:sz w:val="24"/>
                <w:szCs w:val="28"/>
                <w:shd w:val="clear" w:color="auto" w:fill="FFFFFF"/>
              </w:rPr>
            </w:pPr>
            <w:r>
              <w:rPr>
                <w:rFonts w:ascii="Times New Roman" w:hAnsi="Times New Roman" w:eastAsia="仿宋_GB2312" w:cs="Times New Roman"/>
                <w:sz w:val="24"/>
                <w:szCs w:val="28"/>
                <w:shd w:val="clear" w:color="auto" w:fill="FFFFFF"/>
              </w:rPr>
              <w:t>产业难做大</w:t>
            </w:r>
          </w:p>
        </w:tc>
        <w:tc>
          <w:tcPr>
            <w:tcW w:w="3645" w:type="dxa"/>
            <w:tcBorders>
              <w:top w:val="single" w:color="auto" w:sz="4" w:space="0"/>
              <w:left w:val="single" w:color="auto" w:sz="4" w:space="0"/>
              <w:bottom w:val="single" w:color="auto" w:sz="4" w:space="0"/>
              <w:right w:val="single" w:color="auto" w:sz="4" w:space="0"/>
            </w:tcBorders>
            <w:vAlign w:val="center"/>
          </w:tcPr>
          <w:p>
            <w:pPr>
              <w:pStyle w:val="34"/>
              <w:widowControl/>
              <w:numPr>
                <w:ilvl w:val="0"/>
                <w:numId w:val="0"/>
              </w:numPr>
              <w:snapToGrid w:val="0"/>
              <w:spacing w:line="440" w:lineRule="exact"/>
              <w:ind w:leftChars="0"/>
              <w:rPr>
                <w:rFonts w:ascii="Times New Roman" w:hAnsi="Times New Roman" w:eastAsia="仿宋_GB2312" w:cs="Times New Roman"/>
                <w:sz w:val="24"/>
                <w:szCs w:val="28"/>
                <w:shd w:val="clear" w:color="auto" w:fill="FFFFFF"/>
              </w:rPr>
            </w:pPr>
            <w:r>
              <w:rPr>
                <w:rFonts w:ascii="Times New Roman" w:hAnsi="Times New Roman" w:eastAsia="仿宋_GB2312" w:cs="Times New Roman"/>
                <w:sz w:val="24"/>
                <w:szCs w:val="28"/>
                <w:shd w:val="clear" w:color="auto" w:fill="FFFFFF"/>
              </w:rPr>
              <w:t>项目资助、团队配备</w:t>
            </w:r>
          </w:p>
          <w:p>
            <w:pPr>
              <w:pStyle w:val="34"/>
              <w:widowControl/>
              <w:numPr>
                <w:ilvl w:val="0"/>
                <w:numId w:val="0"/>
              </w:numPr>
              <w:snapToGrid w:val="0"/>
              <w:spacing w:line="440" w:lineRule="exact"/>
              <w:ind w:leftChars="0"/>
              <w:rPr>
                <w:rFonts w:ascii="Times New Roman" w:hAnsi="Times New Roman" w:eastAsia="仿宋_GB2312" w:cs="Times New Roman"/>
                <w:sz w:val="24"/>
                <w:szCs w:val="28"/>
                <w:shd w:val="clear" w:color="auto" w:fill="FFFFFF"/>
              </w:rPr>
            </w:pPr>
            <w:r>
              <w:rPr>
                <w:rFonts w:ascii="Times New Roman" w:hAnsi="Times New Roman" w:eastAsia="仿宋_GB2312" w:cs="Times New Roman"/>
                <w:sz w:val="24"/>
                <w:szCs w:val="28"/>
                <w:shd w:val="clear" w:color="auto" w:fill="FFFFFF"/>
              </w:rPr>
              <w:t>研发配套、产品应用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843" w:type="dxa"/>
            <w:tcBorders>
              <w:top w:val="single" w:color="auto" w:sz="4" w:space="0"/>
              <w:left w:val="single" w:color="auto" w:sz="4" w:space="0"/>
              <w:bottom w:val="single" w:color="auto" w:sz="4" w:space="0"/>
              <w:right w:val="single" w:color="auto" w:sz="4" w:space="0"/>
            </w:tcBorders>
            <w:vAlign w:val="center"/>
          </w:tcPr>
          <w:p>
            <w:pPr>
              <w:widowControl/>
              <w:snapToGrid w:val="0"/>
              <w:spacing w:line="440" w:lineRule="exact"/>
              <w:jc w:val="center"/>
              <w:rPr>
                <w:rFonts w:ascii="Times New Roman" w:hAnsi="Times New Roman" w:eastAsia="仿宋_GB2312" w:cs="Times New Roman"/>
                <w:bCs/>
                <w:kern w:val="0"/>
                <w:sz w:val="24"/>
                <w:szCs w:val="28"/>
              </w:rPr>
            </w:pPr>
            <w:r>
              <w:rPr>
                <w:rFonts w:ascii="Times New Roman" w:hAnsi="Times New Roman" w:eastAsia="仿宋_GB2312" w:cs="Times New Roman"/>
                <w:bCs/>
                <w:kern w:val="0"/>
                <w:sz w:val="24"/>
                <w:szCs w:val="28"/>
              </w:rPr>
              <w:t>知名投资人才</w:t>
            </w:r>
          </w:p>
        </w:tc>
        <w:tc>
          <w:tcPr>
            <w:tcW w:w="2835" w:type="dxa"/>
            <w:tcBorders>
              <w:top w:val="single" w:color="auto" w:sz="4" w:space="0"/>
              <w:left w:val="single" w:color="auto" w:sz="4" w:space="0"/>
              <w:bottom w:val="single" w:color="auto" w:sz="4" w:space="0"/>
              <w:right w:val="single" w:color="auto" w:sz="4" w:space="0"/>
            </w:tcBorders>
            <w:vAlign w:val="center"/>
          </w:tcPr>
          <w:p>
            <w:pPr>
              <w:pStyle w:val="34"/>
              <w:widowControl/>
              <w:numPr>
                <w:ilvl w:val="0"/>
                <w:numId w:val="0"/>
              </w:numPr>
              <w:snapToGrid w:val="0"/>
              <w:spacing w:line="440" w:lineRule="exact"/>
              <w:ind w:leftChars="0"/>
              <w:rPr>
                <w:rFonts w:ascii="Times New Roman" w:hAnsi="Times New Roman" w:eastAsia="仿宋_GB2312" w:cs="Times New Roman"/>
                <w:sz w:val="24"/>
                <w:szCs w:val="28"/>
                <w:shd w:val="clear" w:color="auto" w:fill="FFFFFF"/>
              </w:rPr>
            </w:pPr>
            <w:r>
              <w:rPr>
                <w:rFonts w:ascii="Times New Roman" w:hAnsi="Times New Roman" w:eastAsia="仿宋_GB2312" w:cs="Times New Roman"/>
                <w:sz w:val="24"/>
                <w:szCs w:val="28"/>
                <w:shd w:val="clear" w:color="auto" w:fill="FFFFFF"/>
              </w:rPr>
              <w:t>投资风险大</w:t>
            </w:r>
          </w:p>
          <w:p>
            <w:pPr>
              <w:pStyle w:val="34"/>
              <w:widowControl/>
              <w:numPr>
                <w:ilvl w:val="0"/>
                <w:numId w:val="0"/>
              </w:numPr>
              <w:snapToGrid w:val="0"/>
              <w:spacing w:line="440" w:lineRule="exact"/>
              <w:ind w:leftChars="0"/>
              <w:rPr>
                <w:rFonts w:ascii="Times New Roman" w:hAnsi="Times New Roman" w:eastAsia="仿宋_GB2312" w:cs="Times New Roman"/>
                <w:sz w:val="24"/>
                <w:szCs w:val="28"/>
                <w:shd w:val="clear" w:color="auto" w:fill="FFFFFF"/>
              </w:rPr>
            </w:pPr>
            <w:r>
              <w:rPr>
                <w:rFonts w:ascii="Times New Roman" w:hAnsi="Times New Roman" w:eastAsia="仿宋_GB2312" w:cs="Times New Roman"/>
                <w:sz w:val="24"/>
                <w:szCs w:val="28"/>
                <w:shd w:val="clear" w:color="auto" w:fill="FFFFFF"/>
              </w:rPr>
              <w:t>投资成本高</w:t>
            </w:r>
          </w:p>
        </w:tc>
        <w:tc>
          <w:tcPr>
            <w:tcW w:w="3645" w:type="dxa"/>
            <w:tcBorders>
              <w:top w:val="single" w:color="auto" w:sz="4" w:space="0"/>
              <w:left w:val="single" w:color="auto" w:sz="4" w:space="0"/>
              <w:bottom w:val="single" w:color="auto" w:sz="4" w:space="0"/>
              <w:right w:val="single" w:color="auto" w:sz="4" w:space="0"/>
            </w:tcBorders>
            <w:vAlign w:val="center"/>
          </w:tcPr>
          <w:p>
            <w:pPr>
              <w:pStyle w:val="34"/>
              <w:widowControl/>
              <w:numPr>
                <w:ilvl w:val="0"/>
                <w:numId w:val="0"/>
              </w:numPr>
              <w:snapToGrid w:val="0"/>
              <w:spacing w:line="440" w:lineRule="exact"/>
              <w:ind w:leftChars="0"/>
              <w:rPr>
                <w:rFonts w:ascii="Times New Roman" w:hAnsi="Times New Roman" w:eastAsia="仿宋_GB2312" w:cs="Times New Roman"/>
                <w:sz w:val="24"/>
                <w:szCs w:val="28"/>
                <w:shd w:val="clear" w:color="auto" w:fill="FFFFFF"/>
              </w:rPr>
            </w:pPr>
            <w:r>
              <w:rPr>
                <w:rFonts w:ascii="Times New Roman" w:hAnsi="Times New Roman" w:eastAsia="仿宋_GB2312" w:cs="Times New Roman"/>
                <w:sz w:val="24"/>
                <w:szCs w:val="28"/>
                <w:shd w:val="clear" w:color="auto" w:fill="FFFFFF"/>
              </w:rPr>
              <w:t>投资奖励</w:t>
            </w:r>
          </w:p>
          <w:p>
            <w:pPr>
              <w:pStyle w:val="34"/>
              <w:widowControl/>
              <w:numPr>
                <w:ilvl w:val="0"/>
                <w:numId w:val="0"/>
              </w:numPr>
              <w:snapToGrid w:val="0"/>
              <w:spacing w:line="440" w:lineRule="exact"/>
              <w:ind w:leftChars="0"/>
              <w:rPr>
                <w:rFonts w:ascii="Times New Roman" w:hAnsi="Times New Roman" w:eastAsia="仿宋_GB2312" w:cs="Times New Roman"/>
                <w:sz w:val="24"/>
                <w:szCs w:val="28"/>
                <w:shd w:val="clear" w:color="auto" w:fill="FFFFFF"/>
              </w:rPr>
            </w:pPr>
            <w:r>
              <w:rPr>
                <w:rFonts w:ascii="Times New Roman" w:hAnsi="Times New Roman" w:eastAsia="仿宋_GB2312" w:cs="Times New Roman"/>
                <w:sz w:val="24"/>
                <w:szCs w:val="28"/>
                <w:shd w:val="clear" w:color="auto" w:fill="FFFFFF"/>
              </w:rPr>
              <w:t>财政配套</w:t>
            </w:r>
          </w:p>
          <w:p>
            <w:pPr>
              <w:pStyle w:val="34"/>
              <w:widowControl/>
              <w:numPr>
                <w:ilvl w:val="0"/>
                <w:numId w:val="0"/>
              </w:numPr>
              <w:snapToGrid w:val="0"/>
              <w:spacing w:line="440" w:lineRule="exact"/>
              <w:ind w:leftChars="0"/>
              <w:rPr>
                <w:rFonts w:ascii="Times New Roman" w:hAnsi="Times New Roman" w:eastAsia="仿宋_GB2312" w:cs="Times New Roman"/>
                <w:sz w:val="24"/>
                <w:szCs w:val="28"/>
                <w:shd w:val="clear" w:color="auto" w:fill="FFFFFF"/>
              </w:rPr>
            </w:pPr>
            <w:r>
              <w:rPr>
                <w:rFonts w:ascii="Times New Roman" w:hAnsi="Times New Roman" w:eastAsia="仿宋_GB2312" w:cs="Times New Roman"/>
                <w:sz w:val="24"/>
                <w:szCs w:val="28"/>
                <w:shd w:val="clear" w:color="auto" w:fill="FFFFFF"/>
              </w:rPr>
              <w:t>风险补偿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843" w:type="dxa"/>
            <w:tcBorders>
              <w:top w:val="single" w:color="auto" w:sz="4" w:space="0"/>
              <w:left w:val="single" w:color="auto" w:sz="4" w:space="0"/>
              <w:bottom w:val="single" w:color="auto" w:sz="4" w:space="0"/>
              <w:right w:val="single" w:color="auto" w:sz="4" w:space="0"/>
            </w:tcBorders>
            <w:vAlign w:val="center"/>
          </w:tcPr>
          <w:p>
            <w:pPr>
              <w:widowControl/>
              <w:snapToGrid w:val="0"/>
              <w:jc w:val="center"/>
              <w:rPr>
                <w:rFonts w:ascii="Times New Roman" w:hAnsi="Times New Roman" w:eastAsia="仿宋_GB2312" w:cs="Times New Roman"/>
                <w:bCs/>
                <w:kern w:val="0"/>
                <w:sz w:val="24"/>
                <w:szCs w:val="28"/>
              </w:rPr>
            </w:pPr>
            <w:r>
              <w:rPr>
                <w:rFonts w:hint="eastAsia" w:ascii="黑体" w:hAnsi="黑体" w:eastAsia="黑体" w:cs="黑体"/>
                <w:bCs/>
                <w:kern w:val="0"/>
                <w:sz w:val="24"/>
                <w:szCs w:val="28"/>
              </w:rPr>
              <w:t>人才类型</w:t>
            </w:r>
          </w:p>
        </w:tc>
        <w:tc>
          <w:tcPr>
            <w:tcW w:w="2835" w:type="dxa"/>
            <w:tcBorders>
              <w:top w:val="single" w:color="auto" w:sz="4" w:space="0"/>
              <w:left w:val="single" w:color="auto" w:sz="4" w:space="0"/>
              <w:bottom w:val="single" w:color="auto" w:sz="4" w:space="0"/>
              <w:right w:val="single" w:color="auto" w:sz="4" w:space="0"/>
            </w:tcBorders>
            <w:vAlign w:val="center"/>
          </w:tcPr>
          <w:p>
            <w:pPr>
              <w:widowControl/>
              <w:snapToGrid w:val="0"/>
              <w:jc w:val="center"/>
              <w:rPr>
                <w:rFonts w:ascii="Times New Roman" w:hAnsi="Times New Roman" w:eastAsia="仿宋_GB2312" w:cs="Times New Roman"/>
                <w:sz w:val="24"/>
                <w:szCs w:val="28"/>
                <w:shd w:val="clear" w:color="auto" w:fill="FFFFFF"/>
              </w:rPr>
            </w:pPr>
            <w:r>
              <w:rPr>
                <w:rFonts w:hint="eastAsia" w:ascii="黑体" w:hAnsi="黑体" w:eastAsia="黑体" w:cs="黑体"/>
                <w:bCs/>
                <w:kern w:val="0"/>
                <w:sz w:val="24"/>
                <w:szCs w:val="28"/>
              </w:rPr>
              <w:t>人才引进“痛点”</w:t>
            </w:r>
          </w:p>
        </w:tc>
        <w:tc>
          <w:tcPr>
            <w:tcW w:w="3645" w:type="dxa"/>
            <w:tcBorders>
              <w:top w:val="single" w:color="auto" w:sz="4" w:space="0"/>
              <w:left w:val="single" w:color="auto" w:sz="4" w:space="0"/>
              <w:bottom w:val="single" w:color="auto" w:sz="4" w:space="0"/>
              <w:right w:val="single" w:color="auto" w:sz="4" w:space="0"/>
            </w:tcBorders>
            <w:vAlign w:val="center"/>
          </w:tcPr>
          <w:p>
            <w:pPr>
              <w:widowControl/>
              <w:snapToGrid w:val="0"/>
              <w:jc w:val="center"/>
              <w:rPr>
                <w:rFonts w:ascii="Times New Roman" w:hAnsi="Times New Roman" w:eastAsia="仿宋_GB2312" w:cs="Times New Roman"/>
                <w:sz w:val="24"/>
                <w:szCs w:val="28"/>
                <w:shd w:val="clear" w:color="auto" w:fill="FFFFFF"/>
              </w:rPr>
            </w:pPr>
            <w:r>
              <w:rPr>
                <w:rFonts w:hint="eastAsia" w:ascii="黑体" w:hAnsi="黑体" w:eastAsia="黑体" w:cs="黑体"/>
                <w:bCs/>
                <w:kern w:val="0"/>
                <w:sz w:val="24"/>
                <w:szCs w:val="28"/>
              </w:rPr>
              <w:t>人才引进策略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843" w:type="dxa"/>
            <w:tcBorders>
              <w:top w:val="single" w:color="auto" w:sz="4" w:space="0"/>
              <w:left w:val="single" w:color="auto" w:sz="4" w:space="0"/>
              <w:bottom w:val="single" w:color="auto" w:sz="4" w:space="0"/>
              <w:right w:val="single" w:color="auto" w:sz="4" w:space="0"/>
            </w:tcBorders>
            <w:vAlign w:val="center"/>
          </w:tcPr>
          <w:p>
            <w:pPr>
              <w:widowControl/>
              <w:snapToGrid w:val="0"/>
              <w:spacing w:line="440" w:lineRule="exact"/>
              <w:jc w:val="center"/>
              <w:rPr>
                <w:rFonts w:ascii="Times New Roman" w:hAnsi="Times New Roman" w:eastAsia="仿宋_GB2312" w:cs="Times New Roman"/>
                <w:bCs/>
                <w:kern w:val="0"/>
                <w:sz w:val="24"/>
                <w:szCs w:val="28"/>
              </w:rPr>
            </w:pPr>
            <w:r>
              <w:rPr>
                <w:rFonts w:ascii="Times New Roman" w:hAnsi="Times New Roman" w:eastAsia="仿宋_GB2312" w:cs="Times New Roman"/>
                <w:bCs/>
                <w:kern w:val="0"/>
                <w:sz w:val="24"/>
                <w:szCs w:val="28"/>
              </w:rPr>
              <w:t>创新创业人才</w:t>
            </w:r>
          </w:p>
        </w:tc>
        <w:tc>
          <w:tcPr>
            <w:tcW w:w="2835" w:type="dxa"/>
            <w:tcBorders>
              <w:top w:val="single" w:color="auto" w:sz="4" w:space="0"/>
              <w:left w:val="single" w:color="auto" w:sz="4" w:space="0"/>
              <w:bottom w:val="single" w:color="auto" w:sz="4" w:space="0"/>
              <w:right w:val="single" w:color="auto" w:sz="4" w:space="0"/>
            </w:tcBorders>
            <w:vAlign w:val="center"/>
          </w:tcPr>
          <w:p>
            <w:pPr>
              <w:pStyle w:val="34"/>
              <w:widowControl/>
              <w:numPr>
                <w:ilvl w:val="0"/>
                <w:numId w:val="0"/>
              </w:numPr>
              <w:snapToGrid w:val="0"/>
              <w:spacing w:line="440" w:lineRule="exact"/>
              <w:ind w:leftChars="0"/>
              <w:rPr>
                <w:rFonts w:ascii="Times New Roman" w:hAnsi="Times New Roman" w:eastAsia="仿宋_GB2312" w:cs="Times New Roman"/>
                <w:sz w:val="24"/>
                <w:szCs w:val="28"/>
                <w:shd w:val="clear" w:color="auto" w:fill="FFFFFF"/>
              </w:rPr>
            </w:pPr>
            <w:r>
              <w:rPr>
                <w:rFonts w:ascii="Times New Roman" w:hAnsi="Times New Roman" w:eastAsia="仿宋_GB2312" w:cs="Times New Roman"/>
                <w:sz w:val="24"/>
                <w:szCs w:val="28"/>
                <w:shd w:val="clear" w:color="auto" w:fill="FFFFFF"/>
              </w:rPr>
              <w:t>创业融资困难</w:t>
            </w:r>
          </w:p>
          <w:p>
            <w:pPr>
              <w:pStyle w:val="34"/>
              <w:widowControl/>
              <w:numPr>
                <w:ilvl w:val="0"/>
                <w:numId w:val="0"/>
              </w:numPr>
              <w:snapToGrid w:val="0"/>
              <w:spacing w:line="440" w:lineRule="exact"/>
              <w:ind w:leftChars="0"/>
              <w:rPr>
                <w:rFonts w:ascii="Times New Roman" w:hAnsi="Times New Roman" w:eastAsia="仿宋_GB2312" w:cs="Times New Roman"/>
                <w:sz w:val="24"/>
                <w:szCs w:val="28"/>
                <w:shd w:val="clear" w:color="auto" w:fill="FFFFFF"/>
              </w:rPr>
            </w:pPr>
            <w:r>
              <w:rPr>
                <w:rFonts w:ascii="Times New Roman" w:hAnsi="Times New Roman" w:eastAsia="仿宋_GB2312" w:cs="Times New Roman"/>
                <w:sz w:val="24"/>
                <w:szCs w:val="28"/>
                <w:shd w:val="clear" w:color="auto" w:fill="FFFFFF"/>
              </w:rPr>
              <w:t>工作平台缺乏</w:t>
            </w:r>
          </w:p>
          <w:p>
            <w:pPr>
              <w:pStyle w:val="34"/>
              <w:widowControl/>
              <w:numPr>
                <w:ilvl w:val="0"/>
                <w:numId w:val="0"/>
              </w:numPr>
              <w:snapToGrid w:val="0"/>
              <w:spacing w:line="440" w:lineRule="exact"/>
              <w:ind w:leftChars="0"/>
              <w:rPr>
                <w:rFonts w:ascii="Times New Roman" w:hAnsi="Times New Roman" w:eastAsia="仿宋_GB2312" w:cs="Times New Roman"/>
                <w:sz w:val="24"/>
                <w:szCs w:val="28"/>
                <w:shd w:val="clear" w:color="auto" w:fill="FFFFFF"/>
              </w:rPr>
            </w:pPr>
            <w:r>
              <w:rPr>
                <w:rFonts w:ascii="Times New Roman" w:hAnsi="Times New Roman" w:eastAsia="仿宋_GB2312" w:cs="Times New Roman"/>
                <w:sz w:val="24"/>
                <w:szCs w:val="28"/>
                <w:shd w:val="clear" w:color="auto" w:fill="FFFFFF"/>
              </w:rPr>
              <w:t>生活压力较大</w:t>
            </w:r>
          </w:p>
          <w:p>
            <w:pPr>
              <w:pStyle w:val="34"/>
              <w:widowControl/>
              <w:numPr>
                <w:ilvl w:val="0"/>
                <w:numId w:val="0"/>
              </w:numPr>
              <w:snapToGrid w:val="0"/>
              <w:spacing w:line="440" w:lineRule="exact"/>
              <w:ind w:leftChars="0"/>
              <w:rPr>
                <w:rFonts w:ascii="Times New Roman" w:hAnsi="Times New Roman" w:eastAsia="仿宋_GB2312" w:cs="Times New Roman"/>
                <w:sz w:val="24"/>
                <w:szCs w:val="28"/>
                <w:shd w:val="clear" w:color="auto" w:fill="FFFFFF"/>
              </w:rPr>
            </w:pPr>
            <w:r>
              <w:rPr>
                <w:rFonts w:ascii="Times New Roman" w:hAnsi="Times New Roman" w:eastAsia="仿宋_GB2312" w:cs="Times New Roman"/>
                <w:sz w:val="24"/>
                <w:szCs w:val="28"/>
                <w:shd w:val="clear" w:color="auto" w:fill="FFFFFF"/>
              </w:rPr>
              <w:t>成长空间有限</w:t>
            </w:r>
          </w:p>
        </w:tc>
        <w:tc>
          <w:tcPr>
            <w:tcW w:w="3645" w:type="dxa"/>
            <w:tcBorders>
              <w:top w:val="single" w:color="auto" w:sz="4" w:space="0"/>
              <w:left w:val="single" w:color="auto" w:sz="4" w:space="0"/>
              <w:bottom w:val="single" w:color="auto" w:sz="4" w:space="0"/>
              <w:right w:val="single" w:color="auto" w:sz="4" w:space="0"/>
            </w:tcBorders>
            <w:vAlign w:val="center"/>
          </w:tcPr>
          <w:p>
            <w:pPr>
              <w:pStyle w:val="34"/>
              <w:widowControl/>
              <w:numPr>
                <w:ilvl w:val="0"/>
                <w:numId w:val="0"/>
              </w:numPr>
              <w:snapToGrid w:val="0"/>
              <w:spacing w:line="440" w:lineRule="exact"/>
              <w:ind w:leftChars="0"/>
              <w:rPr>
                <w:rFonts w:ascii="Times New Roman" w:hAnsi="Times New Roman" w:eastAsia="仿宋_GB2312" w:cs="Times New Roman"/>
                <w:sz w:val="24"/>
                <w:szCs w:val="28"/>
                <w:shd w:val="clear" w:color="auto" w:fill="FFFFFF"/>
              </w:rPr>
            </w:pPr>
            <w:r>
              <w:rPr>
                <w:rFonts w:ascii="Times New Roman" w:hAnsi="Times New Roman" w:eastAsia="仿宋_GB2312" w:cs="Times New Roman"/>
                <w:sz w:val="24"/>
                <w:szCs w:val="28"/>
                <w:shd w:val="clear" w:color="auto" w:fill="FFFFFF"/>
              </w:rPr>
              <w:t>场地补贴</w:t>
            </w:r>
          </w:p>
          <w:p>
            <w:pPr>
              <w:pStyle w:val="34"/>
              <w:widowControl/>
              <w:numPr>
                <w:ilvl w:val="0"/>
                <w:numId w:val="0"/>
              </w:numPr>
              <w:snapToGrid w:val="0"/>
              <w:spacing w:line="440" w:lineRule="exact"/>
              <w:ind w:leftChars="0"/>
              <w:rPr>
                <w:rFonts w:ascii="Times New Roman" w:hAnsi="Times New Roman" w:eastAsia="仿宋_GB2312" w:cs="Times New Roman"/>
                <w:sz w:val="24"/>
                <w:szCs w:val="28"/>
                <w:shd w:val="clear" w:color="auto" w:fill="FFFFFF"/>
              </w:rPr>
            </w:pPr>
            <w:r>
              <w:rPr>
                <w:rFonts w:ascii="Times New Roman" w:hAnsi="Times New Roman" w:eastAsia="仿宋_GB2312" w:cs="Times New Roman"/>
                <w:sz w:val="24"/>
                <w:szCs w:val="28"/>
                <w:shd w:val="clear" w:color="auto" w:fill="FFFFFF"/>
              </w:rPr>
              <w:t>创业贷款</w:t>
            </w:r>
          </w:p>
          <w:p>
            <w:pPr>
              <w:pStyle w:val="34"/>
              <w:widowControl/>
              <w:numPr>
                <w:ilvl w:val="0"/>
                <w:numId w:val="0"/>
              </w:numPr>
              <w:snapToGrid w:val="0"/>
              <w:spacing w:line="440" w:lineRule="exact"/>
              <w:ind w:leftChars="0"/>
              <w:rPr>
                <w:rFonts w:ascii="Times New Roman" w:hAnsi="Times New Roman" w:eastAsia="仿宋_GB2312" w:cs="Times New Roman"/>
                <w:sz w:val="24"/>
                <w:szCs w:val="28"/>
                <w:shd w:val="clear" w:color="auto" w:fill="FFFFFF"/>
              </w:rPr>
            </w:pPr>
            <w:r>
              <w:rPr>
                <w:rFonts w:ascii="Times New Roman" w:hAnsi="Times New Roman" w:eastAsia="仿宋_GB2312" w:cs="Times New Roman"/>
                <w:sz w:val="24"/>
                <w:szCs w:val="28"/>
                <w:shd w:val="clear" w:color="auto" w:fill="FFFFFF"/>
              </w:rPr>
              <w:t>住房安居</w:t>
            </w:r>
          </w:p>
        </w:tc>
      </w:tr>
    </w:tbl>
    <w:p>
      <w:pPr>
        <w:adjustRightInd w:val="0"/>
        <w:snapToGrid w:val="0"/>
        <w:rPr>
          <w:rFonts w:ascii="Times New Roman" w:hAnsi="Times New Roman" w:eastAsia="楷体_GB2312" w:cs="Times New Roman"/>
          <w:sz w:val="28"/>
          <w:szCs w:val="28"/>
        </w:rPr>
      </w:pPr>
    </w:p>
    <w:p>
      <w:pPr>
        <w:pStyle w:val="4"/>
        <w:spacing w:before="0" w:after="0" w:line="360" w:lineRule="auto"/>
        <w:ind w:firstLine="640" w:firstLineChars="200"/>
        <w:rPr>
          <w:rStyle w:val="47"/>
          <w:b w:val="0"/>
          <w:bCs w:val="0"/>
          <w:color w:val="auto"/>
        </w:rPr>
      </w:pPr>
      <w:r>
        <w:rPr>
          <w:rStyle w:val="47"/>
          <w:b w:val="0"/>
          <w:bCs w:val="0"/>
          <w:color w:val="auto"/>
        </w:rPr>
        <w:t>二、刚柔并举，创新柔性人才引进策略</w:t>
      </w:r>
    </w:p>
    <w:p>
      <w:pPr>
        <w:spacing w:line="560" w:lineRule="exact"/>
        <w:ind w:firstLine="640" w:firstLineChars="200"/>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围绕产业链部署人才链，分领域研究制定产业领军人才目标清单，开展专项引才活动；依托高端猎头机构，发挥民间社团以及智库作用，有针对性地寻访和引进产业领军人才；对掌握核心关键技术和自主知识产权的产业顶尖人才团队，实行“一事一议”“一人一策”予以引进。秉承“不求所有，但求所用”的柔性人才引进理念，通过顾问指导、短期兼职、退休返聘、对口支援等方式，加强高层次人才引进力度。根据企业引进人才层次，给予企业相应的引才奖励补贴。对企业引进产业领军人才所需的租房补贴、安家费以及科研经费等人才开发费用，按规定列入企业成本。</w:t>
      </w:r>
    </w:p>
    <w:p>
      <w:pPr>
        <w:pStyle w:val="3"/>
        <w:spacing w:before="312" w:beforeLines="100" w:after="312" w:afterLines="100"/>
        <w:rPr>
          <w:rFonts w:ascii="Times New Roman" w:hAnsi="Times New Roman" w:eastAsia="楷体_GB2312"/>
          <w:b w:val="0"/>
          <w:bCs w:val="0"/>
          <w:sz w:val="32"/>
        </w:rPr>
      </w:pPr>
      <w:bookmarkStart w:id="39" w:name="_Toc28617"/>
      <w:bookmarkStart w:id="40" w:name="_Toc27554612"/>
      <w:r>
        <w:rPr>
          <w:rFonts w:ascii="Times New Roman" w:hAnsi="Times New Roman" w:eastAsia="楷体_GB2312"/>
          <w:b w:val="0"/>
          <w:bCs w:val="0"/>
          <w:sz w:val="32"/>
        </w:rPr>
        <w:t>第六节 服务保障</w:t>
      </w:r>
      <w:bookmarkEnd w:id="39"/>
      <w:bookmarkEnd w:id="40"/>
    </w:p>
    <w:p>
      <w:pPr>
        <w:spacing w:line="560" w:lineRule="exact"/>
        <w:ind w:firstLine="640" w:firstLineChars="200"/>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按照政府运作和市场运作两类，对重大项目分类。政府运作类项目大力实施国家重点鼓励的特许经营、政府与社会资本合作（PPP）模式。市场运作类项目重点强化政府服务，切实保障项目落地。</w:t>
      </w:r>
    </w:p>
    <w:p>
      <w:pPr>
        <w:pStyle w:val="4"/>
        <w:spacing w:before="0" w:after="0" w:line="360" w:lineRule="auto"/>
        <w:ind w:firstLine="640" w:firstLineChars="200"/>
        <w:rPr>
          <w:rStyle w:val="47"/>
          <w:b w:val="0"/>
          <w:bCs w:val="0"/>
          <w:color w:val="auto"/>
        </w:rPr>
      </w:pPr>
      <w:r>
        <w:rPr>
          <w:rStyle w:val="47"/>
          <w:b w:val="0"/>
          <w:bCs w:val="0"/>
          <w:color w:val="auto"/>
        </w:rPr>
        <w:t>一、市场运作类项目：强化政府服务</w:t>
      </w:r>
    </w:p>
    <w:p>
      <w:pPr>
        <w:spacing w:line="560" w:lineRule="exact"/>
        <w:ind w:firstLine="640" w:firstLineChars="200"/>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以建设“服务型政府”为目标，设立项目落地工作办公室，重点建设项目由专人负责跟踪沟通；项目落地工作办公室提前了解投资意向，及时完成项目可行性论证，向旗区</w:t>
      </w:r>
      <w:r>
        <w:rPr>
          <w:rFonts w:hint="eastAsia" w:ascii="仿宋_GB2312" w:hAnsi="仿宋_GB2312" w:eastAsia="仿宋_GB2312" w:cs="仿宋_GB2312"/>
          <w:sz w:val="32"/>
          <w:szCs w:val="28"/>
          <w:lang w:eastAsia="zh-CN"/>
        </w:rPr>
        <w:t>人民</w:t>
      </w:r>
      <w:r>
        <w:rPr>
          <w:rFonts w:hint="eastAsia" w:ascii="仿宋_GB2312" w:hAnsi="仿宋_GB2312" w:eastAsia="仿宋_GB2312" w:cs="仿宋_GB2312"/>
          <w:sz w:val="32"/>
          <w:szCs w:val="28"/>
        </w:rPr>
        <w:t>政府提出项目落地意见。对于可落地项目，尽早与投资方签订合同，解决招商项目在洽谈、选址、落户以及建设过程中的困难和问题，帮助企业完成项目前期备案立项手续后，交由企业进行开发、建设和运营。</w:t>
      </w:r>
    </w:p>
    <w:p>
      <w:pPr>
        <w:pStyle w:val="4"/>
        <w:spacing w:before="0" w:after="0" w:line="360" w:lineRule="auto"/>
        <w:ind w:firstLine="640" w:firstLineChars="200"/>
        <w:rPr>
          <w:rStyle w:val="47"/>
          <w:b w:val="0"/>
          <w:bCs w:val="0"/>
          <w:color w:val="auto"/>
        </w:rPr>
      </w:pPr>
      <w:r>
        <w:rPr>
          <w:rStyle w:val="47"/>
          <w:b w:val="0"/>
          <w:bCs w:val="0"/>
          <w:color w:val="auto"/>
        </w:rPr>
        <w:t>二、政府运作类项目：采用特许经营、PPP模式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紧跟国家政策走向，在工业公用工程、智慧园区建设运营、资源环境、生态保护等政府运作类项目中，按照“做好项目储备</w:t>
      </w:r>
      <w:r>
        <w:rPr>
          <w:rFonts w:hint="eastAsia" w:ascii="仿宋_GB2312" w:hAnsi="仿宋_GB2312" w:eastAsia="仿宋_GB2312" w:cs="仿宋_GB2312"/>
          <w:sz w:val="32"/>
          <w:szCs w:val="28"/>
          <w:lang w:eastAsia="zh-CN"/>
        </w:rPr>
        <w:t>—</w:t>
      </w:r>
      <w:r>
        <w:rPr>
          <w:rFonts w:hint="eastAsia" w:ascii="仿宋_GB2312" w:hAnsi="仿宋_GB2312" w:eastAsia="仿宋_GB2312" w:cs="仿宋_GB2312"/>
          <w:sz w:val="32"/>
          <w:szCs w:val="28"/>
        </w:rPr>
        <w:t>规范项目评估</w:t>
      </w:r>
      <w:r>
        <w:rPr>
          <w:rFonts w:hint="eastAsia" w:ascii="仿宋_GB2312" w:hAnsi="仿宋_GB2312" w:eastAsia="仿宋_GB2312" w:cs="仿宋_GB2312"/>
          <w:sz w:val="32"/>
          <w:szCs w:val="28"/>
          <w:lang w:eastAsia="zh-CN"/>
        </w:rPr>
        <w:t>—</w:t>
      </w:r>
      <w:r>
        <w:rPr>
          <w:rFonts w:hint="eastAsia" w:ascii="仿宋_GB2312" w:hAnsi="仿宋_GB2312" w:eastAsia="仿宋_GB2312" w:cs="仿宋_GB2312"/>
          <w:sz w:val="32"/>
          <w:szCs w:val="28"/>
        </w:rPr>
        <w:t>选择合作伙伴</w:t>
      </w:r>
      <w:r>
        <w:rPr>
          <w:rFonts w:hint="eastAsia" w:ascii="仿宋_GB2312" w:hAnsi="仿宋_GB2312" w:eastAsia="仿宋_GB2312" w:cs="仿宋_GB2312"/>
          <w:sz w:val="32"/>
          <w:szCs w:val="28"/>
          <w:lang w:eastAsia="zh-CN"/>
        </w:rPr>
        <w:t>—</w:t>
      </w:r>
      <w:r>
        <w:rPr>
          <w:rFonts w:hint="eastAsia" w:ascii="仿宋_GB2312" w:hAnsi="仿宋_GB2312" w:eastAsia="仿宋_GB2312" w:cs="仿宋_GB2312"/>
          <w:sz w:val="32"/>
          <w:szCs w:val="28"/>
        </w:rPr>
        <w:t>建立合作机制</w:t>
      </w:r>
      <w:r>
        <w:rPr>
          <w:rFonts w:hint="eastAsia" w:ascii="仿宋_GB2312" w:hAnsi="仿宋_GB2312" w:eastAsia="仿宋_GB2312" w:cs="仿宋_GB2312"/>
          <w:sz w:val="32"/>
          <w:szCs w:val="28"/>
          <w:lang w:eastAsia="zh-CN"/>
        </w:rPr>
        <w:t>—</w:t>
      </w:r>
      <w:r>
        <w:rPr>
          <w:rFonts w:hint="eastAsia" w:ascii="仿宋_GB2312" w:hAnsi="仿宋_GB2312" w:eastAsia="仿宋_GB2312" w:cs="仿宋_GB2312"/>
          <w:sz w:val="32"/>
          <w:szCs w:val="28"/>
        </w:rPr>
        <w:t>完善价格机制</w:t>
      </w:r>
      <w:r>
        <w:rPr>
          <w:rFonts w:hint="eastAsia" w:ascii="仿宋_GB2312" w:hAnsi="仿宋_GB2312" w:eastAsia="仿宋_GB2312" w:cs="仿宋_GB2312"/>
          <w:sz w:val="32"/>
          <w:szCs w:val="28"/>
          <w:lang w:eastAsia="zh-CN"/>
        </w:rPr>
        <w:t>—</w:t>
      </w:r>
      <w:r>
        <w:rPr>
          <w:rFonts w:hint="eastAsia" w:ascii="仿宋_GB2312" w:hAnsi="仿宋_GB2312" w:eastAsia="仿宋_GB2312" w:cs="仿宋_GB2312"/>
          <w:sz w:val="32"/>
          <w:szCs w:val="28"/>
        </w:rPr>
        <w:t>防范债务风险</w:t>
      </w:r>
      <w:r>
        <w:rPr>
          <w:rFonts w:hint="eastAsia" w:ascii="仿宋_GB2312" w:hAnsi="仿宋_GB2312" w:eastAsia="仿宋_GB2312" w:cs="仿宋_GB2312"/>
          <w:sz w:val="32"/>
          <w:szCs w:val="28"/>
          <w:lang w:eastAsia="zh-CN"/>
        </w:rPr>
        <w:t>—</w:t>
      </w:r>
      <w:r>
        <w:rPr>
          <w:rFonts w:hint="eastAsia" w:ascii="仿宋_GB2312" w:hAnsi="仿宋_GB2312" w:eastAsia="仿宋_GB2312" w:cs="仿宋_GB2312"/>
          <w:sz w:val="32"/>
          <w:szCs w:val="28"/>
        </w:rPr>
        <w:t>加强项目监督</w:t>
      </w:r>
      <w:r>
        <w:rPr>
          <w:rFonts w:hint="eastAsia" w:ascii="仿宋_GB2312" w:hAnsi="仿宋_GB2312" w:eastAsia="仿宋_GB2312" w:cs="仿宋_GB2312"/>
          <w:sz w:val="32"/>
          <w:szCs w:val="28"/>
          <w:lang w:eastAsia="zh-CN"/>
        </w:rPr>
        <w:t>—</w:t>
      </w:r>
      <w:r>
        <w:rPr>
          <w:rFonts w:hint="eastAsia" w:ascii="仿宋_GB2312" w:hAnsi="仿宋_GB2312" w:eastAsia="仿宋_GB2312" w:cs="仿宋_GB2312"/>
          <w:sz w:val="32"/>
          <w:szCs w:val="28"/>
        </w:rPr>
        <w:t>健全退出机制”的总体工作流程，采用特许经营、PPP模式。财政、发改、工信和有关部门加强组织协调，指导并推动开展政府和社会资本合作工作，充分发挥市场机制的决定性作用。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28"/>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28"/>
          <w:lang w:val="en-US" w:eastAsia="zh-CN"/>
        </w:rPr>
      </w:pPr>
      <w:r>
        <w:rPr>
          <w:rFonts w:hint="eastAsia" w:ascii="仿宋_GB2312" w:hAnsi="仿宋_GB2312" w:eastAsia="仿宋_GB2312" w:cs="仿宋_GB2312"/>
          <w:sz w:val="32"/>
          <w:szCs w:val="28"/>
          <w:lang w:val="en-US" w:eastAsia="zh-CN"/>
        </w:rPr>
        <w:t>附件：1.鄂尔多斯市工业园区产业引导目录</w:t>
      </w:r>
    </w:p>
    <w:p>
      <w:pPr>
        <w:keepNext w:val="0"/>
        <w:keepLines w:val="0"/>
        <w:pageBreakBefore w:val="0"/>
        <w:widowControl w:val="0"/>
        <w:kinsoku/>
        <w:wordWrap/>
        <w:overflowPunct/>
        <w:topLinePunct w:val="0"/>
        <w:autoSpaceDE/>
        <w:autoSpaceDN/>
        <w:bidi w:val="0"/>
        <w:adjustRightInd/>
        <w:snapToGrid/>
        <w:spacing w:line="560" w:lineRule="exact"/>
        <w:ind w:firstLine="1600" w:firstLineChars="500"/>
        <w:textAlignment w:val="auto"/>
        <w:rPr>
          <w:rFonts w:hint="default" w:ascii="仿宋_GB2312" w:hAnsi="仿宋_GB2312" w:eastAsia="仿宋_GB2312" w:cs="仿宋_GB2312"/>
          <w:sz w:val="32"/>
          <w:szCs w:val="28"/>
          <w:lang w:val="en-US" w:eastAsia="zh-CN"/>
        </w:rPr>
        <w:sectPr>
          <w:pgSz w:w="11906" w:h="16838"/>
          <w:pgMar w:top="2098" w:right="1474" w:bottom="1984" w:left="1587" w:header="851" w:footer="992" w:gutter="0"/>
          <w:pgBorders>
            <w:top w:val="none" w:sz="0" w:space="0"/>
            <w:left w:val="none" w:sz="0" w:space="0"/>
            <w:bottom w:val="none" w:sz="0" w:space="0"/>
            <w:right w:val="none" w:sz="0" w:space="0"/>
          </w:pgBorders>
          <w:cols w:space="425" w:num="1"/>
          <w:docGrid w:type="lines" w:linePitch="312" w:charSpace="0"/>
        </w:sectPr>
      </w:pPr>
      <w:r>
        <w:rPr>
          <w:rFonts w:hint="eastAsia" w:ascii="仿宋_GB2312" w:hAnsi="仿宋_GB2312" w:eastAsia="仿宋_GB2312" w:cs="仿宋_GB2312"/>
          <w:sz w:val="32"/>
          <w:szCs w:val="28"/>
          <w:lang w:val="en-US" w:eastAsia="zh-CN"/>
        </w:rPr>
        <w:t>2.鄂尔多斯市工业园区主导产业分布图</w:t>
      </w:r>
    </w:p>
    <w:p>
      <w:pPr>
        <w:pStyle w:val="2"/>
        <w:spacing w:line="578" w:lineRule="atLeast"/>
        <w:jc w:val="left"/>
        <w:rPr>
          <w:rFonts w:hint="eastAsia" w:ascii="黑体" w:hAnsi="黑体" w:eastAsia="黑体" w:cs="黑体"/>
          <w:b w:val="0"/>
          <w:bCs w:val="0"/>
          <w:sz w:val="32"/>
          <w:szCs w:val="32"/>
          <w:lang w:val="en-US" w:eastAsia="zh-CN"/>
        </w:rPr>
      </w:pPr>
      <w:bookmarkStart w:id="41" w:name="_Toc9328"/>
      <w:r>
        <w:rPr>
          <w:rFonts w:hint="eastAsia" w:ascii="黑体" w:hAnsi="黑体" w:eastAsia="黑体" w:cs="黑体"/>
          <w:b w:val="0"/>
          <w:bCs w:val="0"/>
          <w:sz w:val="32"/>
          <w:szCs w:val="32"/>
        </w:rPr>
        <w:t>附件</w:t>
      </w:r>
      <w:bookmarkEnd w:id="41"/>
      <w:r>
        <w:rPr>
          <w:rFonts w:hint="eastAsia" w:ascii="黑体" w:hAnsi="黑体" w:eastAsia="黑体" w:cs="黑体"/>
          <w:b w:val="0"/>
          <w:bCs w:val="0"/>
          <w:sz w:val="32"/>
          <w:szCs w:val="32"/>
          <w:lang w:val="en-US" w:eastAsia="zh-CN"/>
        </w:rPr>
        <w:t>1</w:t>
      </w:r>
    </w:p>
    <w:p>
      <w:pPr>
        <w:spacing w:line="560" w:lineRule="exact"/>
        <w:jc w:val="center"/>
        <w:outlineLvl w:val="1"/>
        <w:rPr>
          <w:rFonts w:hint="eastAsia" w:ascii="方正小标宋_GBK" w:hAnsi="方正小标宋_GBK" w:eastAsia="方正小标宋_GBK" w:cs="方正小标宋_GBK"/>
          <w:b w:val="0"/>
          <w:bCs/>
          <w:sz w:val="39"/>
          <w:szCs w:val="39"/>
        </w:rPr>
      </w:pPr>
      <w:bookmarkStart w:id="42" w:name="_Toc16202"/>
      <w:r>
        <w:rPr>
          <w:rFonts w:hint="eastAsia" w:ascii="方正小标宋_GBK" w:hAnsi="方正小标宋_GBK" w:eastAsia="方正小标宋_GBK" w:cs="方正小标宋_GBK"/>
          <w:b w:val="0"/>
          <w:bCs/>
          <w:sz w:val="39"/>
          <w:szCs w:val="39"/>
        </w:rPr>
        <w:t>鄂尔多斯市工业园区产业引导目录</w:t>
      </w:r>
      <w:bookmarkEnd w:id="42"/>
    </w:p>
    <w:tbl>
      <w:tblPr>
        <w:tblStyle w:val="23"/>
        <w:tblW w:w="5000" w:type="pct"/>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autofit"/>
        <w:tblCellMar>
          <w:top w:w="0" w:type="dxa"/>
          <w:left w:w="57" w:type="dxa"/>
          <w:bottom w:w="0" w:type="dxa"/>
          <w:right w:w="57" w:type="dxa"/>
        </w:tblCellMar>
      </w:tblPr>
      <w:tblGrid>
        <w:gridCol w:w="982"/>
        <w:gridCol w:w="2148"/>
        <w:gridCol w:w="995"/>
        <w:gridCol w:w="2270"/>
        <w:gridCol w:w="5001"/>
        <w:gridCol w:w="2495"/>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cantSplit/>
          <w:trHeight w:val="397" w:hRule="atLeast"/>
          <w:tblHeader/>
          <w:jc w:val="center"/>
        </w:trPr>
        <w:tc>
          <w:tcPr>
            <w:tcW w:w="354" w:type="pct"/>
            <w:shd w:val="clear" w:color="auto" w:fill="auto"/>
            <w:tcMar>
              <w:left w:w="57" w:type="dxa"/>
              <w:right w:w="57" w:type="dxa"/>
            </w:tcMar>
            <w:vAlign w:val="center"/>
          </w:tcPr>
          <w:p>
            <w:pPr>
              <w:widowControl/>
              <w:snapToGrid w:val="0"/>
              <w:jc w:val="center"/>
              <w:rPr>
                <w:rFonts w:hint="eastAsia" w:ascii="黑体" w:hAnsi="黑体" w:eastAsia="黑体" w:cs="黑体"/>
                <w:b w:val="0"/>
                <w:bCs w:val="0"/>
                <w:kern w:val="0"/>
                <w:sz w:val="36"/>
                <w:szCs w:val="36"/>
              </w:rPr>
            </w:pPr>
            <w:r>
              <w:rPr>
                <w:rFonts w:hint="eastAsia" w:ascii="黑体" w:hAnsi="黑体" w:eastAsia="黑体" w:cs="黑体"/>
                <w:b w:val="0"/>
                <w:bCs w:val="0"/>
                <w:kern w:val="24"/>
                <w:sz w:val="20"/>
                <w:szCs w:val="20"/>
              </w:rPr>
              <w:t>序号</w:t>
            </w:r>
          </w:p>
        </w:tc>
        <w:tc>
          <w:tcPr>
            <w:tcW w:w="773" w:type="pct"/>
            <w:shd w:val="clear" w:color="auto" w:fill="auto"/>
            <w:tcMar>
              <w:left w:w="57" w:type="dxa"/>
              <w:right w:w="57" w:type="dxa"/>
            </w:tcMar>
            <w:vAlign w:val="center"/>
          </w:tcPr>
          <w:p>
            <w:pPr>
              <w:widowControl/>
              <w:snapToGrid w:val="0"/>
              <w:jc w:val="center"/>
              <w:rPr>
                <w:rFonts w:hint="eastAsia" w:ascii="黑体" w:hAnsi="黑体" w:eastAsia="黑体" w:cs="黑体"/>
                <w:b w:val="0"/>
                <w:bCs w:val="0"/>
                <w:kern w:val="0"/>
                <w:sz w:val="36"/>
                <w:szCs w:val="36"/>
              </w:rPr>
            </w:pPr>
            <w:r>
              <w:rPr>
                <w:rFonts w:hint="eastAsia" w:ascii="黑体" w:hAnsi="黑体" w:eastAsia="黑体" w:cs="黑体"/>
                <w:b w:val="0"/>
                <w:bCs w:val="0"/>
                <w:kern w:val="24"/>
                <w:sz w:val="20"/>
                <w:szCs w:val="20"/>
              </w:rPr>
              <w:t>园区名称</w:t>
            </w:r>
          </w:p>
        </w:tc>
        <w:tc>
          <w:tcPr>
            <w:tcW w:w="358" w:type="pct"/>
            <w:shd w:val="clear" w:color="auto" w:fill="auto"/>
            <w:tcMar>
              <w:left w:w="57" w:type="dxa"/>
              <w:right w:w="57" w:type="dxa"/>
            </w:tcMar>
            <w:vAlign w:val="center"/>
          </w:tcPr>
          <w:p>
            <w:pPr>
              <w:widowControl/>
              <w:snapToGrid w:val="0"/>
              <w:jc w:val="center"/>
              <w:rPr>
                <w:rFonts w:hint="eastAsia" w:ascii="黑体" w:hAnsi="黑体" w:eastAsia="黑体" w:cs="黑体"/>
                <w:b w:val="0"/>
                <w:bCs w:val="0"/>
                <w:kern w:val="0"/>
                <w:sz w:val="36"/>
                <w:szCs w:val="36"/>
              </w:rPr>
            </w:pPr>
            <w:r>
              <w:rPr>
                <w:rFonts w:hint="eastAsia" w:ascii="黑体" w:hAnsi="黑体" w:eastAsia="黑体" w:cs="黑体"/>
                <w:b w:val="0"/>
                <w:bCs w:val="0"/>
                <w:kern w:val="24"/>
                <w:sz w:val="20"/>
                <w:szCs w:val="20"/>
              </w:rPr>
              <w:t>区块数</w:t>
            </w:r>
          </w:p>
        </w:tc>
        <w:tc>
          <w:tcPr>
            <w:tcW w:w="817" w:type="pct"/>
            <w:shd w:val="clear" w:color="auto" w:fill="auto"/>
            <w:tcMar>
              <w:left w:w="57" w:type="dxa"/>
              <w:right w:w="57" w:type="dxa"/>
            </w:tcMar>
            <w:vAlign w:val="center"/>
          </w:tcPr>
          <w:p>
            <w:pPr>
              <w:widowControl/>
              <w:snapToGrid w:val="0"/>
              <w:jc w:val="center"/>
              <w:rPr>
                <w:rFonts w:hint="eastAsia" w:ascii="黑体" w:hAnsi="黑体" w:eastAsia="黑体" w:cs="黑体"/>
                <w:b w:val="0"/>
                <w:bCs w:val="0"/>
                <w:kern w:val="0"/>
                <w:sz w:val="36"/>
                <w:szCs w:val="36"/>
              </w:rPr>
            </w:pPr>
            <w:r>
              <w:rPr>
                <w:rFonts w:hint="eastAsia" w:ascii="黑体" w:hAnsi="黑体" w:eastAsia="黑体" w:cs="黑体"/>
                <w:b w:val="0"/>
                <w:bCs w:val="0"/>
                <w:kern w:val="24"/>
                <w:sz w:val="20"/>
                <w:szCs w:val="20"/>
              </w:rPr>
              <w:t>具体区块</w:t>
            </w:r>
          </w:p>
        </w:tc>
        <w:tc>
          <w:tcPr>
            <w:tcW w:w="1800" w:type="pct"/>
            <w:shd w:val="clear" w:color="auto" w:fill="auto"/>
            <w:tcMar>
              <w:left w:w="57" w:type="dxa"/>
              <w:right w:w="57" w:type="dxa"/>
            </w:tcMar>
            <w:vAlign w:val="center"/>
          </w:tcPr>
          <w:p>
            <w:pPr>
              <w:widowControl/>
              <w:snapToGrid w:val="0"/>
              <w:jc w:val="center"/>
              <w:rPr>
                <w:rFonts w:hint="eastAsia" w:ascii="黑体" w:hAnsi="黑体" w:eastAsia="黑体" w:cs="黑体"/>
                <w:b w:val="0"/>
                <w:bCs w:val="0"/>
                <w:kern w:val="0"/>
                <w:sz w:val="36"/>
                <w:szCs w:val="36"/>
              </w:rPr>
            </w:pPr>
            <w:r>
              <w:rPr>
                <w:rFonts w:hint="eastAsia" w:ascii="黑体" w:hAnsi="黑体" w:eastAsia="黑体" w:cs="黑体"/>
                <w:b w:val="0"/>
                <w:bCs w:val="0"/>
                <w:kern w:val="24"/>
                <w:sz w:val="20"/>
                <w:szCs w:val="20"/>
              </w:rPr>
              <w:t>产业基础</w:t>
            </w:r>
          </w:p>
        </w:tc>
        <w:tc>
          <w:tcPr>
            <w:tcW w:w="898" w:type="pct"/>
            <w:shd w:val="clear" w:color="auto" w:fill="auto"/>
            <w:tcMar>
              <w:top w:w="57" w:type="dxa"/>
              <w:left w:w="57" w:type="dxa"/>
              <w:bottom w:w="57" w:type="dxa"/>
              <w:right w:w="57" w:type="dxa"/>
            </w:tcMar>
            <w:vAlign w:val="center"/>
          </w:tcPr>
          <w:p>
            <w:pPr>
              <w:widowControl/>
              <w:snapToGrid w:val="0"/>
              <w:jc w:val="center"/>
              <w:rPr>
                <w:rFonts w:hint="eastAsia" w:ascii="黑体" w:hAnsi="黑体" w:eastAsia="黑体" w:cs="黑体"/>
                <w:b w:val="0"/>
                <w:bCs w:val="0"/>
                <w:kern w:val="0"/>
                <w:sz w:val="36"/>
                <w:szCs w:val="36"/>
              </w:rPr>
            </w:pPr>
            <w:r>
              <w:rPr>
                <w:rFonts w:hint="eastAsia" w:ascii="黑体" w:hAnsi="黑体" w:eastAsia="黑体" w:cs="黑体"/>
                <w:b w:val="0"/>
                <w:bCs w:val="0"/>
                <w:kern w:val="24"/>
                <w:sz w:val="20"/>
                <w:szCs w:val="20"/>
              </w:rPr>
              <w:t>主导产业</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57" w:type="dxa"/>
            <w:bottom w:w="0" w:type="dxa"/>
            <w:right w:w="57" w:type="dxa"/>
          </w:tblCellMar>
        </w:tblPrEx>
        <w:trPr>
          <w:cantSplit/>
          <w:trHeight w:val="397" w:hRule="atLeast"/>
          <w:jc w:val="center"/>
        </w:trPr>
        <w:tc>
          <w:tcPr>
            <w:tcW w:w="354" w:type="pct"/>
            <w:vMerge w:val="restart"/>
            <w:shd w:val="clear" w:color="auto" w:fill="auto"/>
            <w:tcMar>
              <w:top w:w="57" w:type="dxa"/>
              <w:left w:w="57" w:type="dxa"/>
              <w:bottom w:w="57" w:type="dxa"/>
              <w:right w:w="57" w:type="dxa"/>
            </w:tcMar>
            <w:vAlign w:val="center"/>
          </w:tcPr>
          <w:p>
            <w:pPr>
              <w:widowControl/>
              <w:snapToGrid w:val="0"/>
              <w:jc w:val="center"/>
              <w:textAlignment w:val="center"/>
              <w:rPr>
                <w:rFonts w:hint="eastAsia" w:ascii="仿宋_GB2312" w:hAnsi="仿宋_GB2312" w:eastAsia="仿宋_GB2312" w:cs="仿宋_GB2312"/>
                <w:b w:val="0"/>
                <w:bCs w:val="0"/>
                <w:kern w:val="0"/>
                <w:sz w:val="36"/>
                <w:szCs w:val="36"/>
              </w:rPr>
            </w:pPr>
            <w:r>
              <w:rPr>
                <w:rFonts w:hint="eastAsia" w:ascii="仿宋_GB2312" w:hAnsi="仿宋_GB2312" w:eastAsia="仿宋_GB2312" w:cs="仿宋_GB2312"/>
                <w:b w:val="0"/>
                <w:bCs w:val="0"/>
                <w:kern w:val="24"/>
                <w:sz w:val="20"/>
                <w:szCs w:val="20"/>
              </w:rPr>
              <w:t>1</w:t>
            </w:r>
          </w:p>
        </w:tc>
        <w:tc>
          <w:tcPr>
            <w:tcW w:w="773" w:type="pct"/>
            <w:vMerge w:val="restart"/>
            <w:shd w:val="clear" w:color="auto" w:fill="auto"/>
            <w:tcMar>
              <w:top w:w="57" w:type="dxa"/>
              <w:left w:w="57" w:type="dxa"/>
              <w:bottom w:w="57" w:type="dxa"/>
              <w:right w:w="57" w:type="dxa"/>
            </w:tcMar>
            <w:vAlign w:val="center"/>
          </w:tcPr>
          <w:p>
            <w:pPr>
              <w:widowControl/>
              <w:snapToGrid w:val="0"/>
              <w:textAlignment w:val="center"/>
              <w:rPr>
                <w:rFonts w:hint="eastAsia" w:ascii="仿宋_GB2312" w:hAnsi="仿宋_GB2312" w:eastAsia="仿宋_GB2312" w:cs="仿宋_GB2312"/>
                <w:b w:val="0"/>
                <w:bCs w:val="0"/>
                <w:kern w:val="0"/>
                <w:sz w:val="36"/>
                <w:szCs w:val="36"/>
              </w:rPr>
            </w:pPr>
            <w:r>
              <w:rPr>
                <w:rFonts w:hint="eastAsia" w:ascii="仿宋_GB2312" w:hAnsi="仿宋_GB2312" w:eastAsia="仿宋_GB2312" w:cs="仿宋_GB2312"/>
                <w:b w:val="0"/>
                <w:bCs w:val="0"/>
                <w:kern w:val="24"/>
                <w:sz w:val="20"/>
                <w:szCs w:val="20"/>
              </w:rPr>
              <w:t>鄂尔多斯高新技术产业开发区</w:t>
            </w:r>
          </w:p>
        </w:tc>
        <w:tc>
          <w:tcPr>
            <w:tcW w:w="358" w:type="pct"/>
            <w:vMerge w:val="restart"/>
            <w:shd w:val="clear" w:color="auto" w:fill="auto"/>
            <w:tcMar>
              <w:top w:w="57" w:type="dxa"/>
              <w:left w:w="57" w:type="dxa"/>
              <w:bottom w:w="57" w:type="dxa"/>
              <w:right w:w="57" w:type="dxa"/>
            </w:tcMar>
            <w:vAlign w:val="center"/>
          </w:tcPr>
          <w:p>
            <w:pPr>
              <w:widowControl/>
              <w:snapToGrid w:val="0"/>
              <w:jc w:val="center"/>
              <w:textAlignment w:val="center"/>
              <w:rPr>
                <w:rFonts w:hint="eastAsia" w:ascii="仿宋_GB2312" w:hAnsi="仿宋_GB2312" w:eastAsia="仿宋_GB2312" w:cs="仿宋_GB2312"/>
                <w:b w:val="0"/>
                <w:bCs w:val="0"/>
                <w:kern w:val="0"/>
                <w:sz w:val="36"/>
                <w:szCs w:val="36"/>
              </w:rPr>
            </w:pPr>
            <w:r>
              <w:rPr>
                <w:rFonts w:hint="eastAsia" w:ascii="仿宋_GB2312" w:hAnsi="仿宋_GB2312" w:eastAsia="仿宋_GB2312" w:cs="仿宋_GB2312"/>
                <w:b w:val="0"/>
                <w:bCs w:val="0"/>
                <w:kern w:val="24"/>
                <w:sz w:val="20"/>
                <w:szCs w:val="20"/>
              </w:rPr>
              <w:t>3</w:t>
            </w:r>
          </w:p>
        </w:tc>
        <w:tc>
          <w:tcPr>
            <w:tcW w:w="817" w:type="pct"/>
            <w:shd w:val="clear" w:color="auto" w:fill="auto"/>
            <w:tcMar>
              <w:top w:w="57" w:type="dxa"/>
              <w:left w:w="57" w:type="dxa"/>
              <w:bottom w:w="57" w:type="dxa"/>
              <w:right w:w="57" w:type="dxa"/>
            </w:tcMar>
            <w:vAlign w:val="center"/>
          </w:tcPr>
          <w:p>
            <w:pPr>
              <w:widowControl/>
              <w:snapToGrid w:val="0"/>
              <w:textAlignment w:val="center"/>
              <w:rPr>
                <w:rFonts w:hint="eastAsia" w:ascii="仿宋_GB2312" w:hAnsi="仿宋_GB2312" w:eastAsia="仿宋_GB2312" w:cs="仿宋_GB2312"/>
                <w:b w:val="0"/>
                <w:bCs w:val="0"/>
                <w:kern w:val="0"/>
                <w:sz w:val="36"/>
                <w:szCs w:val="36"/>
              </w:rPr>
            </w:pPr>
            <w:r>
              <w:rPr>
                <w:rFonts w:hint="eastAsia" w:ascii="仿宋_GB2312" w:hAnsi="仿宋_GB2312" w:eastAsia="仿宋_GB2312" w:cs="仿宋_GB2312"/>
                <w:b w:val="0"/>
                <w:bCs w:val="0"/>
                <w:kern w:val="24"/>
                <w:sz w:val="20"/>
                <w:szCs w:val="20"/>
              </w:rPr>
              <w:t>高新技术产业园</w:t>
            </w:r>
          </w:p>
        </w:tc>
        <w:tc>
          <w:tcPr>
            <w:tcW w:w="1800" w:type="pct"/>
            <w:shd w:val="clear" w:color="auto" w:fill="auto"/>
            <w:tcMar>
              <w:top w:w="57" w:type="dxa"/>
              <w:left w:w="57" w:type="dxa"/>
              <w:bottom w:w="57" w:type="dxa"/>
              <w:right w:w="57" w:type="dxa"/>
            </w:tcMar>
            <w:vAlign w:val="center"/>
          </w:tcPr>
          <w:p>
            <w:pPr>
              <w:widowControl/>
              <w:snapToGrid w:val="0"/>
              <w:textAlignment w:val="center"/>
              <w:rPr>
                <w:rFonts w:hint="eastAsia" w:ascii="仿宋_GB2312" w:hAnsi="仿宋_GB2312" w:eastAsia="仿宋_GB2312" w:cs="仿宋_GB2312"/>
                <w:b w:val="0"/>
                <w:bCs w:val="0"/>
                <w:kern w:val="0"/>
                <w:sz w:val="36"/>
                <w:szCs w:val="36"/>
              </w:rPr>
            </w:pPr>
            <w:r>
              <w:rPr>
                <w:rFonts w:hint="eastAsia" w:ascii="仿宋_GB2312" w:hAnsi="仿宋_GB2312" w:eastAsia="仿宋_GB2312" w:cs="仿宋_GB2312"/>
                <w:b w:val="0"/>
                <w:bCs w:val="0"/>
                <w:kern w:val="24"/>
                <w:sz w:val="20"/>
                <w:szCs w:val="20"/>
              </w:rPr>
              <w:t>信息产业（云计算、大数据）、节能环保、新材料（锂电池材料、新能源材料、煤基材料）、生物医药</w:t>
            </w:r>
          </w:p>
        </w:tc>
        <w:tc>
          <w:tcPr>
            <w:tcW w:w="898" w:type="pct"/>
            <w:shd w:val="clear" w:color="auto" w:fill="auto"/>
            <w:tcMar>
              <w:top w:w="57" w:type="dxa"/>
              <w:left w:w="57" w:type="dxa"/>
              <w:bottom w:w="57" w:type="dxa"/>
              <w:right w:w="57" w:type="dxa"/>
            </w:tcMar>
            <w:vAlign w:val="center"/>
          </w:tcPr>
          <w:p>
            <w:pPr>
              <w:widowControl/>
              <w:snapToGrid w:val="0"/>
              <w:textAlignment w:val="center"/>
              <w:rPr>
                <w:rFonts w:hint="eastAsia" w:ascii="仿宋_GB2312" w:hAnsi="仿宋_GB2312" w:eastAsia="仿宋_GB2312" w:cs="仿宋_GB2312"/>
                <w:b w:val="0"/>
                <w:bCs w:val="0"/>
                <w:kern w:val="0"/>
                <w:sz w:val="36"/>
                <w:szCs w:val="36"/>
              </w:rPr>
            </w:pPr>
            <w:r>
              <w:rPr>
                <w:rFonts w:hint="eastAsia" w:ascii="仿宋_GB2312" w:hAnsi="仿宋_GB2312" w:eastAsia="仿宋_GB2312" w:cs="仿宋_GB2312"/>
                <w:b w:val="0"/>
                <w:bCs w:val="0"/>
                <w:kern w:val="24"/>
                <w:sz w:val="20"/>
                <w:szCs w:val="20"/>
              </w:rPr>
              <w:t>信息技术、新兴产业</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57" w:type="dxa"/>
            <w:bottom w:w="0" w:type="dxa"/>
            <w:right w:w="57" w:type="dxa"/>
          </w:tblCellMar>
        </w:tblPrEx>
        <w:trPr>
          <w:cantSplit/>
          <w:trHeight w:val="397" w:hRule="atLeast"/>
          <w:jc w:val="center"/>
        </w:trPr>
        <w:tc>
          <w:tcPr>
            <w:tcW w:w="354" w:type="pct"/>
            <w:vMerge w:val="continue"/>
            <w:shd w:val="clear" w:color="auto" w:fill="auto"/>
            <w:tcMar>
              <w:left w:w="57" w:type="dxa"/>
              <w:right w:w="57" w:type="dxa"/>
            </w:tcMar>
            <w:vAlign w:val="center"/>
          </w:tcPr>
          <w:p>
            <w:pPr>
              <w:widowControl/>
              <w:snapToGrid w:val="0"/>
              <w:jc w:val="left"/>
              <w:rPr>
                <w:rFonts w:hint="eastAsia" w:ascii="仿宋_GB2312" w:hAnsi="仿宋_GB2312" w:eastAsia="仿宋_GB2312" w:cs="仿宋_GB2312"/>
                <w:b w:val="0"/>
                <w:bCs w:val="0"/>
                <w:kern w:val="0"/>
                <w:sz w:val="36"/>
                <w:szCs w:val="36"/>
              </w:rPr>
            </w:pPr>
          </w:p>
        </w:tc>
        <w:tc>
          <w:tcPr>
            <w:tcW w:w="773" w:type="pct"/>
            <w:vMerge w:val="continue"/>
            <w:shd w:val="clear" w:color="auto" w:fill="auto"/>
            <w:tcMar>
              <w:left w:w="57" w:type="dxa"/>
              <w:right w:w="57" w:type="dxa"/>
            </w:tcMar>
            <w:vAlign w:val="center"/>
          </w:tcPr>
          <w:p>
            <w:pPr>
              <w:widowControl/>
              <w:snapToGrid w:val="0"/>
              <w:jc w:val="left"/>
              <w:rPr>
                <w:rFonts w:hint="eastAsia" w:ascii="仿宋_GB2312" w:hAnsi="仿宋_GB2312" w:eastAsia="仿宋_GB2312" w:cs="仿宋_GB2312"/>
                <w:b w:val="0"/>
                <w:bCs w:val="0"/>
                <w:kern w:val="0"/>
                <w:sz w:val="36"/>
                <w:szCs w:val="36"/>
              </w:rPr>
            </w:pPr>
          </w:p>
        </w:tc>
        <w:tc>
          <w:tcPr>
            <w:tcW w:w="358" w:type="pct"/>
            <w:vMerge w:val="continue"/>
            <w:shd w:val="clear" w:color="auto" w:fill="auto"/>
            <w:tcMar>
              <w:left w:w="57" w:type="dxa"/>
              <w:right w:w="57" w:type="dxa"/>
            </w:tcMar>
            <w:vAlign w:val="center"/>
          </w:tcPr>
          <w:p>
            <w:pPr>
              <w:widowControl/>
              <w:snapToGrid w:val="0"/>
              <w:jc w:val="center"/>
              <w:rPr>
                <w:rFonts w:hint="eastAsia" w:ascii="仿宋_GB2312" w:hAnsi="仿宋_GB2312" w:eastAsia="仿宋_GB2312" w:cs="仿宋_GB2312"/>
                <w:b w:val="0"/>
                <w:bCs w:val="0"/>
                <w:kern w:val="0"/>
                <w:sz w:val="36"/>
                <w:szCs w:val="36"/>
              </w:rPr>
            </w:pPr>
          </w:p>
        </w:tc>
        <w:tc>
          <w:tcPr>
            <w:tcW w:w="817" w:type="pct"/>
            <w:shd w:val="clear" w:color="auto" w:fill="auto"/>
            <w:tcMar>
              <w:top w:w="57" w:type="dxa"/>
              <w:left w:w="57" w:type="dxa"/>
              <w:bottom w:w="57" w:type="dxa"/>
              <w:right w:w="57" w:type="dxa"/>
            </w:tcMar>
            <w:vAlign w:val="center"/>
          </w:tcPr>
          <w:p>
            <w:pPr>
              <w:widowControl/>
              <w:snapToGrid w:val="0"/>
              <w:textAlignment w:val="center"/>
              <w:rPr>
                <w:rFonts w:hint="eastAsia" w:ascii="仿宋_GB2312" w:hAnsi="仿宋_GB2312" w:eastAsia="仿宋_GB2312" w:cs="仿宋_GB2312"/>
                <w:b w:val="0"/>
                <w:bCs w:val="0"/>
                <w:kern w:val="0"/>
                <w:sz w:val="36"/>
                <w:szCs w:val="36"/>
              </w:rPr>
            </w:pPr>
            <w:r>
              <w:rPr>
                <w:rFonts w:hint="eastAsia" w:ascii="仿宋_GB2312" w:hAnsi="仿宋_GB2312" w:eastAsia="仿宋_GB2312" w:cs="仿宋_GB2312"/>
                <w:b w:val="0"/>
                <w:bCs w:val="0"/>
                <w:kern w:val="24"/>
                <w:sz w:val="20"/>
                <w:szCs w:val="20"/>
              </w:rPr>
              <w:t>装备制造产业园</w:t>
            </w:r>
          </w:p>
        </w:tc>
        <w:tc>
          <w:tcPr>
            <w:tcW w:w="1800" w:type="pct"/>
            <w:shd w:val="clear" w:color="auto" w:fill="auto"/>
            <w:tcMar>
              <w:top w:w="57" w:type="dxa"/>
              <w:left w:w="57" w:type="dxa"/>
              <w:bottom w:w="57" w:type="dxa"/>
              <w:right w:w="57" w:type="dxa"/>
            </w:tcMar>
            <w:vAlign w:val="center"/>
          </w:tcPr>
          <w:p>
            <w:pPr>
              <w:widowControl/>
              <w:snapToGrid w:val="0"/>
              <w:textAlignment w:val="center"/>
              <w:rPr>
                <w:rFonts w:hint="eastAsia" w:ascii="仿宋_GB2312" w:hAnsi="仿宋_GB2312" w:eastAsia="仿宋_GB2312" w:cs="仿宋_GB2312"/>
                <w:b w:val="0"/>
                <w:bCs w:val="0"/>
                <w:kern w:val="0"/>
                <w:sz w:val="36"/>
                <w:szCs w:val="36"/>
              </w:rPr>
            </w:pPr>
            <w:r>
              <w:rPr>
                <w:rFonts w:hint="eastAsia" w:ascii="仿宋_GB2312" w:hAnsi="仿宋_GB2312" w:eastAsia="仿宋_GB2312" w:cs="仿宋_GB2312"/>
                <w:b w:val="0"/>
                <w:bCs w:val="0"/>
                <w:kern w:val="24"/>
                <w:sz w:val="20"/>
                <w:szCs w:val="20"/>
              </w:rPr>
              <w:t>装备制造（汽车及关键零部件、电子信息、能源）、节能环保、新材料（锂电池材料、碳纤维）</w:t>
            </w:r>
          </w:p>
        </w:tc>
        <w:tc>
          <w:tcPr>
            <w:tcW w:w="898" w:type="pct"/>
            <w:shd w:val="clear" w:color="auto" w:fill="auto"/>
            <w:tcMar>
              <w:left w:w="57" w:type="dxa"/>
              <w:right w:w="57" w:type="dxa"/>
            </w:tcMar>
            <w:vAlign w:val="center"/>
          </w:tcPr>
          <w:p>
            <w:pPr>
              <w:widowControl/>
              <w:snapToGrid w:val="0"/>
              <w:textAlignment w:val="center"/>
              <w:rPr>
                <w:rFonts w:hint="eastAsia" w:ascii="仿宋_GB2312" w:hAnsi="仿宋_GB2312" w:eastAsia="仿宋_GB2312" w:cs="仿宋_GB2312"/>
                <w:b w:val="0"/>
                <w:bCs w:val="0"/>
                <w:kern w:val="0"/>
                <w:sz w:val="36"/>
                <w:szCs w:val="36"/>
              </w:rPr>
            </w:pPr>
            <w:r>
              <w:rPr>
                <w:rFonts w:hint="eastAsia" w:ascii="仿宋_GB2312" w:hAnsi="仿宋_GB2312" w:eastAsia="仿宋_GB2312" w:cs="仿宋_GB2312"/>
                <w:b w:val="0"/>
                <w:bCs w:val="0"/>
                <w:kern w:val="24"/>
                <w:sz w:val="20"/>
                <w:szCs w:val="20"/>
              </w:rPr>
              <w:t>装备制造</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57" w:type="dxa"/>
            <w:bottom w:w="0" w:type="dxa"/>
            <w:right w:w="57" w:type="dxa"/>
          </w:tblCellMar>
        </w:tblPrEx>
        <w:trPr>
          <w:cantSplit/>
          <w:trHeight w:val="397" w:hRule="atLeast"/>
          <w:jc w:val="center"/>
        </w:trPr>
        <w:tc>
          <w:tcPr>
            <w:tcW w:w="354" w:type="pct"/>
            <w:vMerge w:val="continue"/>
            <w:shd w:val="clear" w:color="auto" w:fill="auto"/>
            <w:tcMar>
              <w:left w:w="57" w:type="dxa"/>
              <w:right w:w="57" w:type="dxa"/>
            </w:tcMar>
            <w:vAlign w:val="center"/>
          </w:tcPr>
          <w:p>
            <w:pPr>
              <w:widowControl/>
              <w:snapToGrid w:val="0"/>
              <w:jc w:val="left"/>
              <w:rPr>
                <w:rFonts w:hint="eastAsia" w:ascii="仿宋_GB2312" w:hAnsi="仿宋_GB2312" w:eastAsia="仿宋_GB2312" w:cs="仿宋_GB2312"/>
                <w:b w:val="0"/>
                <w:bCs w:val="0"/>
                <w:kern w:val="0"/>
                <w:sz w:val="36"/>
                <w:szCs w:val="36"/>
              </w:rPr>
            </w:pPr>
          </w:p>
        </w:tc>
        <w:tc>
          <w:tcPr>
            <w:tcW w:w="773" w:type="pct"/>
            <w:vMerge w:val="continue"/>
            <w:shd w:val="clear" w:color="auto" w:fill="auto"/>
            <w:tcMar>
              <w:left w:w="57" w:type="dxa"/>
              <w:right w:w="57" w:type="dxa"/>
            </w:tcMar>
            <w:vAlign w:val="center"/>
          </w:tcPr>
          <w:p>
            <w:pPr>
              <w:widowControl/>
              <w:snapToGrid w:val="0"/>
              <w:jc w:val="left"/>
              <w:rPr>
                <w:rFonts w:hint="eastAsia" w:ascii="仿宋_GB2312" w:hAnsi="仿宋_GB2312" w:eastAsia="仿宋_GB2312" w:cs="仿宋_GB2312"/>
                <w:b w:val="0"/>
                <w:bCs w:val="0"/>
                <w:kern w:val="0"/>
                <w:sz w:val="36"/>
                <w:szCs w:val="36"/>
              </w:rPr>
            </w:pPr>
          </w:p>
        </w:tc>
        <w:tc>
          <w:tcPr>
            <w:tcW w:w="358" w:type="pct"/>
            <w:vMerge w:val="continue"/>
            <w:shd w:val="clear" w:color="auto" w:fill="auto"/>
            <w:tcMar>
              <w:left w:w="57" w:type="dxa"/>
              <w:right w:w="57" w:type="dxa"/>
            </w:tcMar>
            <w:vAlign w:val="center"/>
          </w:tcPr>
          <w:p>
            <w:pPr>
              <w:widowControl/>
              <w:snapToGrid w:val="0"/>
              <w:jc w:val="center"/>
              <w:rPr>
                <w:rFonts w:hint="eastAsia" w:ascii="仿宋_GB2312" w:hAnsi="仿宋_GB2312" w:eastAsia="仿宋_GB2312" w:cs="仿宋_GB2312"/>
                <w:b w:val="0"/>
                <w:bCs w:val="0"/>
                <w:kern w:val="0"/>
                <w:sz w:val="36"/>
                <w:szCs w:val="36"/>
              </w:rPr>
            </w:pPr>
          </w:p>
        </w:tc>
        <w:tc>
          <w:tcPr>
            <w:tcW w:w="817" w:type="pct"/>
            <w:shd w:val="clear" w:color="auto" w:fill="auto"/>
            <w:tcMar>
              <w:top w:w="57" w:type="dxa"/>
              <w:left w:w="57" w:type="dxa"/>
              <w:bottom w:w="57" w:type="dxa"/>
              <w:right w:w="57" w:type="dxa"/>
            </w:tcMar>
            <w:vAlign w:val="center"/>
          </w:tcPr>
          <w:p>
            <w:pPr>
              <w:widowControl/>
              <w:snapToGrid w:val="0"/>
              <w:textAlignment w:val="center"/>
              <w:rPr>
                <w:rFonts w:hint="eastAsia" w:ascii="仿宋_GB2312" w:hAnsi="仿宋_GB2312" w:eastAsia="仿宋_GB2312" w:cs="仿宋_GB2312"/>
                <w:b w:val="0"/>
                <w:bCs w:val="0"/>
                <w:kern w:val="0"/>
                <w:sz w:val="36"/>
                <w:szCs w:val="36"/>
              </w:rPr>
            </w:pPr>
            <w:r>
              <w:rPr>
                <w:rFonts w:hint="eastAsia" w:ascii="仿宋_GB2312" w:hAnsi="仿宋_GB2312" w:eastAsia="仿宋_GB2312" w:cs="仿宋_GB2312"/>
                <w:b w:val="0"/>
                <w:bCs w:val="0"/>
                <w:kern w:val="24"/>
                <w:sz w:val="20"/>
                <w:szCs w:val="20"/>
              </w:rPr>
              <w:t>轻纺产业园</w:t>
            </w:r>
          </w:p>
        </w:tc>
        <w:tc>
          <w:tcPr>
            <w:tcW w:w="1800" w:type="pct"/>
            <w:shd w:val="clear" w:color="auto" w:fill="auto"/>
            <w:tcMar>
              <w:top w:w="57" w:type="dxa"/>
              <w:left w:w="57" w:type="dxa"/>
              <w:bottom w:w="57" w:type="dxa"/>
              <w:right w:w="57" w:type="dxa"/>
            </w:tcMar>
            <w:vAlign w:val="center"/>
          </w:tcPr>
          <w:p>
            <w:pPr>
              <w:widowControl/>
              <w:snapToGrid w:val="0"/>
              <w:textAlignment w:val="center"/>
              <w:rPr>
                <w:rFonts w:hint="eastAsia" w:ascii="仿宋_GB2312" w:hAnsi="仿宋_GB2312" w:eastAsia="仿宋_GB2312" w:cs="仿宋_GB2312"/>
                <w:b w:val="0"/>
                <w:bCs w:val="0"/>
                <w:kern w:val="0"/>
                <w:sz w:val="36"/>
                <w:szCs w:val="36"/>
              </w:rPr>
            </w:pPr>
            <w:r>
              <w:rPr>
                <w:rFonts w:hint="eastAsia" w:ascii="仿宋_GB2312" w:hAnsi="仿宋_GB2312" w:eastAsia="仿宋_GB2312" w:cs="仿宋_GB2312"/>
                <w:b w:val="0"/>
                <w:bCs w:val="0"/>
                <w:kern w:val="24"/>
                <w:sz w:val="20"/>
                <w:szCs w:val="20"/>
              </w:rPr>
              <w:t>绒纺加工、制酒、生物制药、食品加工</w:t>
            </w:r>
          </w:p>
        </w:tc>
        <w:tc>
          <w:tcPr>
            <w:tcW w:w="898" w:type="pct"/>
            <w:shd w:val="clear" w:color="auto" w:fill="auto"/>
            <w:tcMar>
              <w:left w:w="57" w:type="dxa"/>
              <w:right w:w="57" w:type="dxa"/>
            </w:tcMar>
            <w:vAlign w:val="center"/>
          </w:tcPr>
          <w:p>
            <w:pPr>
              <w:widowControl/>
              <w:snapToGrid w:val="0"/>
              <w:textAlignment w:val="center"/>
              <w:rPr>
                <w:rFonts w:hint="eastAsia" w:ascii="仿宋_GB2312" w:hAnsi="仿宋_GB2312" w:eastAsia="仿宋_GB2312" w:cs="仿宋_GB2312"/>
                <w:b w:val="0"/>
                <w:bCs w:val="0"/>
                <w:kern w:val="0"/>
                <w:sz w:val="36"/>
                <w:szCs w:val="36"/>
              </w:rPr>
            </w:pPr>
            <w:r>
              <w:rPr>
                <w:rFonts w:hint="eastAsia" w:ascii="仿宋_GB2312" w:hAnsi="仿宋_GB2312" w:eastAsia="仿宋_GB2312" w:cs="仿宋_GB2312"/>
                <w:b w:val="0"/>
                <w:bCs w:val="0"/>
                <w:kern w:val="24"/>
                <w:sz w:val="20"/>
                <w:szCs w:val="20"/>
              </w:rPr>
              <w:t>轻工纺织</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57" w:type="dxa"/>
            <w:bottom w:w="0" w:type="dxa"/>
            <w:right w:w="57" w:type="dxa"/>
          </w:tblCellMar>
        </w:tblPrEx>
        <w:trPr>
          <w:cantSplit/>
          <w:trHeight w:val="397" w:hRule="atLeast"/>
          <w:jc w:val="center"/>
        </w:trPr>
        <w:tc>
          <w:tcPr>
            <w:tcW w:w="354" w:type="pct"/>
            <w:vMerge w:val="restart"/>
            <w:shd w:val="clear" w:color="auto" w:fill="auto"/>
            <w:tcMar>
              <w:top w:w="57" w:type="dxa"/>
              <w:left w:w="57" w:type="dxa"/>
              <w:bottom w:w="57" w:type="dxa"/>
              <w:right w:w="57" w:type="dxa"/>
            </w:tcMar>
            <w:vAlign w:val="center"/>
          </w:tcPr>
          <w:p>
            <w:pPr>
              <w:widowControl/>
              <w:snapToGrid w:val="0"/>
              <w:jc w:val="center"/>
              <w:textAlignment w:val="center"/>
              <w:rPr>
                <w:rFonts w:hint="eastAsia" w:ascii="仿宋_GB2312" w:hAnsi="仿宋_GB2312" w:eastAsia="仿宋_GB2312" w:cs="仿宋_GB2312"/>
                <w:b w:val="0"/>
                <w:bCs w:val="0"/>
                <w:kern w:val="0"/>
                <w:sz w:val="36"/>
                <w:szCs w:val="36"/>
              </w:rPr>
            </w:pPr>
            <w:r>
              <w:rPr>
                <w:rFonts w:hint="eastAsia" w:ascii="仿宋_GB2312" w:hAnsi="仿宋_GB2312" w:eastAsia="仿宋_GB2312" w:cs="仿宋_GB2312"/>
                <w:b w:val="0"/>
                <w:bCs w:val="0"/>
                <w:kern w:val="24"/>
                <w:sz w:val="20"/>
                <w:szCs w:val="20"/>
              </w:rPr>
              <w:t>2</w:t>
            </w:r>
          </w:p>
        </w:tc>
        <w:tc>
          <w:tcPr>
            <w:tcW w:w="773" w:type="pct"/>
            <w:vMerge w:val="restart"/>
            <w:shd w:val="clear" w:color="auto" w:fill="auto"/>
            <w:tcMar>
              <w:top w:w="57" w:type="dxa"/>
              <w:left w:w="57" w:type="dxa"/>
              <w:bottom w:w="57" w:type="dxa"/>
              <w:right w:w="57" w:type="dxa"/>
            </w:tcMar>
            <w:vAlign w:val="center"/>
          </w:tcPr>
          <w:p>
            <w:pPr>
              <w:widowControl/>
              <w:snapToGrid w:val="0"/>
              <w:textAlignment w:val="center"/>
              <w:rPr>
                <w:rFonts w:hint="eastAsia" w:ascii="仿宋_GB2312" w:hAnsi="仿宋_GB2312" w:eastAsia="仿宋_GB2312" w:cs="仿宋_GB2312"/>
                <w:b w:val="0"/>
                <w:bCs w:val="0"/>
                <w:kern w:val="0"/>
                <w:sz w:val="36"/>
                <w:szCs w:val="36"/>
              </w:rPr>
            </w:pPr>
            <w:r>
              <w:rPr>
                <w:rFonts w:hint="eastAsia" w:ascii="仿宋_GB2312" w:hAnsi="仿宋_GB2312" w:eastAsia="仿宋_GB2312" w:cs="仿宋_GB2312"/>
                <w:b w:val="0"/>
                <w:bCs w:val="0"/>
                <w:kern w:val="24"/>
                <w:sz w:val="20"/>
                <w:szCs w:val="20"/>
              </w:rPr>
              <w:t>内蒙古准格尔经济开发区</w:t>
            </w:r>
          </w:p>
        </w:tc>
        <w:tc>
          <w:tcPr>
            <w:tcW w:w="358" w:type="pct"/>
            <w:vMerge w:val="restart"/>
            <w:shd w:val="clear" w:color="auto" w:fill="auto"/>
            <w:tcMar>
              <w:top w:w="57" w:type="dxa"/>
              <w:left w:w="57" w:type="dxa"/>
              <w:bottom w:w="57" w:type="dxa"/>
              <w:right w:w="57" w:type="dxa"/>
            </w:tcMar>
            <w:vAlign w:val="center"/>
          </w:tcPr>
          <w:p>
            <w:pPr>
              <w:widowControl/>
              <w:snapToGrid w:val="0"/>
              <w:jc w:val="center"/>
              <w:textAlignment w:val="center"/>
              <w:rPr>
                <w:rFonts w:hint="eastAsia" w:ascii="仿宋_GB2312" w:hAnsi="仿宋_GB2312" w:eastAsia="仿宋_GB2312" w:cs="仿宋_GB2312"/>
                <w:b w:val="0"/>
                <w:bCs w:val="0"/>
                <w:kern w:val="0"/>
                <w:sz w:val="36"/>
                <w:szCs w:val="36"/>
              </w:rPr>
            </w:pPr>
            <w:r>
              <w:rPr>
                <w:rFonts w:hint="eastAsia" w:ascii="仿宋_GB2312" w:hAnsi="仿宋_GB2312" w:eastAsia="仿宋_GB2312" w:cs="仿宋_GB2312"/>
                <w:b w:val="0"/>
                <w:bCs w:val="0"/>
                <w:kern w:val="24"/>
                <w:sz w:val="20"/>
                <w:szCs w:val="20"/>
              </w:rPr>
              <w:t>2</w:t>
            </w:r>
          </w:p>
        </w:tc>
        <w:tc>
          <w:tcPr>
            <w:tcW w:w="817" w:type="pct"/>
            <w:shd w:val="clear" w:color="auto" w:fill="auto"/>
            <w:tcMar>
              <w:top w:w="57" w:type="dxa"/>
              <w:left w:w="57" w:type="dxa"/>
              <w:bottom w:w="57" w:type="dxa"/>
              <w:right w:w="57" w:type="dxa"/>
            </w:tcMar>
            <w:vAlign w:val="center"/>
          </w:tcPr>
          <w:p>
            <w:pPr>
              <w:widowControl/>
              <w:snapToGrid w:val="0"/>
              <w:textAlignment w:val="center"/>
              <w:rPr>
                <w:rFonts w:hint="eastAsia" w:ascii="仿宋_GB2312" w:hAnsi="仿宋_GB2312" w:eastAsia="仿宋_GB2312" w:cs="仿宋_GB2312"/>
                <w:b w:val="0"/>
                <w:bCs w:val="0"/>
                <w:kern w:val="0"/>
                <w:sz w:val="36"/>
                <w:szCs w:val="36"/>
              </w:rPr>
            </w:pPr>
            <w:r>
              <w:rPr>
                <w:rFonts w:hint="eastAsia" w:ascii="仿宋_GB2312" w:hAnsi="仿宋_GB2312" w:eastAsia="仿宋_GB2312" w:cs="仿宋_GB2312"/>
                <w:b w:val="0"/>
                <w:bCs w:val="0"/>
                <w:kern w:val="24"/>
                <w:sz w:val="20"/>
                <w:szCs w:val="20"/>
              </w:rPr>
              <w:t>大路产业园</w:t>
            </w:r>
          </w:p>
        </w:tc>
        <w:tc>
          <w:tcPr>
            <w:tcW w:w="1800" w:type="pct"/>
            <w:shd w:val="clear" w:color="auto" w:fill="auto"/>
            <w:tcMar>
              <w:top w:w="57" w:type="dxa"/>
              <w:left w:w="57" w:type="dxa"/>
              <w:bottom w:w="57" w:type="dxa"/>
              <w:right w:w="57" w:type="dxa"/>
            </w:tcMar>
            <w:vAlign w:val="center"/>
          </w:tcPr>
          <w:p>
            <w:pPr>
              <w:widowControl/>
              <w:snapToGrid w:val="0"/>
              <w:textAlignment w:val="center"/>
              <w:rPr>
                <w:rFonts w:hint="eastAsia" w:ascii="仿宋_GB2312" w:hAnsi="仿宋_GB2312" w:eastAsia="仿宋_GB2312" w:cs="仿宋_GB2312"/>
                <w:b w:val="0"/>
                <w:bCs w:val="0"/>
                <w:kern w:val="0"/>
                <w:sz w:val="36"/>
                <w:szCs w:val="36"/>
              </w:rPr>
            </w:pPr>
            <w:r>
              <w:rPr>
                <w:rFonts w:hint="eastAsia" w:ascii="仿宋_GB2312" w:hAnsi="仿宋_GB2312" w:eastAsia="仿宋_GB2312" w:cs="仿宋_GB2312"/>
                <w:b w:val="0"/>
                <w:bCs w:val="0"/>
                <w:kern w:val="24"/>
                <w:sz w:val="20"/>
                <w:szCs w:val="20"/>
              </w:rPr>
              <w:t>煤化工、煤电铝</w:t>
            </w:r>
          </w:p>
        </w:tc>
        <w:tc>
          <w:tcPr>
            <w:tcW w:w="898" w:type="pct"/>
            <w:shd w:val="clear" w:color="auto" w:fill="auto"/>
            <w:tcMar>
              <w:top w:w="0" w:type="dxa"/>
              <w:left w:w="57" w:type="dxa"/>
              <w:bottom w:w="0" w:type="dxa"/>
              <w:right w:w="57" w:type="dxa"/>
            </w:tcMar>
            <w:vAlign w:val="center"/>
          </w:tcPr>
          <w:p>
            <w:pPr>
              <w:widowControl/>
              <w:snapToGrid w:val="0"/>
              <w:textAlignment w:val="center"/>
              <w:rPr>
                <w:rFonts w:hint="eastAsia" w:ascii="仿宋_GB2312" w:hAnsi="仿宋_GB2312" w:eastAsia="仿宋_GB2312" w:cs="仿宋_GB2312"/>
                <w:b w:val="0"/>
                <w:bCs w:val="0"/>
                <w:kern w:val="0"/>
                <w:sz w:val="36"/>
                <w:szCs w:val="36"/>
              </w:rPr>
            </w:pPr>
            <w:r>
              <w:rPr>
                <w:rFonts w:hint="eastAsia" w:ascii="仿宋_GB2312" w:hAnsi="仿宋_GB2312" w:eastAsia="仿宋_GB2312" w:cs="仿宋_GB2312"/>
                <w:b w:val="0"/>
                <w:bCs w:val="0"/>
                <w:kern w:val="24"/>
                <w:sz w:val="20"/>
                <w:szCs w:val="20"/>
              </w:rPr>
              <w:t>能源化工、资源综合利用</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57" w:type="dxa"/>
            <w:bottom w:w="0" w:type="dxa"/>
            <w:right w:w="57" w:type="dxa"/>
          </w:tblCellMar>
        </w:tblPrEx>
        <w:trPr>
          <w:cantSplit/>
          <w:trHeight w:val="397" w:hRule="atLeast"/>
          <w:jc w:val="center"/>
        </w:trPr>
        <w:tc>
          <w:tcPr>
            <w:tcW w:w="354" w:type="pct"/>
            <w:vMerge w:val="continue"/>
            <w:shd w:val="clear" w:color="auto" w:fill="auto"/>
            <w:tcMar>
              <w:left w:w="57" w:type="dxa"/>
              <w:right w:w="57" w:type="dxa"/>
            </w:tcMar>
            <w:vAlign w:val="center"/>
          </w:tcPr>
          <w:p>
            <w:pPr>
              <w:widowControl/>
              <w:snapToGrid w:val="0"/>
              <w:jc w:val="left"/>
              <w:rPr>
                <w:rFonts w:hint="eastAsia" w:ascii="仿宋_GB2312" w:hAnsi="仿宋_GB2312" w:eastAsia="仿宋_GB2312" w:cs="仿宋_GB2312"/>
                <w:b w:val="0"/>
                <w:bCs w:val="0"/>
                <w:kern w:val="0"/>
                <w:sz w:val="36"/>
                <w:szCs w:val="36"/>
              </w:rPr>
            </w:pPr>
          </w:p>
        </w:tc>
        <w:tc>
          <w:tcPr>
            <w:tcW w:w="773" w:type="pct"/>
            <w:vMerge w:val="continue"/>
            <w:shd w:val="clear" w:color="auto" w:fill="auto"/>
            <w:tcMar>
              <w:left w:w="57" w:type="dxa"/>
              <w:right w:w="57" w:type="dxa"/>
            </w:tcMar>
            <w:vAlign w:val="center"/>
          </w:tcPr>
          <w:p>
            <w:pPr>
              <w:widowControl/>
              <w:snapToGrid w:val="0"/>
              <w:jc w:val="left"/>
              <w:rPr>
                <w:rFonts w:hint="eastAsia" w:ascii="仿宋_GB2312" w:hAnsi="仿宋_GB2312" w:eastAsia="仿宋_GB2312" w:cs="仿宋_GB2312"/>
                <w:b w:val="0"/>
                <w:bCs w:val="0"/>
                <w:kern w:val="0"/>
                <w:sz w:val="36"/>
                <w:szCs w:val="36"/>
              </w:rPr>
            </w:pPr>
          </w:p>
        </w:tc>
        <w:tc>
          <w:tcPr>
            <w:tcW w:w="358" w:type="pct"/>
            <w:vMerge w:val="continue"/>
            <w:shd w:val="clear" w:color="auto" w:fill="auto"/>
            <w:tcMar>
              <w:left w:w="57" w:type="dxa"/>
              <w:right w:w="57" w:type="dxa"/>
            </w:tcMar>
            <w:vAlign w:val="center"/>
          </w:tcPr>
          <w:p>
            <w:pPr>
              <w:widowControl/>
              <w:snapToGrid w:val="0"/>
              <w:jc w:val="center"/>
              <w:rPr>
                <w:rFonts w:hint="eastAsia" w:ascii="仿宋_GB2312" w:hAnsi="仿宋_GB2312" w:eastAsia="仿宋_GB2312" w:cs="仿宋_GB2312"/>
                <w:b w:val="0"/>
                <w:bCs w:val="0"/>
                <w:kern w:val="0"/>
                <w:sz w:val="36"/>
                <w:szCs w:val="36"/>
              </w:rPr>
            </w:pPr>
          </w:p>
        </w:tc>
        <w:tc>
          <w:tcPr>
            <w:tcW w:w="817" w:type="pct"/>
            <w:shd w:val="clear" w:color="auto" w:fill="auto"/>
            <w:tcMar>
              <w:top w:w="57" w:type="dxa"/>
              <w:left w:w="57" w:type="dxa"/>
              <w:bottom w:w="57" w:type="dxa"/>
              <w:right w:w="57" w:type="dxa"/>
            </w:tcMar>
            <w:vAlign w:val="center"/>
          </w:tcPr>
          <w:p>
            <w:pPr>
              <w:widowControl/>
              <w:snapToGrid w:val="0"/>
              <w:textAlignment w:val="center"/>
              <w:rPr>
                <w:rFonts w:hint="eastAsia" w:ascii="仿宋_GB2312" w:hAnsi="仿宋_GB2312" w:eastAsia="仿宋_GB2312" w:cs="仿宋_GB2312"/>
                <w:b w:val="0"/>
                <w:bCs w:val="0"/>
                <w:kern w:val="0"/>
                <w:sz w:val="36"/>
                <w:szCs w:val="36"/>
              </w:rPr>
            </w:pPr>
            <w:r>
              <w:rPr>
                <w:rFonts w:hint="eastAsia" w:ascii="仿宋_GB2312" w:hAnsi="仿宋_GB2312" w:eastAsia="仿宋_GB2312" w:cs="仿宋_GB2312"/>
                <w:b w:val="0"/>
                <w:bCs w:val="0"/>
                <w:kern w:val="24"/>
                <w:sz w:val="20"/>
                <w:szCs w:val="20"/>
              </w:rPr>
              <w:t>准格尔产业园</w:t>
            </w:r>
          </w:p>
        </w:tc>
        <w:tc>
          <w:tcPr>
            <w:tcW w:w="1800" w:type="pct"/>
            <w:shd w:val="clear" w:color="auto" w:fill="auto"/>
            <w:tcMar>
              <w:top w:w="57" w:type="dxa"/>
              <w:left w:w="57" w:type="dxa"/>
              <w:bottom w:w="57" w:type="dxa"/>
              <w:right w:w="57" w:type="dxa"/>
            </w:tcMar>
            <w:vAlign w:val="center"/>
          </w:tcPr>
          <w:p>
            <w:pPr>
              <w:widowControl/>
              <w:snapToGrid w:val="0"/>
              <w:textAlignment w:val="center"/>
              <w:rPr>
                <w:rFonts w:hint="eastAsia" w:ascii="仿宋_GB2312" w:hAnsi="仿宋_GB2312" w:eastAsia="仿宋_GB2312" w:cs="仿宋_GB2312"/>
                <w:b w:val="0"/>
                <w:bCs w:val="0"/>
                <w:kern w:val="0"/>
                <w:sz w:val="36"/>
                <w:szCs w:val="36"/>
              </w:rPr>
            </w:pPr>
            <w:r>
              <w:rPr>
                <w:rFonts w:hint="eastAsia" w:ascii="仿宋_GB2312" w:hAnsi="仿宋_GB2312" w:eastAsia="仿宋_GB2312" w:cs="仿宋_GB2312"/>
                <w:b w:val="0"/>
                <w:bCs w:val="0"/>
                <w:kern w:val="24"/>
                <w:sz w:val="20"/>
                <w:szCs w:val="20"/>
              </w:rPr>
              <w:t>无机非金属材料、低阶煤综合利用、农副产品加工</w:t>
            </w:r>
          </w:p>
        </w:tc>
        <w:tc>
          <w:tcPr>
            <w:tcW w:w="898" w:type="pct"/>
            <w:shd w:val="clear" w:color="auto" w:fill="auto"/>
            <w:tcMar>
              <w:left w:w="57" w:type="dxa"/>
              <w:right w:w="57" w:type="dxa"/>
            </w:tcMar>
            <w:vAlign w:val="center"/>
          </w:tcPr>
          <w:p>
            <w:pPr>
              <w:widowControl/>
              <w:snapToGrid w:val="0"/>
              <w:textAlignment w:val="center"/>
              <w:rPr>
                <w:rFonts w:hint="eastAsia" w:ascii="仿宋_GB2312" w:hAnsi="仿宋_GB2312" w:eastAsia="仿宋_GB2312" w:cs="仿宋_GB2312"/>
                <w:b w:val="0"/>
                <w:bCs w:val="0"/>
                <w:kern w:val="24"/>
                <w:sz w:val="20"/>
                <w:szCs w:val="20"/>
              </w:rPr>
            </w:pPr>
            <w:r>
              <w:rPr>
                <w:rFonts w:hint="eastAsia" w:ascii="仿宋_GB2312" w:hAnsi="仿宋_GB2312" w:eastAsia="仿宋_GB2312" w:cs="仿宋_GB2312"/>
                <w:b w:val="0"/>
                <w:bCs w:val="0"/>
                <w:kern w:val="24"/>
                <w:sz w:val="20"/>
                <w:szCs w:val="20"/>
              </w:rPr>
              <w:t>无机非金属材料、低阶煤综合利用</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57" w:type="dxa"/>
            <w:bottom w:w="0" w:type="dxa"/>
            <w:right w:w="57" w:type="dxa"/>
          </w:tblCellMar>
        </w:tblPrEx>
        <w:trPr>
          <w:cantSplit/>
          <w:trHeight w:val="397" w:hRule="atLeast"/>
          <w:jc w:val="center"/>
        </w:trPr>
        <w:tc>
          <w:tcPr>
            <w:tcW w:w="354" w:type="pct"/>
            <w:vMerge w:val="restart"/>
            <w:shd w:val="clear" w:color="auto" w:fill="auto"/>
            <w:tcMar>
              <w:top w:w="57" w:type="dxa"/>
              <w:left w:w="57" w:type="dxa"/>
              <w:bottom w:w="57" w:type="dxa"/>
              <w:right w:w="57" w:type="dxa"/>
            </w:tcMar>
            <w:vAlign w:val="center"/>
          </w:tcPr>
          <w:p>
            <w:pPr>
              <w:widowControl/>
              <w:snapToGrid w:val="0"/>
              <w:jc w:val="center"/>
              <w:textAlignment w:val="center"/>
              <w:rPr>
                <w:rFonts w:hint="eastAsia" w:ascii="仿宋_GB2312" w:hAnsi="仿宋_GB2312" w:eastAsia="仿宋_GB2312" w:cs="仿宋_GB2312"/>
                <w:b w:val="0"/>
                <w:bCs w:val="0"/>
                <w:kern w:val="0"/>
                <w:sz w:val="36"/>
                <w:szCs w:val="36"/>
              </w:rPr>
            </w:pPr>
            <w:r>
              <w:rPr>
                <w:rFonts w:hint="eastAsia" w:ascii="仿宋_GB2312" w:hAnsi="仿宋_GB2312" w:eastAsia="仿宋_GB2312" w:cs="仿宋_GB2312"/>
                <w:b w:val="0"/>
                <w:bCs w:val="0"/>
                <w:kern w:val="24"/>
                <w:sz w:val="20"/>
                <w:szCs w:val="20"/>
              </w:rPr>
              <w:t>3</w:t>
            </w:r>
          </w:p>
        </w:tc>
        <w:tc>
          <w:tcPr>
            <w:tcW w:w="773" w:type="pct"/>
            <w:vMerge w:val="restart"/>
            <w:shd w:val="clear" w:color="auto" w:fill="auto"/>
            <w:tcMar>
              <w:top w:w="57" w:type="dxa"/>
              <w:left w:w="57" w:type="dxa"/>
              <w:bottom w:w="57" w:type="dxa"/>
              <w:right w:w="57" w:type="dxa"/>
            </w:tcMar>
            <w:vAlign w:val="center"/>
          </w:tcPr>
          <w:p>
            <w:pPr>
              <w:widowControl/>
              <w:snapToGrid w:val="0"/>
              <w:textAlignment w:val="center"/>
              <w:rPr>
                <w:rFonts w:hint="eastAsia" w:ascii="仿宋_GB2312" w:hAnsi="仿宋_GB2312" w:eastAsia="仿宋_GB2312" w:cs="仿宋_GB2312"/>
                <w:b w:val="0"/>
                <w:bCs w:val="0"/>
                <w:kern w:val="0"/>
                <w:sz w:val="36"/>
                <w:szCs w:val="36"/>
              </w:rPr>
            </w:pPr>
            <w:r>
              <w:rPr>
                <w:rFonts w:hint="eastAsia" w:ascii="仿宋_GB2312" w:hAnsi="仿宋_GB2312" w:eastAsia="仿宋_GB2312" w:cs="仿宋_GB2312"/>
                <w:b w:val="0"/>
                <w:bCs w:val="0"/>
                <w:kern w:val="24"/>
                <w:sz w:val="20"/>
                <w:szCs w:val="20"/>
              </w:rPr>
              <w:t>内蒙古达拉特经济开发区</w:t>
            </w:r>
          </w:p>
        </w:tc>
        <w:tc>
          <w:tcPr>
            <w:tcW w:w="358" w:type="pct"/>
            <w:vMerge w:val="restart"/>
            <w:shd w:val="clear" w:color="auto" w:fill="auto"/>
            <w:tcMar>
              <w:top w:w="57" w:type="dxa"/>
              <w:left w:w="57" w:type="dxa"/>
              <w:bottom w:w="57" w:type="dxa"/>
              <w:right w:w="57" w:type="dxa"/>
            </w:tcMar>
            <w:vAlign w:val="center"/>
          </w:tcPr>
          <w:p>
            <w:pPr>
              <w:widowControl/>
              <w:snapToGrid w:val="0"/>
              <w:jc w:val="center"/>
              <w:textAlignment w:val="center"/>
              <w:rPr>
                <w:rFonts w:hint="eastAsia" w:ascii="仿宋_GB2312" w:hAnsi="仿宋_GB2312" w:eastAsia="仿宋_GB2312" w:cs="仿宋_GB2312"/>
                <w:b w:val="0"/>
                <w:bCs w:val="0"/>
                <w:kern w:val="0"/>
                <w:sz w:val="36"/>
                <w:szCs w:val="36"/>
              </w:rPr>
            </w:pPr>
            <w:r>
              <w:rPr>
                <w:rFonts w:hint="eastAsia" w:ascii="仿宋_GB2312" w:hAnsi="仿宋_GB2312" w:eastAsia="仿宋_GB2312" w:cs="仿宋_GB2312"/>
                <w:b w:val="0"/>
                <w:bCs w:val="0"/>
                <w:kern w:val="24"/>
                <w:sz w:val="20"/>
                <w:szCs w:val="20"/>
              </w:rPr>
              <w:t>2</w:t>
            </w:r>
          </w:p>
        </w:tc>
        <w:tc>
          <w:tcPr>
            <w:tcW w:w="817" w:type="pct"/>
            <w:shd w:val="clear" w:color="auto" w:fill="auto"/>
            <w:tcMar>
              <w:top w:w="57" w:type="dxa"/>
              <w:left w:w="57" w:type="dxa"/>
              <w:bottom w:w="57" w:type="dxa"/>
              <w:right w:w="57" w:type="dxa"/>
            </w:tcMar>
            <w:vAlign w:val="center"/>
          </w:tcPr>
          <w:p>
            <w:pPr>
              <w:widowControl/>
              <w:snapToGrid w:val="0"/>
              <w:textAlignment w:val="center"/>
              <w:rPr>
                <w:rFonts w:hint="eastAsia" w:ascii="仿宋_GB2312" w:hAnsi="仿宋_GB2312" w:eastAsia="仿宋_GB2312" w:cs="仿宋_GB2312"/>
                <w:b w:val="0"/>
                <w:bCs w:val="0"/>
                <w:kern w:val="0"/>
                <w:sz w:val="36"/>
                <w:szCs w:val="36"/>
              </w:rPr>
            </w:pPr>
            <w:r>
              <w:rPr>
                <w:rFonts w:hint="eastAsia" w:ascii="仿宋_GB2312" w:hAnsi="仿宋_GB2312" w:eastAsia="仿宋_GB2312" w:cs="仿宋_GB2312"/>
                <w:b w:val="0"/>
                <w:bCs w:val="0"/>
                <w:kern w:val="24"/>
                <w:sz w:val="20"/>
                <w:szCs w:val="20"/>
              </w:rPr>
              <w:t>达拉特产业园</w:t>
            </w:r>
          </w:p>
        </w:tc>
        <w:tc>
          <w:tcPr>
            <w:tcW w:w="1800" w:type="pct"/>
            <w:shd w:val="clear" w:color="auto" w:fill="auto"/>
            <w:tcMar>
              <w:top w:w="57" w:type="dxa"/>
              <w:left w:w="57" w:type="dxa"/>
              <w:bottom w:w="57" w:type="dxa"/>
              <w:right w:w="57" w:type="dxa"/>
            </w:tcMar>
            <w:vAlign w:val="center"/>
          </w:tcPr>
          <w:p>
            <w:pPr>
              <w:widowControl/>
              <w:snapToGrid w:val="0"/>
              <w:textAlignment w:val="center"/>
              <w:rPr>
                <w:rFonts w:hint="eastAsia" w:ascii="仿宋_GB2312" w:hAnsi="仿宋_GB2312" w:eastAsia="仿宋_GB2312" w:cs="仿宋_GB2312"/>
                <w:b w:val="0"/>
                <w:bCs w:val="0"/>
                <w:kern w:val="0"/>
                <w:sz w:val="36"/>
                <w:szCs w:val="36"/>
              </w:rPr>
            </w:pPr>
            <w:r>
              <w:rPr>
                <w:rFonts w:hint="eastAsia" w:ascii="仿宋_GB2312" w:hAnsi="仿宋_GB2312" w:eastAsia="仿宋_GB2312" w:cs="仿宋_GB2312"/>
                <w:b w:val="0"/>
                <w:bCs w:val="0"/>
                <w:kern w:val="24"/>
                <w:sz w:val="20"/>
                <w:szCs w:val="20"/>
              </w:rPr>
              <w:t>煤电、煤电铝、化工（煤化工、氯碱化工、生物化工）、建材（陶瓷、水泥、PVC深加工）、新材料（蓝宝石、碳化硅、石墨烯、有机硅）、轻工（刨花板加工）、农畜产品加工</w:t>
            </w:r>
          </w:p>
        </w:tc>
        <w:tc>
          <w:tcPr>
            <w:tcW w:w="898" w:type="pct"/>
            <w:shd w:val="clear" w:color="auto" w:fill="auto"/>
            <w:tcMar>
              <w:top w:w="57" w:type="dxa"/>
              <w:left w:w="57" w:type="dxa"/>
              <w:bottom w:w="57" w:type="dxa"/>
              <w:right w:w="57" w:type="dxa"/>
            </w:tcMar>
            <w:vAlign w:val="center"/>
          </w:tcPr>
          <w:p>
            <w:pPr>
              <w:widowControl/>
              <w:snapToGrid w:val="0"/>
              <w:textAlignment w:val="center"/>
              <w:rPr>
                <w:rFonts w:hint="eastAsia" w:ascii="仿宋_GB2312" w:hAnsi="仿宋_GB2312" w:eastAsia="仿宋_GB2312" w:cs="仿宋_GB2312"/>
                <w:b w:val="0"/>
                <w:bCs w:val="0"/>
                <w:kern w:val="24"/>
                <w:sz w:val="20"/>
                <w:szCs w:val="20"/>
              </w:rPr>
            </w:pPr>
            <w:r>
              <w:rPr>
                <w:rFonts w:hint="eastAsia" w:ascii="仿宋_GB2312" w:hAnsi="仿宋_GB2312" w:eastAsia="仿宋_GB2312" w:cs="仿宋_GB2312"/>
                <w:b w:val="0"/>
                <w:bCs w:val="0"/>
                <w:kern w:val="24"/>
                <w:sz w:val="20"/>
                <w:szCs w:val="20"/>
              </w:rPr>
              <w:t>能源化工、新材料</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57" w:type="dxa"/>
            <w:bottom w:w="0" w:type="dxa"/>
            <w:right w:w="57" w:type="dxa"/>
          </w:tblCellMar>
        </w:tblPrEx>
        <w:trPr>
          <w:cantSplit/>
          <w:trHeight w:val="749" w:hRule="atLeast"/>
          <w:jc w:val="center"/>
        </w:trPr>
        <w:tc>
          <w:tcPr>
            <w:tcW w:w="354" w:type="pct"/>
            <w:vMerge w:val="continue"/>
            <w:shd w:val="clear" w:color="auto" w:fill="auto"/>
            <w:tcMar>
              <w:left w:w="57" w:type="dxa"/>
              <w:right w:w="57" w:type="dxa"/>
            </w:tcMar>
            <w:vAlign w:val="center"/>
          </w:tcPr>
          <w:p>
            <w:pPr>
              <w:widowControl/>
              <w:snapToGrid w:val="0"/>
              <w:jc w:val="left"/>
              <w:rPr>
                <w:rFonts w:hint="eastAsia" w:ascii="仿宋_GB2312" w:hAnsi="仿宋_GB2312" w:eastAsia="仿宋_GB2312" w:cs="仿宋_GB2312"/>
                <w:b w:val="0"/>
                <w:bCs w:val="0"/>
                <w:kern w:val="0"/>
                <w:sz w:val="36"/>
                <w:szCs w:val="36"/>
              </w:rPr>
            </w:pPr>
          </w:p>
        </w:tc>
        <w:tc>
          <w:tcPr>
            <w:tcW w:w="773" w:type="pct"/>
            <w:vMerge w:val="continue"/>
            <w:shd w:val="clear" w:color="auto" w:fill="auto"/>
            <w:tcMar>
              <w:left w:w="57" w:type="dxa"/>
              <w:right w:w="57" w:type="dxa"/>
            </w:tcMar>
            <w:vAlign w:val="center"/>
          </w:tcPr>
          <w:p>
            <w:pPr>
              <w:widowControl/>
              <w:snapToGrid w:val="0"/>
              <w:jc w:val="left"/>
              <w:rPr>
                <w:rFonts w:hint="eastAsia" w:ascii="仿宋_GB2312" w:hAnsi="仿宋_GB2312" w:eastAsia="仿宋_GB2312" w:cs="仿宋_GB2312"/>
                <w:b w:val="0"/>
                <w:bCs w:val="0"/>
                <w:kern w:val="0"/>
                <w:sz w:val="36"/>
                <w:szCs w:val="36"/>
              </w:rPr>
            </w:pPr>
          </w:p>
        </w:tc>
        <w:tc>
          <w:tcPr>
            <w:tcW w:w="358" w:type="pct"/>
            <w:vMerge w:val="continue"/>
            <w:shd w:val="clear" w:color="auto" w:fill="auto"/>
            <w:tcMar>
              <w:left w:w="57" w:type="dxa"/>
              <w:right w:w="57" w:type="dxa"/>
            </w:tcMar>
            <w:vAlign w:val="center"/>
          </w:tcPr>
          <w:p>
            <w:pPr>
              <w:widowControl/>
              <w:snapToGrid w:val="0"/>
              <w:jc w:val="center"/>
              <w:rPr>
                <w:rFonts w:hint="eastAsia" w:ascii="仿宋_GB2312" w:hAnsi="仿宋_GB2312" w:eastAsia="仿宋_GB2312" w:cs="仿宋_GB2312"/>
                <w:b w:val="0"/>
                <w:bCs w:val="0"/>
                <w:kern w:val="0"/>
                <w:sz w:val="36"/>
                <w:szCs w:val="36"/>
              </w:rPr>
            </w:pPr>
          </w:p>
        </w:tc>
        <w:tc>
          <w:tcPr>
            <w:tcW w:w="817" w:type="pct"/>
            <w:shd w:val="clear" w:color="auto" w:fill="auto"/>
            <w:tcMar>
              <w:top w:w="57" w:type="dxa"/>
              <w:left w:w="57" w:type="dxa"/>
              <w:bottom w:w="57" w:type="dxa"/>
              <w:right w:w="57" w:type="dxa"/>
            </w:tcMar>
            <w:vAlign w:val="center"/>
          </w:tcPr>
          <w:p>
            <w:pPr>
              <w:widowControl/>
              <w:snapToGrid w:val="0"/>
              <w:textAlignment w:val="center"/>
              <w:rPr>
                <w:rFonts w:hint="eastAsia" w:ascii="仿宋_GB2312" w:hAnsi="仿宋_GB2312" w:eastAsia="仿宋_GB2312" w:cs="仿宋_GB2312"/>
                <w:b w:val="0"/>
                <w:bCs w:val="0"/>
                <w:kern w:val="0"/>
                <w:sz w:val="36"/>
                <w:szCs w:val="36"/>
              </w:rPr>
            </w:pPr>
            <w:r>
              <w:rPr>
                <w:rFonts w:hint="eastAsia" w:ascii="仿宋_GB2312" w:hAnsi="仿宋_GB2312" w:eastAsia="仿宋_GB2312" w:cs="仿宋_GB2312"/>
                <w:b w:val="0"/>
                <w:bCs w:val="0"/>
                <w:kern w:val="24"/>
                <w:sz w:val="20"/>
                <w:szCs w:val="20"/>
              </w:rPr>
              <w:t>达拉特物流园</w:t>
            </w:r>
          </w:p>
        </w:tc>
        <w:tc>
          <w:tcPr>
            <w:tcW w:w="1800" w:type="pct"/>
            <w:shd w:val="clear" w:color="auto" w:fill="auto"/>
            <w:tcMar>
              <w:top w:w="57" w:type="dxa"/>
              <w:left w:w="57" w:type="dxa"/>
              <w:bottom w:w="57" w:type="dxa"/>
              <w:right w:w="57" w:type="dxa"/>
            </w:tcMar>
            <w:vAlign w:val="center"/>
          </w:tcPr>
          <w:p>
            <w:pPr>
              <w:widowControl/>
              <w:snapToGrid w:val="0"/>
              <w:textAlignment w:val="center"/>
              <w:rPr>
                <w:rFonts w:hint="eastAsia" w:ascii="仿宋_GB2312" w:hAnsi="仿宋_GB2312" w:eastAsia="仿宋_GB2312" w:cs="仿宋_GB2312"/>
                <w:b w:val="0"/>
                <w:bCs w:val="0"/>
                <w:kern w:val="0"/>
                <w:sz w:val="36"/>
                <w:szCs w:val="36"/>
              </w:rPr>
            </w:pPr>
            <w:r>
              <w:rPr>
                <w:rFonts w:hint="eastAsia" w:ascii="仿宋_GB2312" w:hAnsi="仿宋_GB2312" w:eastAsia="仿宋_GB2312" w:cs="仿宋_GB2312"/>
                <w:b w:val="0"/>
                <w:bCs w:val="0"/>
                <w:kern w:val="24"/>
                <w:sz w:val="20"/>
                <w:szCs w:val="20"/>
              </w:rPr>
              <w:t>物流</w:t>
            </w:r>
          </w:p>
        </w:tc>
        <w:tc>
          <w:tcPr>
            <w:tcW w:w="898" w:type="pct"/>
            <w:shd w:val="clear" w:color="auto" w:fill="auto"/>
            <w:tcMar>
              <w:left w:w="57" w:type="dxa"/>
              <w:right w:w="57" w:type="dxa"/>
            </w:tcMar>
            <w:vAlign w:val="center"/>
          </w:tcPr>
          <w:p>
            <w:pPr>
              <w:widowControl/>
              <w:snapToGrid w:val="0"/>
              <w:textAlignment w:val="center"/>
              <w:rPr>
                <w:rFonts w:hint="eastAsia" w:ascii="仿宋_GB2312" w:hAnsi="仿宋_GB2312" w:eastAsia="仿宋_GB2312" w:cs="仿宋_GB2312"/>
                <w:b w:val="0"/>
                <w:bCs w:val="0"/>
                <w:kern w:val="24"/>
                <w:sz w:val="20"/>
                <w:szCs w:val="20"/>
              </w:rPr>
            </w:pPr>
            <w:r>
              <w:rPr>
                <w:rFonts w:hint="eastAsia" w:ascii="仿宋_GB2312" w:hAnsi="仿宋_GB2312" w:eastAsia="仿宋_GB2312" w:cs="仿宋_GB2312"/>
                <w:b w:val="0"/>
                <w:bCs w:val="0"/>
                <w:kern w:val="24"/>
                <w:sz w:val="20"/>
                <w:szCs w:val="20"/>
              </w:rPr>
              <w:t>物流及相关延伸产业</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57" w:type="dxa"/>
            <w:bottom w:w="0" w:type="dxa"/>
            <w:right w:w="57" w:type="dxa"/>
          </w:tblCellMar>
        </w:tblPrEx>
        <w:trPr>
          <w:cantSplit/>
          <w:trHeight w:val="397" w:hRule="atLeast"/>
          <w:jc w:val="center"/>
        </w:trPr>
        <w:tc>
          <w:tcPr>
            <w:tcW w:w="354" w:type="pct"/>
            <w:vMerge w:val="restart"/>
            <w:shd w:val="clear" w:color="auto" w:fill="auto"/>
            <w:tcMar>
              <w:top w:w="57" w:type="dxa"/>
              <w:left w:w="57" w:type="dxa"/>
              <w:bottom w:w="57" w:type="dxa"/>
              <w:right w:w="57" w:type="dxa"/>
            </w:tcMar>
            <w:vAlign w:val="center"/>
          </w:tcPr>
          <w:p>
            <w:pPr>
              <w:widowControl/>
              <w:snapToGrid w:val="0"/>
              <w:jc w:val="center"/>
              <w:textAlignment w:val="center"/>
              <w:rPr>
                <w:rFonts w:hint="eastAsia" w:ascii="仿宋_GB2312" w:hAnsi="仿宋_GB2312" w:eastAsia="仿宋_GB2312" w:cs="仿宋_GB2312"/>
                <w:b w:val="0"/>
                <w:bCs w:val="0"/>
                <w:kern w:val="0"/>
                <w:sz w:val="36"/>
                <w:szCs w:val="36"/>
              </w:rPr>
            </w:pPr>
            <w:r>
              <w:rPr>
                <w:rFonts w:hint="eastAsia" w:ascii="仿宋_GB2312" w:hAnsi="仿宋_GB2312" w:eastAsia="仿宋_GB2312" w:cs="仿宋_GB2312"/>
                <w:b w:val="0"/>
                <w:bCs w:val="0"/>
                <w:kern w:val="24"/>
                <w:sz w:val="20"/>
                <w:szCs w:val="20"/>
              </w:rPr>
              <w:t>4</w:t>
            </w:r>
          </w:p>
        </w:tc>
        <w:tc>
          <w:tcPr>
            <w:tcW w:w="773" w:type="pct"/>
            <w:vMerge w:val="restart"/>
            <w:shd w:val="clear" w:color="auto" w:fill="auto"/>
            <w:tcMar>
              <w:top w:w="57" w:type="dxa"/>
              <w:left w:w="57" w:type="dxa"/>
              <w:bottom w:w="57" w:type="dxa"/>
              <w:right w:w="57" w:type="dxa"/>
            </w:tcMar>
            <w:vAlign w:val="center"/>
          </w:tcPr>
          <w:p>
            <w:pPr>
              <w:widowControl/>
              <w:snapToGrid w:val="0"/>
              <w:textAlignment w:val="center"/>
              <w:rPr>
                <w:rFonts w:hint="eastAsia" w:ascii="仿宋_GB2312" w:hAnsi="仿宋_GB2312" w:eastAsia="仿宋_GB2312" w:cs="仿宋_GB2312"/>
                <w:b w:val="0"/>
                <w:bCs w:val="0"/>
                <w:kern w:val="0"/>
                <w:sz w:val="36"/>
                <w:szCs w:val="36"/>
              </w:rPr>
            </w:pPr>
            <w:r>
              <w:rPr>
                <w:rFonts w:hint="eastAsia" w:ascii="仿宋_GB2312" w:hAnsi="仿宋_GB2312" w:eastAsia="仿宋_GB2312" w:cs="仿宋_GB2312"/>
                <w:b w:val="0"/>
                <w:bCs w:val="0"/>
                <w:kern w:val="24"/>
                <w:sz w:val="20"/>
                <w:szCs w:val="20"/>
              </w:rPr>
              <w:t>蒙苏经济开发区</w:t>
            </w:r>
          </w:p>
        </w:tc>
        <w:tc>
          <w:tcPr>
            <w:tcW w:w="358" w:type="pct"/>
            <w:vMerge w:val="restart"/>
            <w:shd w:val="clear" w:color="auto" w:fill="auto"/>
            <w:tcMar>
              <w:top w:w="57" w:type="dxa"/>
              <w:left w:w="57" w:type="dxa"/>
              <w:bottom w:w="57" w:type="dxa"/>
              <w:right w:w="57" w:type="dxa"/>
            </w:tcMar>
            <w:vAlign w:val="center"/>
          </w:tcPr>
          <w:p>
            <w:pPr>
              <w:widowControl/>
              <w:snapToGrid w:val="0"/>
              <w:jc w:val="center"/>
              <w:textAlignment w:val="center"/>
              <w:rPr>
                <w:rFonts w:hint="eastAsia" w:ascii="仿宋_GB2312" w:hAnsi="仿宋_GB2312" w:eastAsia="仿宋_GB2312" w:cs="仿宋_GB2312"/>
                <w:b w:val="0"/>
                <w:bCs w:val="0"/>
                <w:kern w:val="0"/>
                <w:sz w:val="36"/>
                <w:szCs w:val="36"/>
              </w:rPr>
            </w:pPr>
            <w:r>
              <w:rPr>
                <w:rFonts w:hint="eastAsia" w:ascii="仿宋_GB2312" w:hAnsi="仿宋_GB2312" w:eastAsia="仿宋_GB2312" w:cs="仿宋_GB2312"/>
                <w:b w:val="0"/>
                <w:bCs w:val="0"/>
                <w:kern w:val="24"/>
                <w:sz w:val="20"/>
                <w:szCs w:val="20"/>
              </w:rPr>
              <w:t>3</w:t>
            </w:r>
          </w:p>
        </w:tc>
        <w:tc>
          <w:tcPr>
            <w:tcW w:w="817" w:type="pct"/>
            <w:shd w:val="clear" w:color="auto" w:fill="auto"/>
            <w:tcMar>
              <w:top w:w="57" w:type="dxa"/>
              <w:left w:w="57" w:type="dxa"/>
              <w:bottom w:w="57" w:type="dxa"/>
              <w:right w:w="57" w:type="dxa"/>
            </w:tcMar>
            <w:vAlign w:val="center"/>
          </w:tcPr>
          <w:p>
            <w:pPr>
              <w:widowControl/>
              <w:snapToGrid w:val="0"/>
              <w:textAlignment w:val="center"/>
              <w:rPr>
                <w:rFonts w:hint="eastAsia" w:ascii="仿宋_GB2312" w:hAnsi="仿宋_GB2312" w:eastAsia="仿宋_GB2312" w:cs="仿宋_GB2312"/>
                <w:b w:val="0"/>
                <w:bCs w:val="0"/>
                <w:kern w:val="0"/>
                <w:sz w:val="36"/>
                <w:szCs w:val="36"/>
              </w:rPr>
            </w:pPr>
            <w:r>
              <w:rPr>
                <w:rFonts w:hint="eastAsia" w:ascii="仿宋_GB2312" w:hAnsi="仿宋_GB2312" w:eastAsia="仿宋_GB2312" w:cs="仿宋_GB2312"/>
                <w:b w:val="0"/>
                <w:bCs w:val="0"/>
                <w:kern w:val="24"/>
                <w:sz w:val="20"/>
                <w:szCs w:val="20"/>
              </w:rPr>
              <w:t>江苏产业园</w:t>
            </w:r>
          </w:p>
        </w:tc>
        <w:tc>
          <w:tcPr>
            <w:tcW w:w="1800" w:type="pct"/>
            <w:shd w:val="clear" w:color="auto" w:fill="auto"/>
            <w:tcMar>
              <w:top w:w="57" w:type="dxa"/>
              <w:left w:w="57" w:type="dxa"/>
              <w:bottom w:w="57" w:type="dxa"/>
              <w:right w:w="57" w:type="dxa"/>
            </w:tcMar>
            <w:vAlign w:val="center"/>
          </w:tcPr>
          <w:p>
            <w:pPr>
              <w:widowControl/>
              <w:snapToGrid w:val="0"/>
              <w:textAlignment w:val="center"/>
              <w:rPr>
                <w:rFonts w:hint="eastAsia" w:ascii="仿宋_GB2312" w:hAnsi="仿宋_GB2312" w:eastAsia="仿宋_GB2312" w:cs="仿宋_GB2312"/>
                <w:b w:val="0"/>
                <w:bCs w:val="0"/>
                <w:kern w:val="0"/>
                <w:sz w:val="36"/>
                <w:szCs w:val="36"/>
              </w:rPr>
            </w:pPr>
            <w:r>
              <w:rPr>
                <w:rFonts w:hint="eastAsia" w:ascii="仿宋_GB2312" w:hAnsi="仿宋_GB2312" w:eastAsia="仿宋_GB2312" w:cs="仿宋_GB2312"/>
                <w:b w:val="0"/>
                <w:bCs w:val="0"/>
                <w:kern w:val="24"/>
                <w:sz w:val="20"/>
                <w:szCs w:val="20"/>
              </w:rPr>
              <w:t>装备制造（煤机）</w:t>
            </w:r>
          </w:p>
        </w:tc>
        <w:tc>
          <w:tcPr>
            <w:tcW w:w="898" w:type="pct"/>
            <w:shd w:val="clear" w:color="auto" w:fill="auto"/>
            <w:tcMar>
              <w:top w:w="57" w:type="dxa"/>
              <w:left w:w="57" w:type="dxa"/>
              <w:bottom w:w="57" w:type="dxa"/>
              <w:right w:w="57" w:type="dxa"/>
            </w:tcMar>
            <w:vAlign w:val="center"/>
          </w:tcPr>
          <w:p>
            <w:pPr>
              <w:widowControl/>
              <w:snapToGrid w:val="0"/>
              <w:textAlignment w:val="center"/>
              <w:rPr>
                <w:rFonts w:hint="eastAsia" w:ascii="仿宋_GB2312" w:hAnsi="仿宋_GB2312" w:eastAsia="仿宋_GB2312" w:cs="仿宋_GB2312"/>
                <w:b w:val="0"/>
                <w:bCs w:val="0"/>
                <w:kern w:val="24"/>
                <w:sz w:val="20"/>
                <w:szCs w:val="20"/>
              </w:rPr>
            </w:pPr>
            <w:r>
              <w:rPr>
                <w:rFonts w:hint="eastAsia" w:ascii="仿宋_GB2312" w:hAnsi="仿宋_GB2312" w:eastAsia="仿宋_GB2312" w:cs="仿宋_GB2312"/>
                <w:b w:val="0"/>
                <w:bCs w:val="0"/>
                <w:kern w:val="24"/>
                <w:sz w:val="20"/>
                <w:szCs w:val="20"/>
              </w:rPr>
              <w:t>清洁能源、新材料</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57" w:type="dxa"/>
            <w:bottom w:w="0" w:type="dxa"/>
            <w:right w:w="57" w:type="dxa"/>
          </w:tblCellMar>
        </w:tblPrEx>
        <w:trPr>
          <w:cantSplit/>
          <w:trHeight w:val="397" w:hRule="atLeast"/>
          <w:jc w:val="center"/>
        </w:trPr>
        <w:tc>
          <w:tcPr>
            <w:tcW w:w="354" w:type="pct"/>
            <w:vMerge w:val="continue"/>
            <w:shd w:val="clear" w:color="auto" w:fill="auto"/>
            <w:tcMar>
              <w:left w:w="57" w:type="dxa"/>
              <w:right w:w="57" w:type="dxa"/>
            </w:tcMar>
            <w:vAlign w:val="center"/>
          </w:tcPr>
          <w:p>
            <w:pPr>
              <w:widowControl/>
              <w:snapToGrid w:val="0"/>
              <w:jc w:val="left"/>
              <w:rPr>
                <w:rFonts w:hint="eastAsia" w:ascii="仿宋_GB2312" w:hAnsi="仿宋_GB2312" w:eastAsia="仿宋_GB2312" w:cs="仿宋_GB2312"/>
                <w:b w:val="0"/>
                <w:bCs w:val="0"/>
                <w:kern w:val="0"/>
                <w:sz w:val="36"/>
                <w:szCs w:val="36"/>
              </w:rPr>
            </w:pPr>
          </w:p>
        </w:tc>
        <w:tc>
          <w:tcPr>
            <w:tcW w:w="773" w:type="pct"/>
            <w:vMerge w:val="continue"/>
            <w:shd w:val="clear" w:color="auto" w:fill="auto"/>
            <w:tcMar>
              <w:left w:w="57" w:type="dxa"/>
              <w:right w:w="57" w:type="dxa"/>
            </w:tcMar>
            <w:vAlign w:val="center"/>
          </w:tcPr>
          <w:p>
            <w:pPr>
              <w:widowControl/>
              <w:snapToGrid w:val="0"/>
              <w:jc w:val="left"/>
              <w:rPr>
                <w:rFonts w:hint="eastAsia" w:ascii="仿宋_GB2312" w:hAnsi="仿宋_GB2312" w:eastAsia="仿宋_GB2312" w:cs="仿宋_GB2312"/>
                <w:b w:val="0"/>
                <w:bCs w:val="0"/>
                <w:kern w:val="0"/>
                <w:sz w:val="36"/>
                <w:szCs w:val="36"/>
              </w:rPr>
            </w:pPr>
          </w:p>
        </w:tc>
        <w:tc>
          <w:tcPr>
            <w:tcW w:w="358" w:type="pct"/>
            <w:vMerge w:val="continue"/>
            <w:shd w:val="clear" w:color="auto" w:fill="auto"/>
            <w:tcMar>
              <w:left w:w="57" w:type="dxa"/>
              <w:right w:w="57" w:type="dxa"/>
            </w:tcMar>
            <w:vAlign w:val="center"/>
          </w:tcPr>
          <w:p>
            <w:pPr>
              <w:widowControl/>
              <w:snapToGrid w:val="0"/>
              <w:jc w:val="center"/>
              <w:rPr>
                <w:rFonts w:hint="eastAsia" w:ascii="仿宋_GB2312" w:hAnsi="仿宋_GB2312" w:eastAsia="仿宋_GB2312" w:cs="仿宋_GB2312"/>
                <w:b w:val="0"/>
                <w:bCs w:val="0"/>
                <w:kern w:val="0"/>
                <w:sz w:val="36"/>
                <w:szCs w:val="36"/>
              </w:rPr>
            </w:pPr>
          </w:p>
        </w:tc>
        <w:tc>
          <w:tcPr>
            <w:tcW w:w="817" w:type="pct"/>
            <w:shd w:val="clear" w:color="auto" w:fill="auto"/>
            <w:tcMar>
              <w:top w:w="57" w:type="dxa"/>
              <w:left w:w="57" w:type="dxa"/>
              <w:bottom w:w="57" w:type="dxa"/>
              <w:right w:w="57" w:type="dxa"/>
            </w:tcMar>
            <w:vAlign w:val="center"/>
          </w:tcPr>
          <w:p>
            <w:pPr>
              <w:widowControl/>
              <w:snapToGrid w:val="0"/>
              <w:textAlignment w:val="center"/>
              <w:rPr>
                <w:rFonts w:hint="eastAsia" w:ascii="仿宋_GB2312" w:hAnsi="仿宋_GB2312" w:eastAsia="仿宋_GB2312" w:cs="仿宋_GB2312"/>
                <w:b w:val="0"/>
                <w:bCs w:val="0"/>
                <w:kern w:val="0"/>
                <w:sz w:val="36"/>
                <w:szCs w:val="36"/>
              </w:rPr>
            </w:pPr>
            <w:r>
              <w:rPr>
                <w:rFonts w:hint="eastAsia" w:ascii="仿宋_GB2312" w:hAnsi="仿宋_GB2312" w:eastAsia="仿宋_GB2312" w:cs="仿宋_GB2312"/>
                <w:b w:val="0"/>
                <w:bCs w:val="0"/>
                <w:kern w:val="24"/>
                <w:sz w:val="20"/>
                <w:szCs w:val="20"/>
              </w:rPr>
              <w:t>圣圆产业园</w:t>
            </w:r>
          </w:p>
        </w:tc>
        <w:tc>
          <w:tcPr>
            <w:tcW w:w="1800" w:type="pct"/>
            <w:shd w:val="clear" w:color="auto" w:fill="auto"/>
            <w:tcMar>
              <w:top w:w="57" w:type="dxa"/>
              <w:left w:w="57" w:type="dxa"/>
              <w:bottom w:w="57" w:type="dxa"/>
              <w:right w:w="57" w:type="dxa"/>
            </w:tcMar>
            <w:vAlign w:val="center"/>
          </w:tcPr>
          <w:p>
            <w:pPr>
              <w:widowControl/>
              <w:snapToGrid w:val="0"/>
              <w:textAlignment w:val="center"/>
              <w:rPr>
                <w:rFonts w:hint="eastAsia" w:ascii="仿宋_GB2312" w:hAnsi="仿宋_GB2312" w:eastAsia="仿宋_GB2312" w:cs="仿宋_GB2312"/>
                <w:b w:val="0"/>
                <w:bCs w:val="0"/>
                <w:kern w:val="0"/>
                <w:sz w:val="36"/>
                <w:szCs w:val="36"/>
              </w:rPr>
            </w:pPr>
            <w:r>
              <w:rPr>
                <w:rFonts w:hint="eastAsia" w:ascii="仿宋_GB2312" w:hAnsi="仿宋_GB2312" w:eastAsia="仿宋_GB2312" w:cs="仿宋_GB2312"/>
                <w:b w:val="0"/>
                <w:bCs w:val="0"/>
                <w:kern w:val="24"/>
                <w:sz w:val="20"/>
                <w:szCs w:val="20"/>
              </w:rPr>
              <w:t>煤电、煤化工（煤制油、煤制气、低阶煤综合利用）</w:t>
            </w:r>
          </w:p>
        </w:tc>
        <w:tc>
          <w:tcPr>
            <w:tcW w:w="898" w:type="pct"/>
            <w:shd w:val="clear" w:color="auto" w:fill="auto"/>
            <w:tcMar>
              <w:left w:w="57" w:type="dxa"/>
              <w:right w:w="57" w:type="dxa"/>
            </w:tcMar>
            <w:vAlign w:val="center"/>
          </w:tcPr>
          <w:p>
            <w:pPr>
              <w:widowControl/>
              <w:snapToGrid w:val="0"/>
              <w:textAlignment w:val="center"/>
              <w:rPr>
                <w:rFonts w:hint="eastAsia" w:ascii="仿宋_GB2312" w:hAnsi="仿宋_GB2312" w:eastAsia="仿宋_GB2312" w:cs="仿宋_GB2312"/>
                <w:b w:val="0"/>
                <w:bCs w:val="0"/>
                <w:kern w:val="24"/>
                <w:sz w:val="20"/>
                <w:szCs w:val="20"/>
              </w:rPr>
            </w:pPr>
            <w:r>
              <w:rPr>
                <w:rFonts w:hint="eastAsia" w:ascii="仿宋_GB2312" w:hAnsi="仿宋_GB2312" w:eastAsia="仿宋_GB2312" w:cs="仿宋_GB2312"/>
                <w:b w:val="0"/>
                <w:bCs w:val="0"/>
                <w:kern w:val="24"/>
                <w:sz w:val="20"/>
                <w:szCs w:val="20"/>
              </w:rPr>
              <w:t>煤电、煤化工</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57" w:type="dxa"/>
            <w:bottom w:w="0" w:type="dxa"/>
            <w:right w:w="57" w:type="dxa"/>
          </w:tblCellMar>
        </w:tblPrEx>
        <w:trPr>
          <w:cantSplit/>
          <w:trHeight w:val="397" w:hRule="atLeast"/>
          <w:jc w:val="center"/>
        </w:trPr>
        <w:tc>
          <w:tcPr>
            <w:tcW w:w="354" w:type="pct"/>
            <w:vMerge w:val="continue"/>
            <w:shd w:val="clear" w:color="auto" w:fill="auto"/>
            <w:tcMar>
              <w:left w:w="57" w:type="dxa"/>
              <w:right w:w="57" w:type="dxa"/>
            </w:tcMar>
            <w:vAlign w:val="center"/>
          </w:tcPr>
          <w:p>
            <w:pPr>
              <w:snapToGrid w:val="0"/>
              <w:jc w:val="center"/>
              <w:rPr>
                <w:rFonts w:hint="eastAsia" w:ascii="仿宋_GB2312" w:hAnsi="仿宋_GB2312" w:eastAsia="仿宋_GB2312" w:cs="仿宋_GB2312"/>
                <w:b w:val="0"/>
                <w:bCs w:val="0"/>
                <w:sz w:val="20"/>
                <w:szCs w:val="20"/>
              </w:rPr>
            </w:pPr>
          </w:p>
        </w:tc>
        <w:tc>
          <w:tcPr>
            <w:tcW w:w="773" w:type="pct"/>
            <w:vMerge w:val="continue"/>
            <w:shd w:val="clear" w:color="auto" w:fill="auto"/>
            <w:tcMar>
              <w:left w:w="57" w:type="dxa"/>
              <w:right w:w="57" w:type="dxa"/>
            </w:tcMar>
            <w:vAlign w:val="center"/>
          </w:tcPr>
          <w:p>
            <w:pPr>
              <w:snapToGrid w:val="0"/>
              <w:jc w:val="center"/>
              <w:rPr>
                <w:rFonts w:hint="eastAsia" w:ascii="仿宋_GB2312" w:hAnsi="仿宋_GB2312" w:eastAsia="仿宋_GB2312" w:cs="仿宋_GB2312"/>
                <w:b w:val="0"/>
                <w:bCs w:val="0"/>
                <w:sz w:val="20"/>
                <w:szCs w:val="20"/>
              </w:rPr>
            </w:pPr>
          </w:p>
        </w:tc>
        <w:tc>
          <w:tcPr>
            <w:tcW w:w="358" w:type="pct"/>
            <w:vMerge w:val="continue"/>
            <w:shd w:val="clear" w:color="auto" w:fill="auto"/>
            <w:tcMar>
              <w:left w:w="57" w:type="dxa"/>
              <w:right w:w="57" w:type="dxa"/>
            </w:tcMar>
            <w:vAlign w:val="center"/>
          </w:tcPr>
          <w:p>
            <w:pPr>
              <w:snapToGrid w:val="0"/>
              <w:jc w:val="center"/>
              <w:rPr>
                <w:rFonts w:hint="eastAsia" w:ascii="仿宋_GB2312" w:hAnsi="仿宋_GB2312" w:eastAsia="仿宋_GB2312" w:cs="仿宋_GB2312"/>
                <w:b w:val="0"/>
                <w:bCs w:val="0"/>
                <w:sz w:val="20"/>
                <w:szCs w:val="20"/>
              </w:rPr>
            </w:pPr>
          </w:p>
        </w:tc>
        <w:tc>
          <w:tcPr>
            <w:tcW w:w="817" w:type="pct"/>
            <w:shd w:val="clear" w:color="auto" w:fill="auto"/>
            <w:tcMar>
              <w:left w:w="57" w:type="dxa"/>
              <w:right w:w="57" w:type="dxa"/>
            </w:tcMar>
            <w:vAlign w:val="center"/>
          </w:tcPr>
          <w:p>
            <w:pPr>
              <w:snapToGrid w:val="0"/>
              <w:rPr>
                <w:rFonts w:hint="eastAsia" w:ascii="仿宋_GB2312" w:hAnsi="仿宋_GB2312" w:eastAsia="仿宋_GB2312" w:cs="仿宋_GB2312"/>
                <w:b w:val="0"/>
                <w:bCs w:val="0"/>
                <w:sz w:val="20"/>
                <w:szCs w:val="20"/>
              </w:rPr>
            </w:pPr>
            <w:r>
              <w:rPr>
                <w:rFonts w:hint="eastAsia" w:ascii="仿宋_GB2312" w:hAnsi="仿宋_GB2312" w:eastAsia="仿宋_GB2312" w:cs="仿宋_GB2312"/>
                <w:b w:val="0"/>
                <w:bCs w:val="0"/>
                <w:sz w:val="20"/>
                <w:szCs w:val="20"/>
              </w:rPr>
              <w:t>伊金霍洛物流园</w:t>
            </w:r>
          </w:p>
        </w:tc>
        <w:tc>
          <w:tcPr>
            <w:tcW w:w="1800" w:type="pct"/>
            <w:shd w:val="clear" w:color="auto" w:fill="auto"/>
            <w:tcMar>
              <w:left w:w="57" w:type="dxa"/>
              <w:right w:w="57" w:type="dxa"/>
            </w:tcMar>
            <w:vAlign w:val="center"/>
          </w:tcPr>
          <w:p>
            <w:pPr>
              <w:snapToGrid w:val="0"/>
              <w:rPr>
                <w:rFonts w:hint="eastAsia" w:ascii="仿宋_GB2312" w:hAnsi="仿宋_GB2312" w:eastAsia="仿宋_GB2312" w:cs="仿宋_GB2312"/>
                <w:b w:val="0"/>
                <w:bCs w:val="0"/>
                <w:sz w:val="20"/>
                <w:szCs w:val="20"/>
              </w:rPr>
            </w:pPr>
            <w:r>
              <w:rPr>
                <w:rFonts w:hint="eastAsia" w:ascii="仿宋_GB2312" w:hAnsi="仿宋_GB2312" w:eastAsia="仿宋_GB2312" w:cs="仿宋_GB2312"/>
                <w:b w:val="0"/>
                <w:bCs w:val="0"/>
                <w:sz w:val="20"/>
                <w:szCs w:val="20"/>
              </w:rPr>
              <w:t>物流</w:t>
            </w:r>
          </w:p>
        </w:tc>
        <w:tc>
          <w:tcPr>
            <w:tcW w:w="898" w:type="pct"/>
            <w:shd w:val="clear" w:color="auto" w:fill="auto"/>
            <w:tcMar>
              <w:top w:w="57" w:type="dxa"/>
              <w:left w:w="57" w:type="dxa"/>
              <w:bottom w:w="57" w:type="dxa"/>
              <w:right w:w="57" w:type="dxa"/>
            </w:tcMar>
            <w:vAlign w:val="center"/>
          </w:tcPr>
          <w:p>
            <w:pPr>
              <w:widowControl/>
              <w:snapToGrid w:val="0"/>
              <w:textAlignment w:val="center"/>
              <w:rPr>
                <w:rFonts w:hint="eastAsia" w:ascii="仿宋_GB2312" w:hAnsi="仿宋_GB2312" w:eastAsia="仿宋_GB2312" w:cs="仿宋_GB2312"/>
                <w:b w:val="0"/>
                <w:bCs w:val="0"/>
                <w:kern w:val="24"/>
                <w:sz w:val="20"/>
                <w:szCs w:val="20"/>
              </w:rPr>
            </w:pPr>
            <w:r>
              <w:rPr>
                <w:rFonts w:hint="eastAsia" w:ascii="仿宋_GB2312" w:hAnsi="仿宋_GB2312" w:eastAsia="仿宋_GB2312" w:cs="仿宋_GB2312"/>
                <w:b w:val="0"/>
                <w:bCs w:val="0"/>
                <w:kern w:val="24"/>
                <w:sz w:val="20"/>
                <w:szCs w:val="20"/>
              </w:rPr>
              <w:t>物流及相关延伸产业</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57" w:type="dxa"/>
            <w:bottom w:w="0" w:type="dxa"/>
            <w:right w:w="57" w:type="dxa"/>
          </w:tblCellMar>
        </w:tblPrEx>
        <w:trPr>
          <w:cantSplit/>
          <w:trHeight w:val="397" w:hRule="atLeast"/>
          <w:jc w:val="center"/>
        </w:trPr>
        <w:tc>
          <w:tcPr>
            <w:tcW w:w="354" w:type="pct"/>
            <w:vMerge w:val="restart"/>
            <w:shd w:val="clear" w:color="auto" w:fill="auto"/>
            <w:tcMar>
              <w:top w:w="57" w:type="dxa"/>
              <w:left w:w="57" w:type="dxa"/>
              <w:bottom w:w="57" w:type="dxa"/>
              <w:right w:w="57" w:type="dxa"/>
            </w:tcMar>
            <w:vAlign w:val="center"/>
          </w:tcPr>
          <w:p>
            <w:pPr>
              <w:snapToGrid w:val="0"/>
              <w:jc w:val="center"/>
              <w:rPr>
                <w:rFonts w:hint="eastAsia" w:ascii="仿宋_GB2312" w:hAnsi="仿宋_GB2312" w:eastAsia="仿宋_GB2312" w:cs="仿宋_GB2312"/>
                <w:b w:val="0"/>
                <w:bCs w:val="0"/>
                <w:sz w:val="20"/>
                <w:szCs w:val="20"/>
              </w:rPr>
            </w:pPr>
            <w:r>
              <w:rPr>
                <w:rFonts w:hint="eastAsia" w:ascii="仿宋_GB2312" w:hAnsi="仿宋_GB2312" w:eastAsia="仿宋_GB2312" w:cs="仿宋_GB2312"/>
                <w:b w:val="0"/>
                <w:bCs w:val="0"/>
                <w:sz w:val="20"/>
                <w:szCs w:val="20"/>
              </w:rPr>
              <w:t>5</w:t>
            </w:r>
          </w:p>
        </w:tc>
        <w:tc>
          <w:tcPr>
            <w:tcW w:w="773" w:type="pct"/>
            <w:vMerge w:val="restart"/>
            <w:shd w:val="clear" w:color="auto" w:fill="auto"/>
            <w:tcMar>
              <w:top w:w="57" w:type="dxa"/>
              <w:left w:w="57" w:type="dxa"/>
              <w:bottom w:w="57" w:type="dxa"/>
              <w:right w:w="57" w:type="dxa"/>
            </w:tcMar>
            <w:vAlign w:val="center"/>
          </w:tcPr>
          <w:p>
            <w:pPr>
              <w:snapToGrid w:val="0"/>
              <w:rPr>
                <w:rFonts w:hint="eastAsia" w:ascii="仿宋_GB2312" w:hAnsi="仿宋_GB2312" w:eastAsia="仿宋_GB2312" w:cs="仿宋_GB2312"/>
                <w:b w:val="0"/>
                <w:bCs w:val="0"/>
                <w:sz w:val="20"/>
                <w:szCs w:val="20"/>
              </w:rPr>
            </w:pPr>
            <w:r>
              <w:rPr>
                <w:rFonts w:hint="eastAsia" w:ascii="仿宋_GB2312" w:hAnsi="仿宋_GB2312" w:eastAsia="仿宋_GB2312" w:cs="仿宋_GB2312"/>
                <w:b w:val="0"/>
                <w:bCs w:val="0"/>
                <w:sz w:val="20"/>
                <w:szCs w:val="20"/>
              </w:rPr>
              <w:t>内蒙古杭锦经济开发区</w:t>
            </w:r>
          </w:p>
        </w:tc>
        <w:tc>
          <w:tcPr>
            <w:tcW w:w="358" w:type="pct"/>
            <w:vMerge w:val="restart"/>
            <w:shd w:val="clear" w:color="auto" w:fill="auto"/>
            <w:tcMar>
              <w:top w:w="57" w:type="dxa"/>
              <w:left w:w="57" w:type="dxa"/>
              <w:bottom w:w="57" w:type="dxa"/>
              <w:right w:w="57" w:type="dxa"/>
            </w:tcMar>
            <w:vAlign w:val="center"/>
          </w:tcPr>
          <w:p>
            <w:pPr>
              <w:snapToGrid w:val="0"/>
              <w:jc w:val="center"/>
              <w:rPr>
                <w:rFonts w:hint="eastAsia" w:ascii="仿宋_GB2312" w:hAnsi="仿宋_GB2312" w:eastAsia="仿宋_GB2312" w:cs="仿宋_GB2312"/>
                <w:b w:val="0"/>
                <w:bCs w:val="0"/>
                <w:sz w:val="20"/>
                <w:szCs w:val="20"/>
              </w:rPr>
            </w:pPr>
            <w:r>
              <w:rPr>
                <w:rFonts w:hint="eastAsia" w:ascii="仿宋_GB2312" w:hAnsi="仿宋_GB2312" w:eastAsia="仿宋_GB2312" w:cs="仿宋_GB2312"/>
                <w:b w:val="0"/>
                <w:bCs w:val="0"/>
                <w:sz w:val="20"/>
                <w:szCs w:val="20"/>
              </w:rPr>
              <w:t>2</w:t>
            </w:r>
          </w:p>
        </w:tc>
        <w:tc>
          <w:tcPr>
            <w:tcW w:w="817" w:type="pct"/>
            <w:shd w:val="clear" w:color="auto" w:fill="auto"/>
            <w:tcMar>
              <w:top w:w="57" w:type="dxa"/>
              <w:left w:w="57" w:type="dxa"/>
              <w:bottom w:w="57" w:type="dxa"/>
              <w:right w:w="57" w:type="dxa"/>
            </w:tcMar>
            <w:vAlign w:val="center"/>
          </w:tcPr>
          <w:p>
            <w:pPr>
              <w:snapToGrid w:val="0"/>
              <w:rPr>
                <w:rFonts w:hint="eastAsia" w:ascii="仿宋_GB2312" w:hAnsi="仿宋_GB2312" w:eastAsia="仿宋_GB2312" w:cs="仿宋_GB2312"/>
                <w:b w:val="0"/>
                <w:bCs w:val="0"/>
                <w:sz w:val="20"/>
                <w:szCs w:val="20"/>
              </w:rPr>
            </w:pPr>
            <w:r>
              <w:rPr>
                <w:rFonts w:hint="eastAsia" w:ascii="仿宋_GB2312" w:hAnsi="仿宋_GB2312" w:eastAsia="仿宋_GB2312" w:cs="仿宋_GB2312"/>
                <w:b w:val="0"/>
                <w:bCs w:val="0"/>
                <w:sz w:val="20"/>
                <w:szCs w:val="20"/>
              </w:rPr>
              <w:t>新能源产业园</w:t>
            </w:r>
          </w:p>
        </w:tc>
        <w:tc>
          <w:tcPr>
            <w:tcW w:w="1800" w:type="pct"/>
            <w:shd w:val="clear" w:color="auto" w:fill="auto"/>
            <w:tcMar>
              <w:top w:w="57" w:type="dxa"/>
              <w:left w:w="57" w:type="dxa"/>
              <w:bottom w:w="57" w:type="dxa"/>
              <w:right w:w="57" w:type="dxa"/>
            </w:tcMar>
            <w:vAlign w:val="center"/>
          </w:tcPr>
          <w:p>
            <w:pPr>
              <w:snapToGrid w:val="0"/>
              <w:rPr>
                <w:rFonts w:hint="eastAsia" w:ascii="仿宋_GB2312" w:hAnsi="仿宋_GB2312" w:eastAsia="仿宋_GB2312" w:cs="仿宋_GB2312"/>
                <w:b w:val="0"/>
                <w:bCs w:val="0"/>
                <w:sz w:val="20"/>
                <w:szCs w:val="20"/>
              </w:rPr>
            </w:pPr>
            <w:r>
              <w:rPr>
                <w:rFonts w:hint="eastAsia" w:ascii="仿宋_GB2312" w:hAnsi="仿宋_GB2312" w:eastAsia="仿宋_GB2312" w:cs="仿宋_GB2312"/>
                <w:b w:val="0"/>
                <w:bCs w:val="0"/>
                <w:sz w:val="20"/>
                <w:szCs w:val="20"/>
              </w:rPr>
              <w:t>清洁能源（风电、光伏、生物质能）</w:t>
            </w:r>
          </w:p>
        </w:tc>
        <w:tc>
          <w:tcPr>
            <w:tcW w:w="898" w:type="pct"/>
            <w:shd w:val="clear" w:color="auto" w:fill="auto"/>
            <w:tcMar>
              <w:top w:w="57" w:type="dxa"/>
              <w:left w:w="57" w:type="dxa"/>
              <w:bottom w:w="57" w:type="dxa"/>
              <w:right w:w="57" w:type="dxa"/>
            </w:tcMar>
            <w:vAlign w:val="center"/>
          </w:tcPr>
          <w:p>
            <w:pPr>
              <w:widowControl/>
              <w:snapToGrid w:val="0"/>
              <w:textAlignment w:val="center"/>
              <w:rPr>
                <w:rFonts w:hint="eastAsia" w:ascii="仿宋_GB2312" w:hAnsi="仿宋_GB2312" w:eastAsia="仿宋_GB2312" w:cs="仿宋_GB2312"/>
                <w:b w:val="0"/>
                <w:bCs w:val="0"/>
                <w:kern w:val="24"/>
                <w:sz w:val="20"/>
                <w:szCs w:val="20"/>
              </w:rPr>
            </w:pPr>
            <w:r>
              <w:rPr>
                <w:rFonts w:hint="eastAsia" w:ascii="仿宋_GB2312" w:hAnsi="仿宋_GB2312" w:eastAsia="仿宋_GB2312" w:cs="仿宋_GB2312"/>
                <w:b w:val="0"/>
                <w:bCs w:val="0"/>
                <w:kern w:val="24"/>
                <w:sz w:val="20"/>
                <w:szCs w:val="20"/>
              </w:rPr>
              <w:t>清洁能源、新兴产业</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57" w:type="dxa"/>
            <w:bottom w:w="0" w:type="dxa"/>
            <w:right w:w="57" w:type="dxa"/>
          </w:tblCellMar>
        </w:tblPrEx>
        <w:trPr>
          <w:cantSplit/>
          <w:trHeight w:val="397" w:hRule="atLeast"/>
          <w:jc w:val="center"/>
        </w:trPr>
        <w:tc>
          <w:tcPr>
            <w:tcW w:w="354" w:type="pct"/>
            <w:vMerge w:val="continue"/>
            <w:shd w:val="clear" w:color="auto" w:fill="auto"/>
            <w:tcMar>
              <w:left w:w="57" w:type="dxa"/>
              <w:right w:w="57" w:type="dxa"/>
            </w:tcMar>
            <w:vAlign w:val="center"/>
          </w:tcPr>
          <w:p>
            <w:pPr>
              <w:snapToGrid w:val="0"/>
              <w:jc w:val="center"/>
              <w:rPr>
                <w:rFonts w:hint="eastAsia" w:ascii="仿宋_GB2312" w:hAnsi="仿宋_GB2312" w:eastAsia="仿宋_GB2312" w:cs="仿宋_GB2312"/>
                <w:b w:val="0"/>
                <w:bCs w:val="0"/>
                <w:sz w:val="20"/>
                <w:szCs w:val="20"/>
              </w:rPr>
            </w:pPr>
          </w:p>
        </w:tc>
        <w:tc>
          <w:tcPr>
            <w:tcW w:w="773" w:type="pct"/>
            <w:vMerge w:val="continue"/>
            <w:shd w:val="clear" w:color="auto" w:fill="auto"/>
            <w:tcMar>
              <w:left w:w="57" w:type="dxa"/>
              <w:right w:w="57" w:type="dxa"/>
            </w:tcMar>
            <w:vAlign w:val="center"/>
          </w:tcPr>
          <w:p>
            <w:pPr>
              <w:snapToGrid w:val="0"/>
              <w:rPr>
                <w:rFonts w:hint="eastAsia" w:ascii="仿宋_GB2312" w:hAnsi="仿宋_GB2312" w:eastAsia="仿宋_GB2312" w:cs="仿宋_GB2312"/>
                <w:b w:val="0"/>
                <w:bCs w:val="0"/>
                <w:sz w:val="20"/>
                <w:szCs w:val="20"/>
              </w:rPr>
            </w:pPr>
          </w:p>
        </w:tc>
        <w:tc>
          <w:tcPr>
            <w:tcW w:w="358" w:type="pct"/>
            <w:vMerge w:val="continue"/>
            <w:shd w:val="clear" w:color="auto" w:fill="auto"/>
            <w:tcMar>
              <w:left w:w="57" w:type="dxa"/>
              <w:right w:w="57" w:type="dxa"/>
            </w:tcMar>
            <w:vAlign w:val="center"/>
          </w:tcPr>
          <w:p>
            <w:pPr>
              <w:snapToGrid w:val="0"/>
              <w:jc w:val="center"/>
              <w:rPr>
                <w:rFonts w:hint="eastAsia" w:ascii="仿宋_GB2312" w:hAnsi="仿宋_GB2312" w:eastAsia="仿宋_GB2312" w:cs="仿宋_GB2312"/>
                <w:b w:val="0"/>
                <w:bCs w:val="0"/>
                <w:sz w:val="20"/>
                <w:szCs w:val="20"/>
              </w:rPr>
            </w:pPr>
          </w:p>
        </w:tc>
        <w:tc>
          <w:tcPr>
            <w:tcW w:w="817" w:type="pct"/>
            <w:shd w:val="clear" w:color="auto" w:fill="auto"/>
            <w:tcMar>
              <w:top w:w="57" w:type="dxa"/>
              <w:left w:w="57" w:type="dxa"/>
              <w:bottom w:w="57" w:type="dxa"/>
              <w:right w:w="57" w:type="dxa"/>
            </w:tcMar>
            <w:vAlign w:val="center"/>
          </w:tcPr>
          <w:p>
            <w:pPr>
              <w:snapToGrid w:val="0"/>
              <w:rPr>
                <w:rFonts w:hint="eastAsia" w:ascii="仿宋_GB2312" w:hAnsi="仿宋_GB2312" w:eastAsia="仿宋_GB2312" w:cs="仿宋_GB2312"/>
                <w:b w:val="0"/>
                <w:bCs w:val="0"/>
                <w:sz w:val="20"/>
                <w:szCs w:val="20"/>
              </w:rPr>
            </w:pPr>
            <w:r>
              <w:rPr>
                <w:rFonts w:hint="eastAsia" w:ascii="仿宋_GB2312" w:hAnsi="仿宋_GB2312" w:eastAsia="仿宋_GB2312" w:cs="仿宋_GB2312"/>
                <w:b w:val="0"/>
                <w:bCs w:val="0"/>
                <w:sz w:val="20"/>
                <w:szCs w:val="20"/>
              </w:rPr>
              <w:t>独贵塔拉产业园</w:t>
            </w:r>
          </w:p>
        </w:tc>
        <w:tc>
          <w:tcPr>
            <w:tcW w:w="1800" w:type="pct"/>
            <w:shd w:val="clear" w:color="auto" w:fill="auto"/>
            <w:tcMar>
              <w:top w:w="57" w:type="dxa"/>
              <w:left w:w="57" w:type="dxa"/>
              <w:bottom w:w="57" w:type="dxa"/>
              <w:right w:w="57" w:type="dxa"/>
            </w:tcMar>
            <w:vAlign w:val="center"/>
          </w:tcPr>
          <w:p>
            <w:pPr>
              <w:snapToGrid w:val="0"/>
              <w:rPr>
                <w:rFonts w:hint="eastAsia" w:ascii="仿宋_GB2312" w:hAnsi="仿宋_GB2312" w:eastAsia="仿宋_GB2312" w:cs="仿宋_GB2312"/>
                <w:b w:val="0"/>
                <w:bCs w:val="0"/>
                <w:sz w:val="20"/>
                <w:szCs w:val="20"/>
              </w:rPr>
            </w:pPr>
            <w:r>
              <w:rPr>
                <w:rFonts w:hint="eastAsia" w:ascii="仿宋_GB2312" w:hAnsi="仿宋_GB2312" w:eastAsia="仿宋_GB2312" w:cs="仿宋_GB2312"/>
                <w:b w:val="0"/>
                <w:bCs w:val="0"/>
                <w:sz w:val="20"/>
                <w:szCs w:val="20"/>
              </w:rPr>
              <w:t>煤化工（煤制精细化学品）</w:t>
            </w:r>
          </w:p>
        </w:tc>
        <w:tc>
          <w:tcPr>
            <w:tcW w:w="898" w:type="pct"/>
            <w:shd w:val="clear" w:color="auto" w:fill="auto"/>
            <w:tcMar>
              <w:left w:w="57" w:type="dxa"/>
              <w:right w:w="57" w:type="dxa"/>
            </w:tcMar>
            <w:vAlign w:val="center"/>
          </w:tcPr>
          <w:p>
            <w:pPr>
              <w:widowControl/>
              <w:snapToGrid w:val="0"/>
              <w:textAlignment w:val="center"/>
              <w:rPr>
                <w:rFonts w:hint="eastAsia" w:ascii="仿宋_GB2312" w:hAnsi="仿宋_GB2312" w:eastAsia="仿宋_GB2312" w:cs="仿宋_GB2312"/>
                <w:b w:val="0"/>
                <w:bCs w:val="0"/>
                <w:kern w:val="24"/>
                <w:sz w:val="20"/>
                <w:szCs w:val="20"/>
              </w:rPr>
            </w:pPr>
            <w:r>
              <w:rPr>
                <w:rFonts w:hint="eastAsia" w:ascii="仿宋_GB2312" w:hAnsi="仿宋_GB2312" w:eastAsia="仿宋_GB2312" w:cs="仿宋_GB2312"/>
                <w:b w:val="0"/>
                <w:bCs w:val="0"/>
                <w:kern w:val="24"/>
                <w:sz w:val="20"/>
                <w:szCs w:val="20"/>
              </w:rPr>
              <w:t>化工、新材料</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57" w:type="dxa"/>
            <w:bottom w:w="0" w:type="dxa"/>
            <w:right w:w="57" w:type="dxa"/>
          </w:tblCellMar>
        </w:tblPrEx>
        <w:trPr>
          <w:cantSplit/>
          <w:trHeight w:val="397" w:hRule="atLeast"/>
          <w:jc w:val="center"/>
        </w:trPr>
        <w:tc>
          <w:tcPr>
            <w:tcW w:w="354" w:type="pct"/>
            <w:vMerge w:val="restart"/>
            <w:shd w:val="clear" w:color="auto" w:fill="auto"/>
            <w:tcMar>
              <w:top w:w="57" w:type="dxa"/>
              <w:left w:w="57" w:type="dxa"/>
              <w:bottom w:w="57" w:type="dxa"/>
              <w:right w:w="57" w:type="dxa"/>
            </w:tcMar>
            <w:vAlign w:val="center"/>
          </w:tcPr>
          <w:p>
            <w:pPr>
              <w:snapToGrid w:val="0"/>
              <w:jc w:val="center"/>
              <w:rPr>
                <w:rFonts w:hint="eastAsia" w:ascii="仿宋_GB2312" w:hAnsi="仿宋_GB2312" w:eastAsia="仿宋_GB2312" w:cs="仿宋_GB2312"/>
                <w:b w:val="0"/>
                <w:bCs w:val="0"/>
                <w:sz w:val="20"/>
                <w:szCs w:val="20"/>
              </w:rPr>
            </w:pPr>
            <w:r>
              <w:rPr>
                <w:rFonts w:hint="eastAsia" w:ascii="仿宋_GB2312" w:hAnsi="仿宋_GB2312" w:eastAsia="仿宋_GB2312" w:cs="仿宋_GB2312"/>
                <w:b w:val="0"/>
                <w:bCs w:val="0"/>
                <w:sz w:val="20"/>
                <w:szCs w:val="20"/>
              </w:rPr>
              <w:t>6</w:t>
            </w:r>
          </w:p>
        </w:tc>
        <w:tc>
          <w:tcPr>
            <w:tcW w:w="773" w:type="pct"/>
            <w:vMerge w:val="restart"/>
            <w:shd w:val="clear" w:color="auto" w:fill="auto"/>
            <w:tcMar>
              <w:top w:w="57" w:type="dxa"/>
              <w:left w:w="57" w:type="dxa"/>
              <w:bottom w:w="57" w:type="dxa"/>
              <w:right w:w="57" w:type="dxa"/>
            </w:tcMar>
            <w:vAlign w:val="center"/>
          </w:tcPr>
          <w:p>
            <w:pPr>
              <w:snapToGrid w:val="0"/>
              <w:rPr>
                <w:rFonts w:hint="eastAsia" w:ascii="仿宋_GB2312" w:hAnsi="仿宋_GB2312" w:eastAsia="仿宋_GB2312" w:cs="仿宋_GB2312"/>
                <w:b w:val="0"/>
                <w:bCs w:val="0"/>
                <w:sz w:val="20"/>
                <w:szCs w:val="20"/>
              </w:rPr>
            </w:pPr>
            <w:r>
              <w:rPr>
                <w:rFonts w:hint="eastAsia" w:ascii="仿宋_GB2312" w:hAnsi="仿宋_GB2312" w:eastAsia="仿宋_GB2312" w:cs="仿宋_GB2312"/>
                <w:b w:val="0"/>
                <w:bCs w:val="0"/>
                <w:sz w:val="20"/>
                <w:szCs w:val="20"/>
              </w:rPr>
              <w:t>内蒙古鄂托克经济开发区</w:t>
            </w:r>
          </w:p>
        </w:tc>
        <w:tc>
          <w:tcPr>
            <w:tcW w:w="358" w:type="pct"/>
            <w:vMerge w:val="restart"/>
            <w:shd w:val="clear" w:color="auto" w:fill="auto"/>
            <w:tcMar>
              <w:top w:w="57" w:type="dxa"/>
              <w:left w:w="57" w:type="dxa"/>
              <w:bottom w:w="57" w:type="dxa"/>
              <w:right w:w="57" w:type="dxa"/>
            </w:tcMar>
            <w:vAlign w:val="center"/>
          </w:tcPr>
          <w:p>
            <w:pPr>
              <w:snapToGrid w:val="0"/>
              <w:jc w:val="center"/>
              <w:rPr>
                <w:rFonts w:hint="eastAsia" w:ascii="仿宋_GB2312" w:hAnsi="仿宋_GB2312" w:eastAsia="仿宋_GB2312" w:cs="仿宋_GB2312"/>
                <w:b w:val="0"/>
                <w:bCs w:val="0"/>
                <w:sz w:val="20"/>
                <w:szCs w:val="20"/>
              </w:rPr>
            </w:pPr>
            <w:r>
              <w:rPr>
                <w:rFonts w:hint="eastAsia" w:ascii="仿宋_GB2312" w:hAnsi="仿宋_GB2312" w:eastAsia="仿宋_GB2312" w:cs="仿宋_GB2312"/>
                <w:b w:val="0"/>
                <w:bCs w:val="0"/>
                <w:sz w:val="20"/>
                <w:szCs w:val="20"/>
              </w:rPr>
              <w:t>2</w:t>
            </w:r>
          </w:p>
        </w:tc>
        <w:tc>
          <w:tcPr>
            <w:tcW w:w="817" w:type="pct"/>
            <w:shd w:val="clear" w:color="auto" w:fill="auto"/>
            <w:tcMar>
              <w:top w:w="57" w:type="dxa"/>
              <w:left w:w="57" w:type="dxa"/>
              <w:bottom w:w="57" w:type="dxa"/>
              <w:right w:w="57" w:type="dxa"/>
            </w:tcMar>
            <w:vAlign w:val="center"/>
          </w:tcPr>
          <w:p>
            <w:pPr>
              <w:snapToGrid w:val="0"/>
              <w:rPr>
                <w:rFonts w:hint="eastAsia" w:ascii="仿宋_GB2312" w:hAnsi="仿宋_GB2312" w:eastAsia="仿宋_GB2312" w:cs="仿宋_GB2312"/>
                <w:b w:val="0"/>
                <w:bCs w:val="0"/>
                <w:sz w:val="20"/>
                <w:szCs w:val="20"/>
              </w:rPr>
            </w:pPr>
            <w:r>
              <w:rPr>
                <w:rFonts w:hint="eastAsia" w:ascii="仿宋_GB2312" w:hAnsi="仿宋_GB2312" w:eastAsia="仿宋_GB2312" w:cs="仿宋_GB2312"/>
                <w:b w:val="0"/>
                <w:bCs w:val="0"/>
                <w:sz w:val="20"/>
                <w:szCs w:val="20"/>
              </w:rPr>
              <w:t>蒙西产业园</w:t>
            </w:r>
          </w:p>
        </w:tc>
        <w:tc>
          <w:tcPr>
            <w:tcW w:w="1800" w:type="pct"/>
            <w:shd w:val="clear" w:color="auto" w:fill="auto"/>
            <w:tcMar>
              <w:top w:w="57" w:type="dxa"/>
              <w:left w:w="57" w:type="dxa"/>
              <w:bottom w:w="57" w:type="dxa"/>
              <w:right w:w="57" w:type="dxa"/>
            </w:tcMar>
            <w:vAlign w:val="center"/>
          </w:tcPr>
          <w:p>
            <w:pPr>
              <w:snapToGrid w:val="0"/>
              <w:rPr>
                <w:rFonts w:hint="eastAsia" w:ascii="仿宋_GB2312" w:hAnsi="仿宋_GB2312" w:eastAsia="仿宋_GB2312" w:cs="仿宋_GB2312"/>
                <w:b w:val="0"/>
                <w:bCs w:val="0"/>
                <w:sz w:val="20"/>
                <w:szCs w:val="20"/>
              </w:rPr>
            </w:pPr>
            <w:r>
              <w:rPr>
                <w:rFonts w:hint="eastAsia" w:ascii="仿宋_GB2312" w:hAnsi="仿宋_GB2312" w:eastAsia="仿宋_GB2312" w:cs="仿宋_GB2312"/>
                <w:b w:val="0"/>
                <w:bCs w:val="0"/>
                <w:sz w:val="20"/>
                <w:szCs w:val="20"/>
              </w:rPr>
              <w:t>煤电、氯碱化工、冶金（钢铁及精深加工、先进钢材料、特殊钢铸件）、无机非金属材料（水泥、高岭土、玻璃纤维）</w:t>
            </w:r>
          </w:p>
        </w:tc>
        <w:tc>
          <w:tcPr>
            <w:tcW w:w="898" w:type="pct"/>
            <w:shd w:val="clear" w:color="auto" w:fill="auto"/>
            <w:tcMar>
              <w:top w:w="57" w:type="dxa"/>
              <w:left w:w="57" w:type="dxa"/>
              <w:bottom w:w="57" w:type="dxa"/>
              <w:right w:w="57" w:type="dxa"/>
            </w:tcMar>
            <w:vAlign w:val="center"/>
          </w:tcPr>
          <w:p>
            <w:pPr>
              <w:widowControl/>
              <w:snapToGrid w:val="0"/>
              <w:textAlignment w:val="center"/>
              <w:rPr>
                <w:rFonts w:hint="eastAsia" w:ascii="仿宋_GB2312" w:hAnsi="仿宋_GB2312" w:eastAsia="仿宋_GB2312" w:cs="仿宋_GB2312"/>
                <w:b w:val="0"/>
                <w:bCs w:val="0"/>
                <w:kern w:val="24"/>
                <w:sz w:val="20"/>
                <w:szCs w:val="20"/>
              </w:rPr>
            </w:pPr>
            <w:r>
              <w:rPr>
                <w:rFonts w:hint="eastAsia" w:ascii="仿宋_GB2312" w:hAnsi="仿宋_GB2312" w:eastAsia="仿宋_GB2312" w:cs="仿宋_GB2312"/>
                <w:b w:val="0"/>
                <w:bCs w:val="0"/>
                <w:kern w:val="24"/>
                <w:sz w:val="20"/>
                <w:szCs w:val="20"/>
              </w:rPr>
              <w:t>新材料、精细化工</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57" w:type="dxa"/>
            <w:bottom w:w="0" w:type="dxa"/>
            <w:right w:w="57" w:type="dxa"/>
          </w:tblCellMar>
        </w:tblPrEx>
        <w:trPr>
          <w:cantSplit/>
          <w:trHeight w:val="397" w:hRule="atLeast"/>
          <w:jc w:val="center"/>
        </w:trPr>
        <w:tc>
          <w:tcPr>
            <w:tcW w:w="354" w:type="pct"/>
            <w:vMerge w:val="continue"/>
            <w:shd w:val="clear" w:color="auto" w:fill="auto"/>
            <w:tcMar>
              <w:left w:w="57" w:type="dxa"/>
              <w:right w:w="57" w:type="dxa"/>
            </w:tcMar>
            <w:vAlign w:val="center"/>
          </w:tcPr>
          <w:p>
            <w:pPr>
              <w:snapToGrid w:val="0"/>
              <w:jc w:val="center"/>
              <w:rPr>
                <w:rFonts w:hint="eastAsia" w:ascii="仿宋_GB2312" w:hAnsi="仿宋_GB2312" w:eastAsia="仿宋_GB2312" w:cs="仿宋_GB2312"/>
                <w:b w:val="0"/>
                <w:bCs w:val="0"/>
                <w:sz w:val="20"/>
                <w:szCs w:val="20"/>
              </w:rPr>
            </w:pPr>
          </w:p>
        </w:tc>
        <w:tc>
          <w:tcPr>
            <w:tcW w:w="773" w:type="pct"/>
            <w:vMerge w:val="continue"/>
            <w:shd w:val="clear" w:color="auto" w:fill="auto"/>
            <w:tcMar>
              <w:left w:w="57" w:type="dxa"/>
              <w:right w:w="57" w:type="dxa"/>
            </w:tcMar>
            <w:vAlign w:val="center"/>
          </w:tcPr>
          <w:p>
            <w:pPr>
              <w:snapToGrid w:val="0"/>
              <w:rPr>
                <w:rFonts w:hint="eastAsia" w:ascii="仿宋_GB2312" w:hAnsi="仿宋_GB2312" w:eastAsia="仿宋_GB2312" w:cs="仿宋_GB2312"/>
                <w:b w:val="0"/>
                <w:bCs w:val="0"/>
                <w:sz w:val="20"/>
                <w:szCs w:val="20"/>
              </w:rPr>
            </w:pPr>
          </w:p>
        </w:tc>
        <w:tc>
          <w:tcPr>
            <w:tcW w:w="358" w:type="pct"/>
            <w:vMerge w:val="continue"/>
            <w:shd w:val="clear" w:color="auto" w:fill="auto"/>
            <w:tcMar>
              <w:left w:w="57" w:type="dxa"/>
              <w:right w:w="57" w:type="dxa"/>
            </w:tcMar>
            <w:vAlign w:val="center"/>
          </w:tcPr>
          <w:p>
            <w:pPr>
              <w:snapToGrid w:val="0"/>
              <w:jc w:val="center"/>
              <w:rPr>
                <w:rFonts w:hint="eastAsia" w:ascii="仿宋_GB2312" w:hAnsi="仿宋_GB2312" w:eastAsia="仿宋_GB2312" w:cs="仿宋_GB2312"/>
                <w:b w:val="0"/>
                <w:bCs w:val="0"/>
                <w:sz w:val="20"/>
                <w:szCs w:val="20"/>
              </w:rPr>
            </w:pPr>
          </w:p>
        </w:tc>
        <w:tc>
          <w:tcPr>
            <w:tcW w:w="817" w:type="pct"/>
            <w:shd w:val="clear" w:color="auto" w:fill="auto"/>
            <w:tcMar>
              <w:top w:w="57" w:type="dxa"/>
              <w:left w:w="57" w:type="dxa"/>
              <w:bottom w:w="57" w:type="dxa"/>
              <w:right w:w="57" w:type="dxa"/>
            </w:tcMar>
            <w:vAlign w:val="center"/>
          </w:tcPr>
          <w:p>
            <w:pPr>
              <w:snapToGrid w:val="0"/>
              <w:rPr>
                <w:rFonts w:hint="eastAsia" w:ascii="仿宋_GB2312" w:hAnsi="仿宋_GB2312" w:eastAsia="仿宋_GB2312" w:cs="仿宋_GB2312"/>
                <w:b w:val="0"/>
                <w:bCs w:val="0"/>
                <w:sz w:val="20"/>
                <w:szCs w:val="20"/>
              </w:rPr>
            </w:pPr>
            <w:r>
              <w:rPr>
                <w:rFonts w:hint="eastAsia" w:ascii="仿宋_GB2312" w:hAnsi="仿宋_GB2312" w:eastAsia="仿宋_GB2312" w:cs="仿宋_GB2312"/>
                <w:b w:val="0"/>
                <w:bCs w:val="0"/>
                <w:sz w:val="20"/>
                <w:szCs w:val="20"/>
              </w:rPr>
              <w:t>棋盘井产业园</w:t>
            </w:r>
          </w:p>
        </w:tc>
        <w:tc>
          <w:tcPr>
            <w:tcW w:w="1800" w:type="pct"/>
            <w:shd w:val="clear" w:color="auto" w:fill="auto"/>
            <w:tcMar>
              <w:top w:w="57" w:type="dxa"/>
              <w:left w:w="57" w:type="dxa"/>
              <w:bottom w:w="57" w:type="dxa"/>
              <w:right w:w="57" w:type="dxa"/>
            </w:tcMar>
            <w:vAlign w:val="center"/>
          </w:tcPr>
          <w:p>
            <w:pPr>
              <w:snapToGrid w:val="0"/>
              <w:rPr>
                <w:rFonts w:hint="eastAsia" w:ascii="仿宋_GB2312" w:hAnsi="仿宋_GB2312" w:eastAsia="仿宋_GB2312" w:cs="仿宋_GB2312"/>
                <w:b w:val="0"/>
                <w:bCs w:val="0"/>
                <w:sz w:val="20"/>
                <w:szCs w:val="20"/>
              </w:rPr>
            </w:pPr>
            <w:r>
              <w:rPr>
                <w:rFonts w:hint="eastAsia" w:ascii="仿宋_GB2312" w:hAnsi="仿宋_GB2312" w:eastAsia="仿宋_GB2312" w:cs="仿宋_GB2312"/>
                <w:b w:val="0"/>
                <w:bCs w:val="0"/>
                <w:sz w:val="20"/>
                <w:szCs w:val="20"/>
              </w:rPr>
              <w:t>化工（焦化、氯碱化工）</w:t>
            </w:r>
          </w:p>
        </w:tc>
        <w:tc>
          <w:tcPr>
            <w:tcW w:w="898" w:type="pct"/>
            <w:shd w:val="clear" w:color="auto" w:fill="auto"/>
            <w:tcMar>
              <w:left w:w="57" w:type="dxa"/>
              <w:right w:w="57" w:type="dxa"/>
            </w:tcMar>
            <w:vAlign w:val="center"/>
          </w:tcPr>
          <w:p>
            <w:pPr>
              <w:widowControl/>
              <w:snapToGrid w:val="0"/>
              <w:textAlignment w:val="center"/>
              <w:rPr>
                <w:rFonts w:hint="eastAsia" w:ascii="仿宋_GB2312" w:hAnsi="仿宋_GB2312" w:eastAsia="仿宋_GB2312" w:cs="仿宋_GB2312"/>
                <w:b w:val="0"/>
                <w:bCs w:val="0"/>
                <w:kern w:val="24"/>
                <w:sz w:val="20"/>
                <w:szCs w:val="20"/>
              </w:rPr>
            </w:pPr>
            <w:r>
              <w:rPr>
                <w:rFonts w:hint="eastAsia" w:ascii="仿宋_GB2312" w:hAnsi="仿宋_GB2312" w:eastAsia="仿宋_GB2312" w:cs="仿宋_GB2312"/>
                <w:b w:val="0"/>
                <w:bCs w:val="0"/>
                <w:kern w:val="24"/>
                <w:sz w:val="20"/>
                <w:szCs w:val="20"/>
              </w:rPr>
              <w:t>能源化工、新兴产业</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57" w:type="dxa"/>
            <w:bottom w:w="0" w:type="dxa"/>
            <w:right w:w="57" w:type="dxa"/>
          </w:tblCellMar>
        </w:tblPrEx>
        <w:trPr>
          <w:cantSplit/>
          <w:trHeight w:val="397" w:hRule="atLeast"/>
          <w:jc w:val="center"/>
        </w:trPr>
        <w:tc>
          <w:tcPr>
            <w:tcW w:w="354" w:type="pct"/>
            <w:shd w:val="clear" w:color="auto" w:fill="auto"/>
            <w:tcMar>
              <w:top w:w="57" w:type="dxa"/>
              <w:left w:w="57" w:type="dxa"/>
              <w:bottom w:w="57" w:type="dxa"/>
              <w:right w:w="57" w:type="dxa"/>
            </w:tcMar>
            <w:vAlign w:val="center"/>
          </w:tcPr>
          <w:p>
            <w:pPr>
              <w:snapToGrid w:val="0"/>
              <w:jc w:val="center"/>
              <w:rPr>
                <w:rFonts w:hint="eastAsia" w:ascii="仿宋_GB2312" w:hAnsi="仿宋_GB2312" w:eastAsia="仿宋_GB2312" w:cs="仿宋_GB2312"/>
                <w:b w:val="0"/>
                <w:bCs w:val="0"/>
                <w:sz w:val="20"/>
                <w:szCs w:val="20"/>
              </w:rPr>
            </w:pPr>
            <w:r>
              <w:rPr>
                <w:rFonts w:hint="eastAsia" w:ascii="仿宋_GB2312" w:hAnsi="仿宋_GB2312" w:eastAsia="仿宋_GB2312" w:cs="仿宋_GB2312"/>
                <w:b w:val="0"/>
                <w:bCs w:val="0"/>
                <w:sz w:val="20"/>
                <w:szCs w:val="20"/>
              </w:rPr>
              <w:t>7</w:t>
            </w:r>
          </w:p>
        </w:tc>
        <w:tc>
          <w:tcPr>
            <w:tcW w:w="773" w:type="pct"/>
            <w:shd w:val="clear" w:color="auto" w:fill="auto"/>
            <w:tcMar>
              <w:top w:w="57" w:type="dxa"/>
              <w:left w:w="57" w:type="dxa"/>
              <w:bottom w:w="57" w:type="dxa"/>
              <w:right w:w="57" w:type="dxa"/>
            </w:tcMar>
            <w:vAlign w:val="center"/>
          </w:tcPr>
          <w:p>
            <w:pPr>
              <w:snapToGrid w:val="0"/>
              <w:rPr>
                <w:rFonts w:hint="eastAsia" w:ascii="仿宋_GB2312" w:hAnsi="仿宋_GB2312" w:eastAsia="仿宋_GB2312" w:cs="仿宋_GB2312"/>
                <w:b w:val="0"/>
                <w:bCs w:val="0"/>
                <w:sz w:val="20"/>
                <w:szCs w:val="20"/>
              </w:rPr>
            </w:pPr>
            <w:r>
              <w:rPr>
                <w:rFonts w:hint="eastAsia" w:ascii="仿宋_GB2312" w:hAnsi="仿宋_GB2312" w:eastAsia="仿宋_GB2312" w:cs="仿宋_GB2312"/>
                <w:b w:val="0"/>
                <w:bCs w:val="0"/>
                <w:sz w:val="20"/>
                <w:szCs w:val="20"/>
              </w:rPr>
              <w:t>内蒙古鄂尔多斯上海庙经济开发区</w:t>
            </w:r>
          </w:p>
        </w:tc>
        <w:tc>
          <w:tcPr>
            <w:tcW w:w="358" w:type="pct"/>
            <w:shd w:val="clear" w:color="auto" w:fill="auto"/>
            <w:tcMar>
              <w:top w:w="57" w:type="dxa"/>
              <w:left w:w="57" w:type="dxa"/>
              <w:bottom w:w="57" w:type="dxa"/>
              <w:right w:w="57" w:type="dxa"/>
            </w:tcMar>
            <w:vAlign w:val="center"/>
          </w:tcPr>
          <w:p>
            <w:pPr>
              <w:snapToGrid w:val="0"/>
              <w:jc w:val="center"/>
              <w:rPr>
                <w:rFonts w:hint="eastAsia" w:ascii="仿宋_GB2312" w:hAnsi="仿宋_GB2312" w:eastAsia="仿宋_GB2312" w:cs="仿宋_GB2312"/>
                <w:b w:val="0"/>
                <w:bCs w:val="0"/>
                <w:sz w:val="20"/>
                <w:szCs w:val="20"/>
              </w:rPr>
            </w:pPr>
            <w:r>
              <w:rPr>
                <w:rFonts w:hint="eastAsia" w:ascii="仿宋_GB2312" w:hAnsi="仿宋_GB2312" w:eastAsia="仿宋_GB2312" w:cs="仿宋_GB2312"/>
                <w:b w:val="0"/>
                <w:bCs w:val="0"/>
                <w:sz w:val="20"/>
                <w:szCs w:val="20"/>
              </w:rPr>
              <w:t>1</w:t>
            </w:r>
          </w:p>
        </w:tc>
        <w:tc>
          <w:tcPr>
            <w:tcW w:w="817" w:type="pct"/>
            <w:shd w:val="clear" w:color="auto" w:fill="auto"/>
            <w:tcMar>
              <w:top w:w="57" w:type="dxa"/>
              <w:left w:w="57" w:type="dxa"/>
              <w:bottom w:w="57" w:type="dxa"/>
              <w:right w:w="57" w:type="dxa"/>
            </w:tcMar>
            <w:vAlign w:val="center"/>
          </w:tcPr>
          <w:p>
            <w:pPr>
              <w:snapToGrid w:val="0"/>
              <w:rPr>
                <w:rFonts w:hint="eastAsia" w:ascii="仿宋_GB2312" w:hAnsi="仿宋_GB2312" w:eastAsia="仿宋_GB2312" w:cs="仿宋_GB2312"/>
                <w:b w:val="0"/>
                <w:bCs w:val="0"/>
                <w:sz w:val="20"/>
                <w:szCs w:val="20"/>
              </w:rPr>
            </w:pPr>
            <w:r>
              <w:rPr>
                <w:rFonts w:hint="eastAsia" w:ascii="仿宋_GB2312" w:hAnsi="仿宋_GB2312" w:eastAsia="仿宋_GB2312" w:cs="仿宋_GB2312"/>
                <w:b w:val="0"/>
                <w:bCs w:val="0"/>
                <w:sz w:val="20"/>
                <w:szCs w:val="20"/>
              </w:rPr>
              <w:t>上海庙能源化工园</w:t>
            </w:r>
          </w:p>
        </w:tc>
        <w:tc>
          <w:tcPr>
            <w:tcW w:w="1800" w:type="pct"/>
            <w:shd w:val="clear" w:color="auto" w:fill="auto"/>
            <w:tcMar>
              <w:top w:w="57" w:type="dxa"/>
              <w:left w:w="57" w:type="dxa"/>
              <w:bottom w:w="57" w:type="dxa"/>
              <w:right w:w="57" w:type="dxa"/>
            </w:tcMar>
            <w:vAlign w:val="center"/>
          </w:tcPr>
          <w:p>
            <w:pPr>
              <w:snapToGrid w:val="0"/>
              <w:rPr>
                <w:rFonts w:hint="eastAsia" w:ascii="仿宋_GB2312" w:hAnsi="仿宋_GB2312" w:eastAsia="仿宋_GB2312" w:cs="仿宋_GB2312"/>
                <w:b w:val="0"/>
                <w:bCs w:val="0"/>
                <w:sz w:val="20"/>
                <w:szCs w:val="20"/>
              </w:rPr>
            </w:pPr>
            <w:r>
              <w:rPr>
                <w:rFonts w:hint="eastAsia" w:ascii="仿宋_GB2312" w:hAnsi="仿宋_GB2312" w:eastAsia="仿宋_GB2312" w:cs="仿宋_GB2312"/>
                <w:b w:val="0"/>
                <w:bCs w:val="0"/>
                <w:sz w:val="20"/>
                <w:szCs w:val="20"/>
              </w:rPr>
              <w:t>煤电、煤化工（焦化）</w:t>
            </w:r>
          </w:p>
        </w:tc>
        <w:tc>
          <w:tcPr>
            <w:tcW w:w="898" w:type="pct"/>
            <w:shd w:val="clear" w:color="auto" w:fill="auto"/>
            <w:tcMar>
              <w:top w:w="57" w:type="dxa"/>
              <w:left w:w="57" w:type="dxa"/>
              <w:bottom w:w="57" w:type="dxa"/>
              <w:right w:w="57" w:type="dxa"/>
            </w:tcMar>
            <w:vAlign w:val="center"/>
          </w:tcPr>
          <w:p>
            <w:pPr>
              <w:widowControl/>
              <w:snapToGrid w:val="0"/>
              <w:textAlignment w:val="center"/>
              <w:rPr>
                <w:rFonts w:hint="eastAsia" w:ascii="仿宋_GB2312" w:hAnsi="仿宋_GB2312" w:eastAsia="仿宋_GB2312" w:cs="仿宋_GB2312"/>
                <w:b w:val="0"/>
                <w:bCs w:val="0"/>
                <w:kern w:val="24"/>
                <w:sz w:val="20"/>
                <w:szCs w:val="20"/>
              </w:rPr>
            </w:pPr>
            <w:r>
              <w:rPr>
                <w:rFonts w:hint="eastAsia" w:ascii="仿宋_GB2312" w:hAnsi="仿宋_GB2312" w:eastAsia="仿宋_GB2312" w:cs="仿宋_GB2312"/>
                <w:b w:val="0"/>
                <w:bCs w:val="0"/>
                <w:kern w:val="24"/>
                <w:sz w:val="20"/>
                <w:szCs w:val="20"/>
              </w:rPr>
              <w:t>能源化工、新材料</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57" w:type="dxa"/>
            <w:bottom w:w="0" w:type="dxa"/>
            <w:right w:w="57" w:type="dxa"/>
          </w:tblCellMar>
        </w:tblPrEx>
        <w:trPr>
          <w:cantSplit/>
          <w:trHeight w:val="397" w:hRule="atLeast"/>
          <w:jc w:val="center"/>
        </w:trPr>
        <w:tc>
          <w:tcPr>
            <w:tcW w:w="354" w:type="pct"/>
            <w:vMerge w:val="restart"/>
            <w:shd w:val="clear" w:color="auto" w:fill="auto"/>
            <w:tcMar>
              <w:top w:w="57" w:type="dxa"/>
              <w:left w:w="57" w:type="dxa"/>
              <w:bottom w:w="57" w:type="dxa"/>
              <w:right w:w="57" w:type="dxa"/>
            </w:tcMar>
            <w:vAlign w:val="center"/>
          </w:tcPr>
          <w:p>
            <w:pPr>
              <w:snapToGrid w:val="0"/>
              <w:jc w:val="center"/>
              <w:rPr>
                <w:rFonts w:hint="eastAsia" w:ascii="仿宋_GB2312" w:hAnsi="仿宋_GB2312" w:eastAsia="仿宋_GB2312" w:cs="仿宋_GB2312"/>
                <w:b w:val="0"/>
                <w:bCs w:val="0"/>
                <w:sz w:val="20"/>
                <w:szCs w:val="20"/>
              </w:rPr>
            </w:pPr>
            <w:r>
              <w:rPr>
                <w:rFonts w:hint="eastAsia" w:ascii="仿宋_GB2312" w:hAnsi="仿宋_GB2312" w:eastAsia="仿宋_GB2312" w:cs="仿宋_GB2312"/>
                <w:b w:val="0"/>
                <w:bCs w:val="0"/>
                <w:sz w:val="20"/>
                <w:szCs w:val="20"/>
              </w:rPr>
              <w:t>8</w:t>
            </w:r>
          </w:p>
        </w:tc>
        <w:tc>
          <w:tcPr>
            <w:tcW w:w="773" w:type="pct"/>
            <w:vMerge w:val="restart"/>
            <w:shd w:val="clear" w:color="auto" w:fill="auto"/>
            <w:tcMar>
              <w:top w:w="57" w:type="dxa"/>
              <w:left w:w="57" w:type="dxa"/>
              <w:bottom w:w="57" w:type="dxa"/>
              <w:right w:w="57" w:type="dxa"/>
            </w:tcMar>
            <w:vAlign w:val="center"/>
          </w:tcPr>
          <w:p>
            <w:pPr>
              <w:snapToGrid w:val="0"/>
              <w:rPr>
                <w:rFonts w:hint="eastAsia" w:ascii="仿宋_GB2312" w:hAnsi="仿宋_GB2312" w:eastAsia="仿宋_GB2312" w:cs="仿宋_GB2312"/>
                <w:b w:val="0"/>
                <w:bCs w:val="0"/>
                <w:sz w:val="20"/>
                <w:szCs w:val="20"/>
              </w:rPr>
            </w:pPr>
            <w:r>
              <w:rPr>
                <w:rFonts w:hint="eastAsia" w:ascii="仿宋_GB2312" w:hAnsi="仿宋_GB2312" w:eastAsia="仿宋_GB2312" w:cs="仿宋_GB2312"/>
                <w:b w:val="0"/>
                <w:bCs w:val="0"/>
                <w:sz w:val="20"/>
                <w:szCs w:val="20"/>
              </w:rPr>
              <w:t>内蒙古鄂尔多斯苏里格经济开发区</w:t>
            </w:r>
          </w:p>
        </w:tc>
        <w:tc>
          <w:tcPr>
            <w:tcW w:w="358" w:type="pct"/>
            <w:vMerge w:val="restart"/>
            <w:shd w:val="clear" w:color="auto" w:fill="auto"/>
            <w:tcMar>
              <w:top w:w="57" w:type="dxa"/>
              <w:left w:w="57" w:type="dxa"/>
              <w:bottom w:w="57" w:type="dxa"/>
              <w:right w:w="57" w:type="dxa"/>
            </w:tcMar>
            <w:vAlign w:val="center"/>
          </w:tcPr>
          <w:p>
            <w:pPr>
              <w:snapToGrid w:val="0"/>
              <w:jc w:val="center"/>
              <w:rPr>
                <w:rFonts w:hint="eastAsia" w:ascii="仿宋_GB2312" w:hAnsi="仿宋_GB2312" w:eastAsia="仿宋_GB2312" w:cs="仿宋_GB2312"/>
                <w:b w:val="0"/>
                <w:bCs w:val="0"/>
                <w:sz w:val="20"/>
                <w:szCs w:val="20"/>
              </w:rPr>
            </w:pPr>
            <w:r>
              <w:rPr>
                <w:rFonts w:hint="eastAsia" w:ascii="仿宋_GB2312" w:hAnsi="仿宋_GB2312" w:eastAsia="仿宋_GB2312" w:cs="仿宋_GB2312"/>
                <w:b w:val="0"/>
                <w:bCs w:val="0"/>
                <w:sz w:val="20"/>
                <w:szCs w:val="20"/>
              </w:rPr>
              <w:t>2</w:t>
            </w:r>
          </w:p>
        </w:tc>
        <w:tc>
          <w:tcPr>
            <w:tcW w:w="817" w:type="pct"/>
            <w:shd w:val="clear" w:color="auto" w:fill="auto"/>
            <w:tcMar>
              <w:top w:w="57" w:type="dxa"/>
              <w:left w:w="57" w:type="dxa"/>
              <w:bottom w:w="57" w:type="dxa"/>
              <w:right w:w="57" w:type="dxa"/>
            </w:tcMar>
            <w:vAlign w:val="center"/>
          </w:tcPr>
          <w:p>
            <w:pPr>
              <w:snapToGrid w:val="0"/>
              <w:rPr>
                <w:rFonts w:hint="eastAsia" w:ascii="仿宋_GB2312" w:hAnsi="仿宋_GB2312" w:eastAsia="仿宋_GB2312" w:cs="仿宋_GB2312"/>
                <w:b w:val="0"/>
                <w:bCs w:val="0"/>
                <w:sz w:val="20"/>
                <w:szCs w:val="20"/>
              </w:rPr>
            </w:pPr>
            <w:r>
              <w:rPr>
                <w:rFonts w:hint="eastAsia" w:ascii="仿宋_GB2312" w:hAnsi="仿宋_GB2312" w:eastAsia="仿宋_GB2312" w:cs="仿宋_GB2312"/>
                <w:b w:val="0"/>
                <w:bCs w:val="0"/>
                <w:sz w:val="20"/>
                <w:szCs w:val="20"/>
              </w:rPr>
              <w:t>苏里格产业园</w:t>
            </w:r>
          </w:p>
        </w:tc>
        <w:tc>
          <w:tcPr>
            <w:tcW w:w="1800" w:type="pct"/>
            <w:shd w:val="clear" w:color="auto" w:fill="auto"/>
            <w:tcMar>
              <w:top w:w="57" w:type="dxa"/>
              <w:left w:w="57" w:type="dxa"/>
              <w:bottom w:w="57" w:type="dxa"/>
              <w:right w:w="57" w:type="dxa"/>
            </w:tcMar>
            <w:vAlign w:val="center"/>
          </w:tcPr>
          <w:p>
            <w:pPr>
              <w:snapToGrid w:val="0"/>
              <w:rPr>
                <w:rFonts w:hint="eastAsia" w:ascii="仿宋_GB2312" w:hAnsi="仿宋_GB2312" w:eastAsia="仿宋_GB2312" w:cs="仿宋_GB2312"/>
                <w:b w:val="0"/>
                <w:bCs w:val="0"/>
                <w:sz w:val="20"/>
                <w:szCs w:val="20"/>
              </w:rPr>
            </w:pPr>
            <w:r>
              <w:rPr>
                <w:rFonts w:hint="eastAsia" w:ascii="仿宋_GB2312" w:hAnsi="仿宋_GB2312" w:eastAsia="仿宋_GB2312" w:cs="仿宋_GB2312"/>
                <w:b w:val="0"/>
                <w:bCs w:val="0"/>
                <w:sz w:val="20"/>
                <w:szCs w:val="20"/>
              </w:rPr>
              <w:t>煤化工（煤制甲醇、烯烃）、新材料（煤基）、清洁能源化工（天然气化工）、清洁能源（液化天然气）</w:t>
            </w:r>
          </w:p>
        </w:tc>
        <w:tc>
          <w:tcPr>
            <w:tcW w:w="898" w:type="pct"/>
            <w:shd w:val="clear" w:color="auto" w:fill="auto"/>
            <w:tcMar>
              <w:top w:w="57" w:type="dxa"/>
              <w:left w:w="57" w:type="dxa"/>
              <w:bottom w:w="57" w:type="dxa"/>
              <w:right w:w="57" w:type="dxa"/>
            </w:tcMar>
            <w:vAlign w:val="center"/>
          </w:tcPr>
          <w:p>
            <w:pPr>
              <w:widowControl/>
              <w:snapToGrid w:val="0"/>
              <w:textAlignment w:val="center"/>
              <w:rPr>
                <w:rFonts w:hint="eastAsia" w:ascii="仿宋_GB2312" w:hAnsi="仿宋_GB2312" w:eastAsia="仿宋_GB2312" w:cs="仿宋_GB2312"/>
                <w:b w:val="0"/>
                <w:bCs w:val="0"/>
                <w:kern w:val="24"/>
                <w:sz w:val="20"/>
                <w:szCs w:val="20"/>
              </w:rPr>
            </w:pPr>
            <w:r>
              <w:rPr>
                <w:rFonts w:hint="eastAsia" w:ascii="仿宋_GB2312" w:hAnsi="仿宋_GB2312" w:eastAsia="仿宋_GB2312" w:cs="仿宋_GB2312"/>
                <w:b w:val="0"/>
                <w:bCs w:val="0"/>
                <w:kern w:val="24"/>
                <w:sz w:val="20"/>
                <w:szCs w:val="20"/>
              </w:rPr>
              <w:t>能源化工、新材料</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57" w:type="dxa"/>
            <w:bottom w:w="0" w:type="dxa"/>
            <w:right w:w="57" w:type="dxa"/>
          </w:tblCellMar>
        </w:tblPrEx>
        <w:trPr>
          <w:cantSplit/>
          <w:trHeight w:val="397" w:hRule="atLeast"/>
          <w:jc w:val="center"/>
        </w:trPr>
        <w:tc>
          <w:tcPr>
            <w:tcW w:w="354" w:type="pct"/>
            <w:vMerge w:val="continue"/>
            <w:shd w:val="clear" w:color="auto" w:fill="auto"/>
            <w:tcMar>
              <w:left w:w="57" w:type="dxa"/>
              <w:right w:w="57" w:type="dxa"/>
            </w:tcMar>
            <w:vAlign w:val="center"/>
          </w:tcPr>
          <w:p>
            <w:pPr>
              <w:snapToGrid w:val="0"/>
              <w:rPr>
                <w:rFonts w:hint="eastAsia" w:ascii="仿宋_GB2312" w:hAnsi="仿宋_GB2312" w:eastAsia="仿宋_GB2312" w:cs="仿宋_GB2312"/>
                <w:b w:val="0"/>
                <w:bCs w:val="0"/>
                <w:sz w:val="20"/>
                <w:szCs w:val="20"/>
              </w:rPr>
            </w:pPr>
          </w:p>
        </w:tc>
        <w:tc>
          <w:tcPr>
            <w:tcW w:w="773" w:type="pct"/>
            <w:vMerge w:val="continue"/>
            <w:shd w:val="clear" w:color="auto" w:fill="auto"/>
            <w:tcMar>
              <w:left w:w="57" w:type="dxa"/>
              <w:right w:w="57" w:type="dxa"/>
            </w:tcMar>
            <w:vAlign w:val="center"/>
          </w:tcPr>
          <w:p>
            <w:pPr>
              <w:snapToGrid w:val="0"/>
              <w:rPr>
                <w:rFonts w:hint="eastAsia" w:ascii="仿宋_GB2312" w:hAnsi="仿宋_GB2312" w:eastAsia="仿宋_GB2312" w:cs="仿宋_GB2312"/>
                <w:b w:val="0"/>
                <w:bCs w:val="0"/>
                <w:sz w:val="20"/>
                <w:szCs w:val="20"/>
              </w:rPr>
            </w:pPr>
          </w:p>
        </w:tc>
        <w:tc>
          <w:tcPr>
            <w:tcW w:w="358" w:type="pct"/>
            <w:vMerge w:val="continue"/>
            <w:shd w:val="clear" w:color="auto" w:fill="auto"/>
            <w:tcMar>
              <w:left w:w="57" w:type="dxa"/>
              <w:right w:w="57" w:type="dxa"/>
            </w:tcMar>
            <w:vAlign w:val="center"/>
          </w:tcPr>
          <w:p>
            <w:pPr>
              <w:snapToGrid w:val="0"/>
              <w:jc w:val="center"/>
              <w:rPr>
                <w:rFonts w:hint="eastAsia" w:ascii="仿宋_GB2312" w:hAnsi="仿宋_GB2312" w:eastAsia="仿宋_GB2312" w:cs="仿宋_GB2312"/>
                <w:b w:val="0"/>
                <w:bCs w:val="0"/>
                <w:sz w:val="20"/>
                <w:szCs w:val="20"/>
              </w:rPr>
            </w:pPr>
          </w:p>
        </w:tc>
        <w:tc>
          <w:tcPr>
            <w:tcW w:w="817" w:type="pct"/>
            <w:shd w:val="clear" w:color="auto" w:fill="auto"/>
            <w:tcMar>
              <w:top w:w="57" w:type="dxa"/>
              <w:left w:w="57" w:type="dxa"/>
              <w:bottom w:w="57" w:type="dxa"/>
              <w:right w:w="57" w:type="dxa"/>
            </w:tcMar>
            <w:vAlign w:val="center"/>
          </w:tcPr>
          <w:p>
            <w:pPr>
              <w:snapToGrid w:val="0"/>
              <w:rPr>
                <w:rFonts w:hint="eastAsia" w:ascii="仿宋_GB2312" w:hAnsi="仿宋_GB2312" w:eastAsia="仿宋_GB2312" w:cs="仿宋_GB2312"/>
                <w:b w:val="0"/>
                <w:bCs w:val="0"/>
                <w:sz w:val="20"/>
                <w:szCs w:val="20"/>
              </w:rPr>
            </w:pPr>
            <w:r>
              <w:rPr>
                <w:rFonts w:hint="eastAsia" w:ascii="仿宋_GB2312" w:hAnsi="仿宋_GB2312" w:eastAsia="仿宋_GB2312" w:cs="仿宋_GB2312"/>
                <w:b w:val="0"/>
                <w:bCs w:val="0"/>
                <w:sz w:val="20"/>
                <w:szCs w:val="20"/>
              </w:rPr>
              <w:t>纳林河产业园</w:t>
            </w:r>
          </w:p>
        </w:tc>
        <w:tc>
          <w:tcPr>
            <w:tcW w:w="1800" w:type="pct"/>
            <w:shd w:val="clear" w:color="auto" w:fill="auto"/>
            <w:tcMar>
              <w:top w:w="57" w:type="dxa"/>
              <w:left w:w="57" w:type="dxa"/>
              <w:bottom w:w="57" w:type="dxa"/>
              <w:right w:w="57" w:type="dxa"/>
            </w:tcMar>
            <w:vAlign w:val="center"/>
          </w:tcPr>
          <w:p>
            <w:pPr>
              <w:snapToGrid w:val="0"/>
              <w:rPr>
                <w:rFonts w:hint="eastAsia" w:ascii="仿宋_GB2312" w:hAnsi="仿宋_GB2312" w:eastAsia="仿宋_GB2312" w:cs="仿宋_GB2312"/>
                <w:b w:val="0"/>
                <w:bCs w:val="0"/>
                <w:sz w:val="20"/>
                <w:szCs w:val="20"/>
              </w:rPr>
            </w:pPr>
            <w:r>
              <w:rPr>
                <w:rFonts w:hint="eastAsia" w:ascii="仿宋_GB2312" w:hAnsi="仿宋_GB2312" w:eastAsia="仿宋_GB2312" w:cs="仿宋_GB2312"/>
                <w:b w:val="0"/>
                <w:bCs w:val="0"/>
                <w:sz w:val="20"/>
                <w:szCs w:val="20"/>
              </w:rPr>
              <w:t>煤化工（尿素）、盐碱化工</w:t>
            </w:r>
          </w:p>
        </w:tc>
        <w:tc>
          <w:tcPr>
            <w:tcW w:w="898" w:type="pct"/>
            <w:shd w:val="clear" w:color="auto" w:fill="auto"/>
            <w:tcMar>
              <w:left w:w="57" w:type="dxa"/>
              <w:right w:w="57" w:type="dxa"/>
            </w:tcMar>
            <w:vAlign w:val="center"/>
          </w:tcPr>
          <w:p>
            <w:pPr>
              <w:widowControl/>
              <w:snapToGrid w:val="0"/>
              <w:textAlignment w:val="center"/>
              <w:rPr>
                <w:rFonts w:hint="eastAsia" w:ascii="仿宋_GB2312" w:hAnsi="仿宋_GB2312" w:eastAsia="仿宋_GB2312" w:cs="仿宋_GB2312"/>
                <w:b w:val="0"/>
                <w:bCs w:val="0"/>
                <w:kern w:val="24"/>
                <w:sz w:val="20"/>
                <w:szCs w:val="20"/>
              </w:rPr>
            </w:pPr>
            <w:r>
              <w:rPr>
                <w:rFonts w:hint="eastAsia" w:ascii="仿宋_GB2312" w:hAnsi="仿宋_GB2312" w:eastAsia="仿宋_GB2312" w:cs="仿宋_GB2312"/>
                <w:b w:val="0"/>
                <w:bCs w:val="0"/>
                <w:kern w:val="24"/>
                <w:sz w:val="20"/>
                <w:szCs w:val="20"/>
              </w:rPr>
              <w:t>化工、煤炭清洁高效利用</w:t>
            </w:r>
          </w:p>
        </w:tc>
      </w:tr>
    </w:tbl>
    <w:p>
      <w:pPr>
        <w:spacing w:line="560" w:lineRule="exact"/>
        <w:ind w:firstLine="640" w:firstLineChars="200"/>
        <w:rPr>
          <w:rFonts w:ascii="Times New Roman" w:hAnsi="Times New Roman" w:eastAsia="楷体_GB2312" w:cs="Times New Roman"/>
          <w:sz w:val="32"/>
          <w:szCs w:val="28"/>
        </w:rPr>
        <w:sectPr>
          <w:pgSz w:w="16838" w:h="11906" w:orient="landscape"/>
          <w:pgMar w:top="2098" w:right="1474" w:bottom="1984" w:left="1587" w:header="851" w:footer="992" w:gutter="0"/>
          <w:pgBorders>
            <w:top w:val="none" w:sz="0" w:space="0"/>
            <w:left w:val="none" w:sz="0" w:space="0"/>
            <w:bottom w:val="none" w:sz="0" w:space="0"/>
            <w:right w:val="none" w:sz="0" w:space="0"/>
          </w:pgBorders>
          <w:cols w:space="425" w:num="1"/>
          <w:docGrid w:type="lines" w:linePitch="312" w:charSpace="0"/>
        </w:sectPr>
      </w:pPr>
    </w:p>
    <w:p>
      <w:pPr>
        <w:spacing w:line="560" w:lineRule="exact"/>
        <w:outlineLvl w:val="1"/>
        <w:rPr>
          <w:rFonts w:hint="eastAsia" w:ascii="黑体" w:hAnsi="黑体" w:eastAsia="黑体" w:cs="黑体"/>
          <w:b w:val="0"/>
          <w:bCs/>
          <w:sz w:val="32"/>
          <w:szCs w:val="28"/>
          <w:lang w:val="en-US" w:eastAsia="zh-CN"/>
        </w:rPr>
      </w:pPr>
      <w:bookmarkStart w:id="43" w:name="_Toc19134"/>
      <w:r>
        <w:rPr>
          <w:rFonts w:hint="eastAsia" w:ascii="黑体" w:hAnsi="黑体" w:eastAsia="黑体" w:cs="黑体"/>
          <w:b w:val="0"/>
          <w:bCs/>
          <w:sz w:val="32"/>
          <w:szCs w:val="28"/>
          <w:lang w:val="en-US" w:eastAsia="zh-CN"/>
        </w:rPr>
        <w:t>附件2</w:t>
      </w:r>
    </w:p>
    <w:p>
      <w:pPr>
        <w:spacing w:line="560" w:lineRule="exact"/>
        <w:outlineLvl w:val="1"/>
        <w:rPr>
          <w:rFonts w:hint="eastAsia" w:ascii="黑体" w:hAnsi="黑体" w:eastAsia="黑体" w:cs="黑体"/>
          <w:b w:val="0"/>
          <w:bCs/>
          <w:sz w:val="32"/>
          <w:szCs w:val="28"/>
          <w:lang w:val="en-US" w:eastAsia="zh-CN"/>
        </w:rPr>
      </w:pPr>
    </w:p>
    <w:p>
      <w:pPr>
        <w:spacing w:line="560" w:lineRule="exact"/>
        <w:jc w:val="center"/>
        <w:outlineLvl w:val="1"/>
        <w:rPr>
          <w:rFonts w:hint="eastAsia" w:ascii="方正小标宋_GBK" w:hAnsi="方正小标宋_GBK" w:eastAsia="方正小标宋_GBK" w:cs="方正小标宋_GBK"/>
          <w:b w:val="0"/>
          <w:bCs/>
          <w:sz w:val="39"/>
          <w:szCs w:val="39"/>
        </w:rPr>
      </w:pPr>
      <w:r>
        <w:rPr>
          <w:rFonts w:hint="eastAsia" w:ascii="方正小标宋_GBK" w:hAnsi="方正小标宋_GBK" w:eastAsia="方正小标宋_GBK" w:cs="方正小标宋_GBK"/>
          <w:b w:val="0"/>
          <w:bCs/>
          <w:sz w:val="39"/>
          <w:szCs w:val="39"/>
        </w:rPr>
        <w:t>鄂尔多斯市工业园区主导产业分布图</w:t>
      </w:r>
      <w:bookmarkEnd w:id="43"/>
    </w:p>
    <w:p>
      <w:pPr>
        <w:jc w:val="center"/>
        <w:rPr>
          <w:rFonts w:ascii="Times New Roman" w:hAnsi="Times New Roman" w:cs="Times New Roman"/>
        </w:rPr>
      </w:pPr>
      <w:r>
        <w:rPr>
          <w:rFonts w:ascii="Times New Roman" w:hAnsi="Times New Roman" w:eastAsia="仿宋_GB2312" w:cs="Times New Roman"/>
          <w:sz w:val="28"/>
          <w:szCs w:val="28"/>
        </w:rPr>
        <w:drawing>
          <wp:inline distT="0" distB="0" distL="0" distR="0">
            <wp:extent cx="6766560" cy="5077460"/>
            <wp:effectExtent l="0" t="0" r="8890" b="1524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10">
                      <a:extLst>
                        <a:ext uri="{28A0092B-C50C-407E-A947-70E740481C1C}">
                          <a14:useLocalDpi xmlns:a14="http://schemas.microsoft.com/office/drawing/2010/main" val="0"/>
                        </a:ext>
                      </a:extLst>
                    </a:blip>
                    <a:srcRect l="1560" t="2605" r="1863" b="1986"/>
                    <a:stretch>
                      <a:fillRect/>
                    </a:stretch>
                  </pic:blipFill>
                  <pic:spPr>
                    <a:xfrm rot="16200000">
                      <a:off x="0" y="0"/>
                      <a:ext cx="6766560" cy="5077460"/>
                    </a:xfrm>
                    <a:prstGeom prst="rect">
                      <a:avLst/>
                    </a:prstGeom>
                    <a:noFill/>
                    <a:ln>
                      <a:noFill/>
                    </a:ln>
                  </pic:spPr>
                </pic:pic>
              </a:graphicData>
            </a:graphic>
          </wp:inline>
        </w:drawing>
      </w:r>
    </w:p>
    <w:sectPr>
      <w:pgSz w:w="11906" w:h="16838"/>
      <w:pgMar w:top="2098" w:right="1474" w:bottom="1984" w:left="1587"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alibri Light">
    <w:panose1 w:val="020F03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楷体_GBK">
    <w:altName w:val="微软雅黑"/>
    <w:panose1 w:val="03000509000000000000"/>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t>—</w:t>
                          </w:r>
                          <w:r>
                            <w:fldChar w:fldCharType="begin"/>
                          </w:r>
                          <w:r>
                            <w:instrText xml:space="preserve"> PAGE  \* MERGEFORMAT </w:instrText>
                          </w:r>
                          <w:r>
                            <w:fldChar w:fldCharType="separate"/>
                          </w:r>
                          <w:r>
                            <w:t>1</w:t>
                          </w:r>
                          <w:r>
                            <w:fldChar w:fldCharType="end"/>
                          </w:r>
                          <w:r>
                            <w:t>—</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13"/>
                    </w:pPr>
                    <w:r>
                      <w:t>—</w:t>
                    </w:r>
                    <w:r>
                      <w:fldChar w:fldCharType="begin"/>
                    </w:r>
                    <w:r>
                      <w:instrText xml:space="preserve"> PAGE  \* MERGEFORMAT </w:instrText>
                    </w:r>
                    <w:r>
                      <w:fldChar w:fldCharType="separate"/>
                    </w:r>
                    <w:r>
                      <w:t>1</w:t>
                    </w:r>
                    <w:r>
                      <w:fldChar w:fldCharType="end"/>
                    </w:r>
                    <w: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ascii="Times New Roman" w:hAnsi="Times New Roman" w:cs="Times New Roman"/>
        <w:sz w:val="24"/>
      </w:rPr>
    </w:pPr>
    <w:r>
      <w:rPr>
        <w:sz w:val="24"/>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t>—</w:t>
                          </w:r>
                          <w:r>
                            <w:fldChar w:fldCharType="begin"/>
                          </w:r>
                          <w:r>
                            <w:instrText xml:space="preserve"> PAGE  \* MERGEFORMAT </w:instrText>
                          </w:r>
                          <w:r>
                            <w:fldChar w:fldCharType="separate"/>
                          </w:r>
                          <w:r>
                            <w:t>11</w:t>
                          </w:r>
                          <w:r>
                            <w:fldChar w:fldCharType="end"/>
                          </w:r>
                          <w:r>
                            <w:t>—</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pPr>
                      <w:pStyle w:val="13"/>
                    </w:pPr>
                    <w:r>
                      <w:t>—</w:t>
                    </w:r>
                    <w:r>
                      <w:fldChar w:fldCharType="begin"/>
                    </w:r>
                    <w:r>
                      <w:instrText xml:space="preserve"> PAGE  \* MERGEFORMAT </w:instrText>
                    </w:r>
                    <w:r>
                      <w:fldChar w:fldCharType="separate"/>
                    </w:r>
                    <w:r>
                      <w:t>11</w:t>
                    </w:r>
                    <w:r>
                      <w:fldChar w:fldCharType="end"/>
                    </w:r>
                    <w:r>
                      <w:t>—</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10">
    <w:p>
      <w:r>
        <w:separator/>
      </w:r>
    </w:p>
  </w:footnote>
  <w:footnote w:type="continuationSeparator" w:id="11">
    <w:p>
      <w:r>
        <w:continuationSeparator/>
      </w:r>
    </w:p>
  </w:footnote>
  <w:footnote w:id="0">
    <w:p>
      <w:pPr>
        <w:pStyle w:val="17"/>
        <w:rPr>
          <w:rFonts w:ascii="楷体_GB2312" w:eastAsia="楷体_GB2312"/>
          <w:sz w:val="28"/>
          <w:szCs w:val="28"/>
        </w:rPr>
      </w:pPr>
      <w:r>
        <w:rPr>
          <w:rStyle w:val="28"/>
          <w:sz w:val="20"/>
          <w:szCs w:val="20"/>
        </w:rPr>
        <w:footnoteRef/>
      </w:r>
      <w:r>
        <w:rPr>
          <w:rFonts w:hint="eastAsia" w:ascii="楷体_GB2312" w:eastAsia="楷体_GB2312"/>
          <w:sz w:val="28"/>
          <w:szCs w:val="28"/>
        </w:rPr>
        <w:t>不含鄂尔多斯铜川汽车博览园。</w:t>
      </w:r>
    </w:p>
  </w:footnote>
  <w:footnote w:id="1">
    <w:p>
      <w:pPr>
        <w:pStyle w:val="17"/>
        <w:jc w:val="both"/>
        <w:rPr>
          <w:rStyle w:val="28"/>
          <w:rFonts w:ascii="楷体_GB2312" w:eastAsia="楷体_GB2312"/>
          <w:sz w:val="24"/>
          <w:szCs w:val="24"/>
          <w:vertAlign w:val="baseline"/>
        </w:rPr>
      </w:pPr>
      <w:r>
        <w:rPr>
          <w:rStyle w:val="28"/>
          <w:rFonts w:ascii="楷体_GB2312" w:eastAsia="楷体_GB2312"/>
          <w:sz w:val="24"/>
          <w:szCs w:val="24"/>
        </w:rPr>
        <w:footnoteRef/>
      </w:r>
      <w:r>
        <w:rPr>
          <w:rStyle w:val="28"/>
          <w:rFonts w:hint="eastAsia" w:ascii="楷体_GB2312" w:eastAsia="楷体_GB2312"/>
          <w:sz w:val="24"/>
          <w:szCs w:val="24"/>
          <w:vertAlign w:val="baseline"/>
        </w:rPr>
        <w:t>“两高两低”：高耗能、高排放，低产出、低效益</w:t>
      </w:r>
      <w:r>
        <w:rPr>
          <w:rFonts w:ascii="楷体_GB2312" w:eastAsia="楷体_GB2312"/>
          <w:sz w:val="24"/>
          <w:szCs w:val="24"/>
        </w:rPr>
        <w:t>。</w:t>
      </w:r>
    </w:p>
  </w:footnote>
  <w:footnote w:id="2">
    <w:p>
      <w:pPr>
        <w:pStyle w:val="17"/>
        <w:jc w:val="both"/>
        <w:rPr>
          <w:rStyle w:val="28"/>
          <w:rFonts w:ascii="仿宋_GB2312" w:hAnsi="仿宋" w:eastAsia="仿宋_GB2312"/>
          <w:sz w:val="24"/>
          <w:szCs w:val="22"/>
          <w:vertAlign w:val="subscript"/>
        </w:rPr>
      </w:pPr>
      <w:r>
        <w:rPr>
          <w:rStyle w:val="28"/>
          <w:rFonts w:ascii="仿宋_GB2312" w:hAnsi="仿宋" w:eastAsia="仿宋_GB2312"/>
          <w:sz w:val="24"/>
          <w:szCs w:val="22"/>
        </w:rPr>
        <w:footnoteRef/>
      </w:r>
      <w:r>
        <w:rPr>
          <w:rStyle w:val="28"/>
          <w:rFonts w:hint="eastAsia" w:ascii="仿宋_GB2312" w:hAnsi="仿宋" w:eastAsia="仿宋_GB2312"/>
          <w:sz w:val="24"/>
          <w:szCs w:val="22"/>
          <w:vertAlign w:val="baseline"/>
        </w:rPr>
        <w:t>含工业产值超1</w:t>
      </w:r>
      <w:r>
        <w:rPr>
          <w:rStyle w:val="28"/>
          <w:rFonts w:ascii="仿宋_GB2312" w:hAnsi="仿宋" w:eastAsia="仿宋_GB2312"/>
          <w:sz w:val="24"/>
          <w:szCs w:val="22"/>
          <w:vertAlign w:val="baseline"/>
        </w:rPr>
        <w:t>000亿元</w:t>
      </w:r>
      <w:r>
        <w:rPr>
          <w:rStyle w:val="28"/>
          <w:rFonts w:hint="eastAsia" w:ascii="仿宋_GB2312" w:hAnsi="仿宋" w:eastAsia="仿宋_GB2312"/>
          <w:sz w:val="24"/>
          <w:szCs w:val="22"/>
          <w:vertAlign w:val="baseline"/>
        </w:rPr>
        <w:t>的园区数量；</w:t>
      </w:r>
    </w:p>
  </w:footnote>
  <w:footnote w:id="3">
    <w:p>
      <w:pPr>
        <w:pStyle w:val="17"/>
        <w:jc w:val="both"/>
        <w:rPr>
          <w:rFonts w:ascii="仿宋_GB2312" w:hAnsi="仿宋" w:eastAsia="仿宋_GB2312"/>
          <w:sz w:val="20"/>
        </w:rPr>
      </w:pPr>
      <w:r>
        <w:rPr>
          <w:rStyle w:val="28"/>
          <w:rFonts w:hint="eastAsia" w:ascii="仿宋_GB2312" w:hAnsi="仿宋" w:eastAsia="仿宋_GB2312"/>
          <w:sz w:val="20"/>
        </w:rPr>
        <w:footnoteRef/>
      </w:r>
      <w:r>
        <w:rPr>
          <w:rFonts w:hint="eastAsia" w:ascii="仿宋_GB2312" w:hAnsi="仿宋" w:eastAsia="仿宋_GB2312"/>
          <w:sz w:val="20"/>
        </w:rPr>
        <w:t>指整合前的绿色园区数量，5家绿色园区分别为鄂托克经济开发区、内蒙古蒙西高新技术工业园区、大路工业园区、内蒙古达拉特经济开发区、内蒙古准格尔经济开发区；</w:t>
      </w:r>
    </w:p>
  </w:footnote>
  <w:footnote w:id="4">
    <w:p>
      <w:pPr>
        <w:pStyle w:val="17"/>
        <w:jc w:val="both"/>
        <w:rPr>
          <w:rFonts w:ascii="仿宋_GB2312" w:hAnsi="仿宋" w:eastAsia="仿宋_GB2312"/>
          <w:sz w:val="20"/>
        </w:rPr>
      </w:pPr>
      <w:r>
        <w:rPr>
          <w:rStyle w:val="28"/>
          <w:rFonts w:hint="eastAsia" w:ascii="仿宋_GB2312" w:hAnsi="仿宋" w:eastAsia="仿宋_GB2312"/>
          <w:sz w:val="20"/>
        </w:rPr>
        <w:footnoteRef/>
      </w:r>
      <w:r>
        <w:rPr>
          <w:rFonts w:hint="eastAsia" w:ascii="仿宋_GB2312" w:hAnsi="仿宋" w:eastAsia="仿宋_GB2312"/>
          <w:sz w:val="20"/>
        </w:rPr>
        <w:t>指整合后的绿色园区数量。</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FC3510"/>
    <w:multiLevelType w:val="singleLevel"/>
    <w:tmpl w:val="BFFC3510"/>
    <w:lvl w:ilvl="0" w:tentative="0">
      <w:start w:val="2"/>
      <w:numFmt w:val="chineseCounting"/>
      <w:suff w:val="space"/>
      <w:lvlText w:val="第%1节"/>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7"/>
  <w:bordersDoNotSurroundHeader w:val="1"/>
  <w:bordersDoNotSurroundFooter w:val="1"/>
  <w:hideSpellingErrors/>
  <w:documentProtection w:enforcement="0"/>
  <w:defaultTabStop w:val="420"/>
  <w:drawingGridHorizontalSpacing w:val="105"/>
  <w:drawingGridVerticalSpacing w:val="156"/>
  <w:noPunctuationKerning w:val="1"/>
  <w:characterSpacingControl w:val="compressPunctuation"/>
  <w:footnotePr>
    <w:footnote w:id="10"/>
    <w:footnote w:id="11"/>
  </w:footnotePr>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YyODhkOWEzYjQzMjNlMWNjNDBhZDA0NWFjNWNkMTkifQ=="/>
  </w:docVars>
  <w:rsids>
    <w:rsidRoot w:val="00C21BF2"/>
    <w:rsid w:val="00000646"/>
    <w:rsid w:val="0000097D"/>
    <w:rsid w:val="00001DB3"/>
    <w:rsid w:val="0000244D"/>
    <w:rsid w:val="00003A3E"/>
    <w:rsid w:val="00003CCA"/>
    <w:rsid w:val="00004BAC"/>
    <w:rsid w:val="00006C98"/>
    <w:rsid w:val="000113AA"/>
    <w:rsid w:val="000131D2"/>
    <w:rsid w:val="00013E61"/>
    <w:rsid w:val="00014102"/>
    <w:rsid w:val="0001419A"/>
    <w:rsid w:val="000151DF"/>
    <w:rsid w:val="000161D7"/>
    <w:rsid w:val="000162F9"/>
    <w:rsid w:val="00021DDD"/>
    <w:rsid w:val="000223F2"/>
    <w:rsid w:val="00022A99"/>
    <w:rsid w:val="00022CD1"/>
    <w:rsid w:val="00023644"/>
    <w:rsid w:val="000236DC"/>
    <w:rsid w:val="00023F62"/>
    <w:rsid w:val="00024A3B"/>
    <w:rsid w:val="00025001"/>
    <w:rsid w:val="00025D5C"/>
    <w:rsid w:val="0002622A"/>
    <w:rsid w:val="00027C81"/>
    <w:rsid w:val="000322D4"/>
    <w:rsid w:val="00033152"/>
    <w:rsid w:val="00033C17"/>
    <w:rsid w:val="00036D78"/>
    <w:rsid w:val="00037521"/>
    <w:rsid w:val="00037DB2"/>
    <w:rsid w:val="00040C0F"/>
    <w:rsid w:val="000411A5"/>
    <w:rsid w:val="0004342F"/>
    <w:rsid w:val="000435E7"/>
    <w:rsid w:val="00044C70"/>
    <w:rsid w:val="00044FA3"/>
    <w:rsid w:val="00045618"/>
    <w:rsid w:val="0004575B"/>
    <w:rsid w:val="00046AC5"/>
    <w:rsid w:val="00050DC8"/>
    <w:rsid w:val="00051D3A"/>
    <w:rsid w:val="000527F4"/>
    <w:rsid w:val="00053513"/>
    <w:rsid w:val="00053BAF"/>
    <w:rsid w:val="00055212"/>
    <w:rsid w:val="0005549C"/>
    <w:rsid w:val="00055C28"/>
    <w:rsid w:val="00057615"/>
    <w:rsid w:val="00060B7E"/>
    <w:rsid w:val="000622B5"/>
    <w:rsid w:val="00065CDF"/>
    <w:rsid w:val="00067920"/>
    <w:rsid w:val="00070144"/>
    <w:rsid w:val="0007040D"/>
    <w:rsid w:val="000717DA"/>
    <w:rsid w:val="0007219C"/>
    <w:rsid w:val="00072644"/>
    <w:rsid w:val="0007364D"/>
    <w:rsid w:val="0007422C"/>
    <w:rsid w:val="000750AB"/>
    <w:rsid w:val="00077C35"/>
    <w:rsid w:val="00080103"/>
    <w:rsid w:val="000817E6"/>
    <w:rsid w:val="00082489"/>
    <w:rsid w:val="00083D0A"/>
    <w:rsid w:val="0008443B"/>
    <w:rsid w:val="00087B4B"/>
    <w:rsid w:val="00090038"/>
    <w:rsid w:val="000906B3"/>
    <w:rsid w:val="00091F85"/>
    <w:rsid w:val="0009414D"/>
    <w:rsid w:val="00094487"/>
    <w:rsid w:val="000962FE"/>
    <w:rsid w:val="0009636A"/>
    <w:rsid w:val="00097DA5"/>
    <w:rsid w:val="000A0B58"/>
    <w:rsid w:val="000A13A5"/>
    <w:rsid w:val="000A141E"/>
    <w:rsid w:val="000A1847"/>
    <w:rsid w:val="000A3BB5"/>
    <w:rsid w:val="000A45BC"/>
    <w:rsid w:val="000A502F"/>
    <w:rsid w:val="000A543E"/>
    <w:rsid w:val="000A5ED5"/>
    <w:rsid w:val="000B02E5"/>
    <w:rsid w:val="000B1E39"/>
    <w:rsid w:val="000B2A34"/>
    <w:rsid w:val="000B4183"/>
    <w:rsid w:val="000B627D"/>
    <w:rsid w:val="000C1681"/>
    <w:rsid w:val="000C19C5"/>
    <w:rsid w:val="000C21B0"/>
    <w:rsid w:val="000C71C5"/>
    <w:rsid w:val="000C7A8A"/>
    <w:rsid w:val="000D22FF"/>
    <w:rsid w:val="000D6EE9"/>
    <w:rsid w:val="000D7F0A"/>
    <w:rsid w:val="000D7F67"/>
    <w:rsid w:val="000E1FF2"/>
    <w:rsid w:val="000E2EE0"/>
    <w:rsid w:val="000E31C1"/>
    <w:rsid w:val="000E4D95"/>
    <w:rsid w:val="000E5555"/>
    <w:rsid w:val="000E5F0F"/>
    <w:rsid w:val="000E6495"/>
    <w:rsid w:val="000E64E6"/>
    <w:rsid w:val="000E6ACC"/>
    <w:rsid w:val="000F0065"/>
    <w:rsid w:val="000F3766"/>
    <w:rsid w:val="000F39FF"/>
    <w:rsid w:val="000F43FA"/>
    <w:rsid w:val="000F798A"/>
    <w:rsid w:val="000F7FAD"/>
    <w:rsid w:val="00100852"/>
    <w:rsid w:val="00100C98"/>
    <w:rsid w:val="00101E05"/>
    <w:rsid w:val="001050E9"/>
    <w:rsid w:val="0010550E"/>
    <w:rsid w:val="00105526"/>
    <w:rsid w:val="00105607"/>
    <w:rsid w:val="00105B56"/>
    <w:rsid w:val="00107106"/>
    <w:rsid w:val="00107539"/>
    <w:rsid w:val="00110339"/>
    <w:rsid w:val="0011194B"/>
    <w:rsid w:val="001121A1"/>
    <w:rsid w:val="00112D60"/>
    <w:rsid w:val="00114EBA"/>
    <w:rsid w:val="00116399"/>
    <w:rsid w:val="0011665C"/>
    <w:rsid w:val="00117E1C"/>
    <w:rsid w:val="00124553"/>
    <w:rsid w:val="0012518F"/>
    <w:rsid w:val="00125286"/>
    <w:rsid w:val="001266EC"/>
    <w:rsid w:val="00126F6C"/>
    <w:rsid w:val="001310D5"/>
    <w:rsid w:val="001312F1"/>
    <w:rsid w:val="00133827"/>
    <w:rsid w:val="00133EF6"/>
    <w:rsid w:val="001353AF"/>
    <w:rsid w:val="00135D66"/>
    <w:rsid w:val="00141421"/>
    <w:rsid w:val="001414A3"/>
    <w:rsid w:val="0014318C"/>
    <w:rsid w:val="0014353D"/>
    <w:rsid w:val="00143863"/>
    <w:rsid w:val="00143B59"/>
    <w:rsid w:val="0014563A"/>
    <w:rsid w:val="001456AE"/>
    <w:rsid w:val="00146239"/>
    <w:rsid w:val="00147195"/>
    <w:rsid w:val="00147D0D"/>
    <w:rsid w:val="00150D7E"/>
    <w:rsid w:val="00150E12"/>
    <w:rsid w:val="00152881"/>
    <w:rsid w:val="00153D26"/>
    <w:rsid w:val="00153E57"/>
    <w:rsid w:val="00154320"/>
    <w:rsid w:val="001545DD"/>
    <w:rsid w:val="00157952"/>
    <w:rsid w:val="00165302"/>
    <w:rsid w:val="00165C52"/>
    <w:rsid w:val="0016667F"/>
    <w:rsid w:val="00172D1E"/>
    <w:rsid w:val="00174B0C"/>
    <w:rsid w:val="00176DE4"/>
    <w:rsid w:val="00182389"/>
    <w:rsid w:val="0018314D"/>
    <w:rsid w:val="00183D29"/>
    <w:rsid w:val="0018438B"/>
    <w:rsid w:val="00185C6C"/>
    <w:rsid w:val="00186EB3"/>
    <w:rsid w:val="0018727B"/>
    <w:rsid w:val="00187C24"/>
    <w:rsid w:val="00187C37"/>
    <w:rsid w:val="0019170D"/>
    <w:rsid w:val="00191AED"/>
    <w:rsid w:val="001957E1"/>
    <w:rsid w:val="001977E6"/>
    <w:rsid w:val="001A2470"/>
    <w:rsid w:val="001A5803"/>
    <w:rsid w:val="001B00B8"/>
    <w:rsid w:val="001B00FB"/>
    <w:rsid w:val="001B02E0"/>
    <w:rsid w:val="001B29FB"/>
    <w:rsid w:val="001B2B1A"/>
    <w:rsid w:val="001B2DC4"/>
    <w:rsid w:val="001B432C"/>
    <w:rsid w:val="001B4B7D"/>
    <w:rsid w:val="001B5380"/>
    <w:rsid w:val="001B5AA8"/>
    <w:rsid w:val="001C061A"/>
    <w:rsid w:val="001C1A58"/>
    <w:rsid w:val="001C1E6B"/>
    <w:rsid w:val="001C2C80"/>
    <w:rsid w:val="001C2C81"/>
    <w:rsid w:val="001C42AB"/>
    <w:rsid w:val="001C480F"/>
    <w:rsid w:val="001C5A1D"/>
    <w:rsid w:val="001C7100"/>
    <w:rsid w:val="001D0365"/>
    <w:rsid w:val="001D0737"/>
    <w:rsid w:val="001D07B2"/>
    <w:rsid w:val="001D18C5"/>
    <w:rsid w:val="001D355F"/>
    <w:rsid w:val="001D3600"/>
    <w:rsid w:val="001D4921"/>
    <w:rsid w:val="001D6174"/>
    <w:rsid w:val="001E076E"/>
    <w:rsid w:val="001E0C96"/>
    <w:rsid w:val="001E1C99"/>
    <w:rsid w:val="001E2858"/>
    <w:rsid w:val="001E4FD3"/>
    <w:rsid w:val="001E6AD7"/>
    <w:rsid w:val="001E6D54"/>
    <w:rsid w:val="001F26A9"/>
    <w:rsid w:val="001F3B8B"/>
    <w:rsid w:val="001F3E12"/>
    <w:rsid w:val="001F3F35"/>
    <w:rsid w:val="001F7BFD"/>
    <w:rsid w:val="00200329"/>
    <w:rsid w:val="00200AC9"/>
    <w:rsid w:val="00202213"/>
    <w:rsid w:val="00202348"/>
    <w:rsid w:val="00205296"/>
    <w:rsid w:val="002054C8"/>
    <w:rsid w:val="00205B82"/>
    <w:rsid w:val="0020615B"/>
    <w:rsid w:val="00207490"/>
    <w:rsid w:val="002103A4"/>
    <w:rsid w:val="00210F1C"/>
    <w:rsid w:val="00212DEE"/>
    <w:rsid w:val="0021385F"/>
    <w:rsid w:val="0021394F"/>
    <w:rsid w:val="00215683"/>
    <w:rsid w:val="00216AC2"/>
    <w:rsid w:val="002172B2"/>
    <w:rsid w:val="00217D67"/>
    <w:rsid w:val="002215FB"/>
    <w:rsid w:val="00222FB5"/>
    <w:rsid w:val="00223E75"/>
    <w:rsid w:val="002251A9"/>
    <w:rsid w:val="00226A9F"/>
    <w:rsid w:val="00227405"/>
    <w:rsid w:val="00227CFE"/>
    <w:rsid w:val="00230408"/>
    <w:rsid w:val="0023416C"/>
    <w:rsid w:val="002344CF"/>
    <w:rsid w:val="0023462F"/>
    <w:rsid w:val="00234A05"/>
    <w:rsid w:val="00235AD6"/>
    <w:rsid w:val="00236C89"/>
    <w:rsid w:val="002415FF"/>
    <w:rsid w:val="002417D1"/>
    <w:rsid w:val="002420C3"/>
    <w:rsid w:val="00242154"/>
    <w:rsid w:val="002452C8"/>
    <w:rsid w:val="00247AF6"/>
    <w:rsid w:val="00250191"/>
    <w:rsid w:val="00253479"/>
    <w:rsid w:val="002540A0"/>
    <w:rsid w:val="00255FA9"/>
    <w:rsid w:val="0025622F"/>
    <w:rsid w:val="00256A8E"/>
    <w:rsid w:val="002574F9"/>
    <w:rsid w:val="00257DEC"/>
    <w:rsid w:val="00260B09"/>
    <w:rsid w:val="00261098"/>
    <w:rsid w:val="002639A6"/>
    <w:rsid w:val="002639C8"/>
    <w:rsid w:val="002656AD"/>
    <w:rsid w:val="00267654"/>
    <w:rsid w:val="00270F69"/>
    <w:rsid w:val="002735D2"/>
    <w:rsid w:val="00273DC0"/>
    <w:rsid w:val="0027426F"/>
    <w:rsid w:val="00274684"/>
    <w:rsid w:val="002749C1"/>
    <w:rsid w:val="00275C67"/>
    <w:rsid w:val="00275E60"/>
    <w:rsid w:val="002760A3"/>
    <w:rsid w:val="002831C4"/>
    <w:rsid w:val="002837F8"/>
    <w:rsid w:val="00284C3C"/>
    <w:rsid w:val="00286F98"/>
    <w:rsid w:val="00287F40"/>
    <w:rsid w:val="0029200A"/>
    <w:rsid w:val="00292934"/>
    <w:rsid w:val="00293C99"/>
    <w:rsid w:val="00293C9C"/>
    <w:rsid w:val="002945EB"/>
    <w:rsid w:val="00294C19"/>
    <w:rsid w:val="00295BD4"/>
    <w:rsid w:val="00296B57"/>
    <w:rsid w:val="002A0F88"/>
    <w:rsid w:val="002A1705"/>
    <w:rsid w:val="002A1D8E"/>
    <w:rsid w:val="002A247C"/>
    <w:rsid w:val="002A60A0"/>
    <w:rsid w:val="002A7043"/>
    <w:rsid w:val="002A7121"/>
    <w:rsid w:val="002A7E31"/>
    <w:rsid w:val="002B0188"/>
    <w:rsid w:val="002B09E2"/>
    <w:rsid w:val="002B114E"/>
    <w:rsid w:val="002B2D79"/>
    <w:rsid w:val="002B3A51"/>
    <w:rsid w:val="002C04A4"/>
    <w:rsid w:val="002C15EB"/>
    <w:rsid w:val="002C1A46"/>
    <w:rsid w:val="002C1CCB"/>
    <w:rsid w:val="002C2192"/>
    <w:rsid w:val="002C2BBE"/>
    <w:rsid w:val="002C3799"/>
    <w:rsid w:val="002C3850"/>
    <w:rsid w:val="002C50DF"/>
    <w:rsid w:val="002C60CA"/>
    <w:rsid w:val="002C64F0"/>
    <w:rsid w:val="002C6885"/>
    <w:rsid w:val="002D17DB"/>
    <w:rsid w:val="002D42A8"/>
    <w:rsid w:val="002D4F4E"/>
    <w:rsid w:val="002D638F"/>
    <w:rsid w:val="002D696E"/>
    <w:rsid w:val="002E0BD4"/>
    <w:rsid w:val="002E1340"/>
    <w:rsid w:val="002E20A0"/>
    <w:rsid w:val="002E28D6"/>
    <w:rsid w:val="002E3812"/>
    <w:rsid w:val="002E3924"/>
    <w:rsid w:val="002E4C43"/>
    <w:rsid w:val="002E516D"/>
    <w:rsid w:val="002E5680"/>
    <w:rsid w:val="002E6050"/>
    <w:rsid w:val="002E7EE0"/>
    <w:rsid w:val="002F0CD4"/>
    <w:rsid w:val="002F24CA"/>
    <w:rsid w:val="002F3314"/>
    <w:rsid w:val="002F47B8"/>
    <w:rsid w:val="002F5CD8"/>
    <w:rsid w:val="002F7E24"/>
    <w:rsid w:val="003028C9"/>
    <w:rsid w:val="00303BEC"/>
    <w:rsid w:val="00304021"/>
    <w:rsid w:val="00305D5F"/>
    <w:rsid w:val="003060A8"/>
    <w:rsid w:val="003073E2"/>
    <w:rsid w:val="00307D27"/>
    <w:rsid w:val="00310147"/>
    <w:rsid w:val="0031162D"/>
    <w:rsid w:val="00311857"/>
    <w:rsid w:val="00312512"/>
    <w:rsid w:val="00312705"/>
    <w:rsid w:val="0031357D"/>
    <w:rsid w:val="00316A25"/>
    <w:rsid w:val="003177D0"/>
    <w:rsid w:val="00317C03"/>
    <w:rsid w:val="00320648"/>
    <w:rsid w:val="0032091F"/>
    <w:rsid w:val="003213EF"/>
    <w:rsid w:val="003217D9"/>
    <w:rsid w:val="00322259"/>
    <w:rsid w:val="00322972"/>
    <w:rsid w:val="00323035"/>
    <w:rsid w:val="003230D3"/>
    <w:rsid w:val="0032404A"/>
    <w:rsid w:val="00324AAF"/>
    <w:rsid w:val="00324AF0"/>
    <w:rsid w:val="003253A5"/>
    <w:rsid w:val="00326164"/>
    <w:rsid w:val="003263B6"/>
    <w:rsid w:val="00326EBF"/>
    <w:rsid w:val="003279F7"/>
    <w:rsid w:val="00330C89"/>
    <w:rsid w:val="00331B00"/>
    <w:rsid w:val="0033229D"/>
    <w:rsid w:val="00332EAE"/>
    <w:rsid w:val="003344D0"/>
    <w:rsid w:val="00334E4A"/>
    <w:rsid w:val="003350BA"/>
    <w:rsid w:val="003374B5"/>
    <w:rsid w:val="00340011"/>
    <w:rsid w:val="003408D3"/>
    <w:rsid w:val="00341B8D"/>
    <w:rsid w:val="0034245E"/>
    <w:rsid w:val="00343A89"/>
    <w:rsid w:val="003452FE"/>
    <w:rsid w:val="00345B69"/>
    <w:rsid w:val="00346A23"/>
    <w:rsid w:val="00346C85"/>
    <w:rsid w:val="00347B82"/>
    <w:rsid w:val="00350949"/>
    <w:rsid w:val="00351EEB"/>
    <w:rsid w:val="003524AD"/>
    <w:rsid w:val="00352C51"/>
    <w:rsid w:val="003533C7"/>
    <w:rsid w:val="00353B0D"/>
    <w:rsid w:val="00354901"/>
    <w:rsid w:val="00354EDC"/>
    <w:rsid w:val="00355F47"/>
    <w:rsid w:val="00356F4A"/>
    <w:rsid w:val="003577DD"/>
    <w:rsid w:val="00360671"/>
    <w:rsid w:val="0036135E"/>
    <w:rsid w:val="00361AFC"/>
    <w:rsid w:val="00361E77"/>
    <w:rsid w:val="003620DB"/>
    <w:rsid w:val="00362AB8"/>
    <w:rsid w:val="003664E5"/>
    <w:rsid w:val="003667EB"/>
    <w:rsid w:val="003669E5"/>
    <w:rsid w:val="0037288E"/>
    <w:rsid w:val="003751C9"/>
    <w:rsid w:val="00376185"/>
    <w:rsid w:val="0037631F"/>
    <w:rsid w:val="0037665B"/>
    <w:rsid w:val="00377FD0"/>
    <w:rsid w:val="00382FFE"/>
    <w:rsid w:val="00385F17"/>
    <w:rsid w:val="003869CA"/>
    <w:rsid w:val="003911B7"/>
    <w:rsid w:val="00393F64"/>
    <w:rsid w:val="00394014"/>
    <w:rsid w:val="00396966"/>
    <w:rsid w:val="003A0F36"/>
    <w:rsid w:val="003A2783"/>
    <w:rsid w:val="003A3484"/>
    <w:rsid w:val="003A3921"/>
    <w:rsid w:val="003A3946"/>
    <w:rsid w:val="003A421E"/>
    <w:rsid w:val="003A66E5"/>
    <w:rsid w:val="003A6743"/>
    <w:rsid w:val="003A6E16"/>
    <w:rsid w:val="003A6FEE"/>
    <w:rsid w:val="003A73F2"/>
    <w:rsid w:val="003B19A2"/>
    <w:rsid w:val="003B2823"/>
    <w:rsid w:val="003B552B"/>
    <w:rsid w:val="003B792B"/>
    <w:rsid w:val="003C0F1D"/>
    <w:rsid w:val="003C1005"/>
    <w:rsid w:val="003C145A"/>
    <w:rsid w:val="003C2A0B"/>
    <w:rsid w:val="003C3CE0"/>
    <w:rsid w:val="003C3F5D"/>
    <w:rsid w:val="003C6CE2"/>
    <w:rsid w:val="003D1EAF"/>
    <w:rsid w:val="003D289F"/>
    <w:rsid w:val="003D29C2"/>
    <w:rsid w:val="003D2BA9"/>
    <w:rsid w:val="003D3A27"/>
    <w:rsid w:val="003D48F8"/>
    <w:rsid w:val="003D4CE9"/>
    <w:rsid w:val="003D61E2"/>
    <w:rsid w:val="003D744F"/>
    <w:rsid w:val="003D75EB"/>
    <w:rsid w:val="003D7B18"/>
    <w:rsid w:val="003E04E1"/>
    <w:rsid w:val="003E078D"/>
    <w:rsid w:val="003E10F1"/>
    <w:rsid w:val="003E2630"/>
    <w:rsid w:val="003E2B81"/>
    <w:rsid w:val="003E544B"/>
    <w:rsid w:val="003E584C"/>
    <w:rsid w:val="003F4AC4"/>
    <w:rsid w:val="003F5369"/>
    <w:rsid w:val="003F7144"/>
    <w:rsid w:val="003F7CE2"/>
    <w:rsid w:val="00400C71"/>
    <w:rsid w:val="00400F92"/>
    <w:rsid w:val="0040733F"/>
    <w:rsid w:val="00410EB0"/>
    <w:rsid w:val="004117D8"/>
    <w:rsid w:val="00412894"/>
    <w:rsid w:val="00413B3C"/>
    <w:rsid w:val="00415429"/>
    <w:rsid w:val="0041588A"/>
    <w:rsid w:val="00415ABF"/>
    <w:rsid w:val="0041625E"/>
    <w:rsid w:val="00416528"/>
    <w:rsid w:val="00417F42"/>
    <w:rsid w:val="00420C77"/>
    <w:rsid w:val="00421B79"/>
    <w:rsid w:val="004223CE"/>
    <w:rsid w:val="00422576"/>
    <w:rsid w:val="00423AAF"/>
    <w:rsid w:val="004249D6"/>
    <w:rsid w:val="00424D86"/>
    <w:rsid w:val="00426FF3"/>
    <w:rsid w:val="00427542"/>
    <w:rsid w:val="0042790A"/>
    <w:rsid w:val="00427FA2"/>
    <w:rsid w:val="0043211D"/>
    <w:rsid w:val="0043215D"/>
    <w:rsid w:val="00435987"/>
    <w:rsid w:val="00435A41"/>
    <w:rsid w:val="004378E7"/>
    <w:rsid w:val="00441BE7"/>
    <w:rsid w:val="004425F9"/>
    <w:rsid w:val="0044593C"/>
    <w:rsid w:val="00445EC6"/>
    <w:rsid w:val="00445EEF"/>
    <w:rsid w:val="00445F8B"/>
    <w:rsid w:val="004469CE"/>
    <w:rsid w:val="00446FB7"/>
    <w:rsid w:val="00450483"/>
    <w:rsid w:val="00450AFB"/>
    <w:rsid w:val="00452B9B"/>
    <w:rsid w:val="00452EC2"/>
    <w:rsid w:val="00455F93"/>
    <w:rsid w:val="00456D1A"/>
    <w:rsid w:val="004610AB"/>
    <w:rsid w:val="00461D07"/>
    <w:rsid w:val="00462602"/>
    <w:rsid w:val="00462647"/>
    <w:rsid w:val="004632B6"/>
    <w:rsid w:val="004666C3"/>
    <w:rsid w:val="00466DA9"/>
    <w:rsid w:val="004677A2"/>
    <w:rsid w:val="004677DB"/>
    <w:rsid w:val="0047025C"/>
    <w:rsid w:val="004703CD"/>
    <w:rsid w:val="00476099"/>
    <w:rsid w:val="00477F6A"/>
    <w:rsid w:val="0048077F"/>
    <w:rsid w:val="0048096C"/>
    <w:rsid w:val="00484739"/>
    <w:rsid w:val="00484810"/>
    <w:rsid w:val="00485CDA"/>
    <w:rsid w:val="00486FC1"/>
    <w:rsid w:val="0049016A"/>
    <w:rsid w:val="00491C8C"/>
    <w:rsid w:val="00493DE7"/>
    <w:rsid w:val="00496F57"/>
    <w:rsid w:val="004974BC"/>
    <w:rsid w:val="00497D08"/>
    <w:rsid w:val="004A101F"/>
    <w:rsid w:val="004A11F8"/>
    <w:rsid w:val="004A1406"/>
    <w:rsid w:val="004A4A89"/>
    <w:rsid w:val="004A505B"/>
    <w:rsid w:val="004A6AC3"/>
    <w:rsid w:val="004A6EA3"/>
    <w:rsid w:val="004B1A10"/>
    <w:rsid w:val="004B1CC6"/>
    <w:rsid w:val="004B2164"/>
    <w:rsid w:val="004B2D6B"/>
    <w:rsid w:val="004B3277"/>
    <w:rsid w:val="004B32FE"/>
    <w:rsid w:val="004B35E9"/>
    <w:rsid w:val="004B3CC2"/>
    <w:rsid w:val="004B6E17"/>
    <w:rsid w:val="004B70B1"/>
    <w:rsid w:val="004C2BDE"/>
    <w:rsid w:val="004C40F5"/>
    <w:rsid w:val="004C49D8"/>
    <w:rsid w:val="004C61CF"/>
    <w:rsid w:val="004C6738"/>
    <w:rsid w:val="004D04F9"/>
    <w:rsid w:val="004D188A"/>
    <w:rsid w:val="004D2AF4"/>
    <w:rsid w:val="004D5242"/>
    <w:rsid w:val="004D63CA"/>
    <w:rsid w:val="004D7DBE"/>
    <w:rsid w:val="004E0EC6"/>
    <w:rsid w:val="004E1A90"/>
    <w:rsid w:val="004E4D31"/>
    <w:rsid w:val="004F12AD"/>
    <w:rsid w:val="004F144D"/>
    <w:rsid w:val="004F1D21"/>
    <w:rsid w:val="004F2235"/>
    <w:rsid w:val="004F2306"/>
    <w:rsid w:val="004F2868"/>
    <w:rsid w:val="004F30DE"/>
    <w:rsid w:val="004F4630"/>
    <w:rsid w:val="004F5730"/>
    <w:rsid w:val="004F6AD6"/>
    <w:rsid w:val="004F6D64"/>
    <w:rsid w:val="005016F5"/>
    <w:rsid w:val="00502E1E"/>
    <w:rsid w:val="00503EB7"/>
    <w:rsid w:val="00504189"/>
    <w:rsid w:val="00505143"/>
    <w:rsid w:val="00505393"/>
    <w:rsid w:val="005061E0"/>
    <w:rsid w:val="00506245"/>
    <w:rsid w:val="00506C26"/>
    <w:rsid w:val="00507CAF"/>
    <w:rsid w:val="00510B76"/>
    <w:rsid w:val="0051220D"/>
    <w:rsid w:val="00512A2B"/>
    <w:rsid w:val="00514A58"/>
    <w:rsid w:val="00514D12"/>
    <w:rsid w:val="0051608C"/>
    <w:rsid w:val="00516D95"/>
    <w:rsid w:val="0052038B"/>
    <w:rsid w:val="00520786"/>
    <w:rsid w:val="00521D29"/>
    <w:rsid w:val="005223A1"/>
    <w:rsid w:val="00524A48"/>
    <w:rsid w:val="00526038"/>
    <w:rsid w:val="0052725D"/>
    <w:rsid w:val="00530FB9"/>
    <w:rsid w:val="005317E0"/>
    <w:rsid w:val="00533FCD"/>
    <w:rsid w:val="005347EC"/>
    <w:rsid w:val="00535822"/>
    <w:rsid w:val="005404B9"/>
    <w:rsid w:val="00542AD4"/>
    <w:rsid w:val="005433F2"/>
    <w:rsid w:val="005440D4"/>
    <w:rsid w:val="00544148"/>
    <w:rsid w:val="005441AB"/>
    <w:rsid w:val="0054482E"/>
    <w:rsid w:val="005448A1"/>
    <w:rsid w:val="005474A1"/>
    <w:rsid w:val="005504A8"/>
    <w:rsid w:val="00550629"/>
    <w:rsid w:val="00550FD8"/>
    <w:rsid w:val="00553676"/>
    <w:rsid w:val="0055415C"/>
    <w:rsid w:val="0055505A"/>
    <w:rsid w:val="00555DD6"/>
    <w:rsid w:val="00557104"/>
    <w:rsid w:val="00557A7A"/>
    <w:rsid w:val="00560158"/>
    <w:rsid w:val="005624D0"/>
    <w:rsid w:val="005627D9"/>
    <w:rsid w:val="00562B96"/>
    <w:rsid w:val="00562E1B"/>
    <w:rsid w:val="00565A6D"/>
    <w:rsid w:val="00565C80"/>
    <w:rsid w:val="005667F4"/>
    <w:rsid w:val="005678ED"/>
    <w:rsid w:val="00567DE4"/>
    <w:rsid w:val="00572810"/>
    <w:rsid w:val="00572CC3"/>
    <w:rsid w:val="00573513"/>
    <w:rsid w:val="005740E0"/>
    <w:rsid w:val="00574A75"/>
    <w:rsid w:val="005763E1"/>
    <w:rsid w:val="00576EE8"/>
    <w:rsid w:val="005770A9"/>
    <w:rsid w:val="00577BFD"/>
    <w:rsid w:val="00577DA1"/>
    <w:rsid w:val="00581C6C"/>
    <w:rsid w:val="00583042"/>
    <w:rsid w:val="00583B38"/>
    <w:rsid w:val="005840D3"/>
    <w:rsid w:val="00584FAD"/>
    <w:rsid w:val="00585788"/>
    <w:rsid w:val="00586C59"/>
    <w:rsid w:val="00586E76"/>
    <w:rsid w:val="00587142"/>
    <w:rsid w:val="0058733A"/>
    <w:rsid w:val="00587B6A"/>
    <w:rsid w:val="0059010B"/>
    <w:rsid w:val="00590120"/>
    <w:rsid w:val="005903B6"/>
    <w:rsid w:val="0059134D"/>
    <w:rsid w:val="00591699"/>
    <w:rsid w:val="00592BCC"/>
    <w:rsid w:val="00594157"/>
    <w:rsid w:val="00594E99"/>
    <w:rsid w:val="00595072"/>
    <w:rsid w:val="005A03AE"/>
    <w:rsid w:val="005A09A4"/>
    <w:rsid w:val="005A0FD0"/>
    <w:rsid w:val="005A2E8C"/>
    <w:rsid w:val="005A44A8"/>
    <w:rsid w:val="005A5505"/>
    <w:rsid w:val="005A5F92"/>
    <w:rsid w:val="005B1084"/>
    <w:rsid w:val="005B274D"/>
    <w:rsid w:val="005B378D"/>
    <w:rsid w:val="005B7413"/>
    <w:rsid w:val="005C0FE2"/>
    <w:rsid w:val="005C1A48"/>
    <w:rsid w:val="005C1B51"/>
    <w:rsid w:val="005C2BB3"/>
    <w:rsid w:val="005C3A7A"/>
    <w:rsid w:val="005C3E5C"/>
    <w:rsid w:val="005C4197"/>
    <w:rsid w:val="005C5049"/>
    <w:rsid w:val="005C5855"/>
    <w:rsid w:val="005C73F2"/>
    <w:rsid w:val="005C76BC"/>
    <w:rsid w:val="005C7C42"/>
    <w:rsid w:val="005D2421"/>
    <w:rsid w:val="005D29AC"/>
    <w:rsid w:val="005D2D37"/>
    <w:rsid w:val="005D439A"/>
    <w:rsid w:val="005D4639"/>
    <w:rsid w:val="005D4CF8"/>
    <w:rsid w:val="005E37E3"/>
    <w:rsid w:val="005E4041"/>
    <w:rsid w:val="005E674E"/>
    <w:rsid w:val="005E7915"/>
    <w:rsid w:val="005F30D7"/>
    <w:rsid w:val="005F4787"/>
    <w:rsid w:val="005F4A1F"/>
    <w:rsid w:val="005F687D"/>
    <w:rsid w:val="00600633"/>
    <w:rsid w:val="00600885"/>
    <w:rsid w:val="0060104D"/>
    <w:rsid w:val="006011CE"/>
    <w:rsid w:val="006021B0"/>
    <w:rsid w:val="00603949"/>
    <w:rsid w:val="00605243"/>
    <w:rsid w:val="0060544C"/>
    <w:rsid w:val="00605864"/>
    <w:rsid w:val="006108DC"/>
    <w:rsid w:val="00612C11"/>
    <w:rsid w:val="00613918"/>
    <w:rsid w:val="00614353"/>
    <w:rsid w:val="0061491C"/>
    <w:rsid w:val="00615011"/>
    <w:rsid w:val="006156DA"/>
    <w:rsid w:val="00615D23"/>
    <w:rsid w:val="0062268F"/>
    <w:rsid w:val="006226A4"/>
    <w:rsid w:val="00623721"/>
    <w:rsid w:val="00623CAC"/>
    <w:rsid w:val="00625EBB"/>
    <w:rsid w:val="0062627B"/>
    <w:rsid w:val="006274CD"/>
    <w:rsid w:val="0062780B"/>
    <w:rsid w:val="00631472"/>
    <w:rsid w:val="00636FCE"/>
    <w:rsid w:val="0063718E"/>
    <w:rsid w:val="006372EE"/>
    <w:rsid w:val="00637432"/>
    <w:rsid w:val="00637B86"/>
    <w:rsid w:val="00640D0C"/>
    <w:rsid w:val="006420CE"/>
    <w:rsid w:val="00643D2F"/>
    <w:rsid w:val="0064455F"/>
    <w:rsid w:val="0064522C"/>
    <w:rsid w:val="006460EB"/>
    <w:rsid w:val="006465C0"/>
    <w:rsid w:val="00646A36"/>
    <w:rsid w:val="006532F7"/>
    <w:rsid w:val="00654731"/>
    <w:rsid w:val="00654CDB"/>
    <w:rsid w:val="00662650"/>
    <w:rsid w:val="006636B5"/>
    <w:rsid w:val="006704D7"/>
    <w:rsid w:val="00670BA7"/>
    <w:rsid w:val="0067168C"/>
    <w:rsid w:val="00671906"/>
    <w:rsid w:val="00671E31"/>
    <w:rsid w:val="006722DB"/>
    <w:rsid w:val="00672B1C"/>
    <w:rsid w:val="00672D63"/>
    <w:rsid w:val="00673067"/>
    <w:rsid w:val="0067335F"/>
    <w:rsid w:val="00673778"/>
    <w:rsid w:val="006749EB"/>
    <w:rsid w:val="00677D40"/>
    <w:rsid w:val="0068049D"/>
    <w:rsid w:val="006822AE"/>
    <w:rsid w:val="006835B9"/>
    <w:rsid w:val="00683B2F"/>
    <w:rsid w:val="00683F44"/>
    <w:rsid w:val="006846E2"/>
    <w:rsid w:val="00685E17"/>
    <w:rsid w:val="00687E01"/>
    <w:rsid w:val="006901AE"/>
    <w:rsid w:val="00690AC5"/>
    <w:rsid w:val="00691481"/>
    <w:rsid w:val="00691666"/>
    <w:rsid w:val="0069189F"/>
    <w:rsid w:val="006924AE"/>
    <w:rsid w:val="00693237"/>
    <w:rsid w:val="00694302"/>
    <w:rsid w:val="006953F9"/>
    <w:rsid w:val="00695611"/>
    <w:rsid w:val="00695C0A"/>
    <w:rsid w:val="0069633E"/>
    <w:rsid w:val="00696618"/>
    <w:rsid w:val="00696AF9"/>
    <w:rsid w:val="006A05DC"/>
    <w:rsid w:val="006A0BE8"/>
    <w:rsid w:val="006A10AA"/>
    <w:rsid w:val="006A1131"/>
    <w:rsid w:val="006A2693"/>
    <w:rsid w:val="006A43C6"/>
    <w:rsid w:val="006A5E5D"/>
    <w:rsid w:val="006A6C7C"/>
    <w:rsid w:val="006A7626"/>
    <w:rsid w:val="006A767C"/>
    <w:rsid w:val="006B0711"/>
    <w:rsid w:val="006B07B7"/>
    <w:rsid w:val="006B1350"/>
    <w:rsid w:val="006B2A14"/>
    <w:rsid w:val="006B2E3B"/>
    <w:rsid w:val="006B3201"/>
    <w:rsid w:val="006B7250"/>
    <w:rsid w:val="006C03BA"/>
    <w:rsid w:val="006C2726"/>
    <w:rsid w:val="006C4878"/>
    <w:rsid w:val="006C4EAC"/>
    <w:rsid w:val="006C5C8C"/>
    <w:rsid w:val="006C72EA"/>
    <w:rsid w:val="006C7B1D"/>
    <w:rsid w:val="006D2E21"/>
    <w:rsid w:val="006D47B0"/>
    <w:rsid w:val="006D51D5"/>
    <w:rsid w:val="006D5382"/>
    <w:rsid w:val="006D7A5A"/>
    <w:rsid w:val="006D7BD9"/>
    <w:rsid w:val="006E0104"/>
    <w:rsid w:val="006E249E"/>
    <w:rsid w:val="006E55BC"/>
    <w:rsid w:val="006E59AA"/>
    <w:rsid w:val="006E6E08"/>
    <w:rsid w:val="006E7A92"/>
    <w:rsid w:val="006F16B8"/>
    <w:rsid w:val="006F2D72"/>
    <w:rsid w:val="006F3879"/>
    <w:rsid w:val="006F5B73"/>
    <w:rsid w:val="006F7897"/>
    <w:rsid w:val="006F7BA6"/>
    <w:rsid w:val="006F7BAE"/>
    <w:rsid w:val="006F7C76"/>
    <w:rsid w:val="00700050"/>
    <w:rsid w:val="007002BC"/>
    <w:rsid w:val="007007AC"/>
    <w:rsid w:val="0070114F"/>
    <w:rsid w:val="007011F3"/>
    <w:rsid w:val="00703940"/>
    <w:rsid w:val="00703B54"/>
    <w:rsid w:val="0070467A"/>
    <w:rsid w:val="00704EF4"/>
    <w:rsid w:val="00705941"/>
    <w:rsid w:val="00705BBA"/>
    <w:rsid w:val="00706366"/>
    <w:rsid w:val="0070663D"/>
    <w:rsid w:val="007109A3"/>
    <w:rsid w:val="00710D1D"/>
    <w:rsid w:val="007110CA"/>
    <w:rsid w:val="00712553"/>
    <w:rsid w:val="00713DF4"/>
    <w:rsid w:val="00714A1F"/>
    <w:rsid w:val="0071565F"/>
    <w:rsid w:val="00720995"/>
    <w:rsid w:val="007218C0"/>
    <w:rsid w:val="00722CC3"/>
    <w:rsid w:val="00723956"/>
    <w:rsid w:val="00725C91"/>
    <w:rsid w:val="007276A5"/>
    <w:rsid w:val="00727760"/>
    <w:rsid w:val="00730A82"/>
    <w:rsid w:val="00731183"/>
    <w:rsid w:val="00731BAA"/>
    <w:rsid w:val="00734FE8"/>
    <w:rsid w:val="0073534F"/>
    <w:rsid w:val="00735B52"/>
    <w:rsid w:val="00737FB5"/>
    <w:rsid w:val="0074002C"/>
    <w:rsid w:val="00740643"/>
    <w:rsid w:val="00740996"/>
    <w:rsid w:val="00741EB3"/>
    <w:rsid w:val="00743673"/>
    <w:rsid w:val="00746F15"/>
    <w:rsid w:val="00747659"/>
    <w:rsid w:val="00751AFB"/>
    <w:rsid w:val="007528C1"/>
    <w:rsid w:val="00753CD4"/>
    <w:rsid w:val="00754E60"/>
    <w:rsid w:val="0075712D"/>
    <w:rsid w:val="00763D6A"/>
    <w:rsid w:val="00764138"/>
    <w:rsid w:val="00765A17"/>
    <w:rsid w:val="00767C12"/>
    <w:rsid w:val="0077060E"/>
    <w:rsid w:val="00771A47"/>
    <w:rsid w:val="007744AC"/>
    <w:rsid w:val="0078007A"/>
    <w:rsid w:val="00780770"/>
    <w:rsid w:val="00780F83"/>
    <w:rsid w:val="007812E4"/>
    <w:rsid w:val="00781AEA"/>
    <w:rsid w:val="0078387B"/>
    <w:rsid w:val="0078473A"/>
    <w:rsid w:val="007851CC"/>
    <w:rsid w:val="0079092E"/>
    <w:rsid w:val="00791966"/>
    <w:rsid w:val="00791C8C"/>
    <w:rsid w:val="00793565"/>
    <w:rsid w:val="00795015"/>
    <w:rsid w:val="00795ABC"/>
    <w:rsid w:val="00796452"/>
    <w:rsid w:val="007976B4"/>
    <w:rsid w:val="00797C4D"/>
    <w:rsid w:val="00797C94"/>
    <w:rsid w:val="007A0935"/>
    <w:rsid w:val="007A0ABD"/>
    <w:rsid w:val="007A72BD"/>
    <w:rsid w:val="007B01CD"/>
    <w:rsid w:val="007B1C14"/>
    <w:rsid w:val="007B7734"/>
    <w:rsid w:val="007B7BC5"/>
    <w:rsid w:val="007C216B"/>
    <w:rsid w:val="007C3D64"/>
    <w:rsid w:val="007C4A94"/>
    <w:rsid w:val="007C4F89"/>
    <w:rsid w:val="007C78F5"/>
    <w:rsid w:val="007D0778"/>
    <w:rsid w:val="007D2350"/>
    <w:rsid w:val="007D3D0A"/>
    <w:rsid w:val="007D4FE2"/>
    <w:rsid w:val="007D71EB"/>
    <w:rsid w:val="007D7827"/>
    <w:rsid w:val="007E1CA4"/>
    <w:rsid w:val="007E3843"/>
    <w:rsid w:val="007E5166"/>
    <w:rsid w:val="007E66FC"/>
    <w:rsid w:val="007E6D77"/>
    <w:rsid w:val="007F0751"/>
    <w:rsid w:val="007F2779"/>
    <w:rsid w:val="007F489D"/>
    <w:rsid w:val="007F4C39"/>
    <w:rsid w:val="007F72A0"/>
    <w:rsid w:val="007F7620"/>
    <w:rsid w:val="007F7CB5"/>
    <w:rsid w:val="0080269A"/>
    <w:rsid w:val="00802744"/>
    <w:rsid w:val="0080398B"/>
    <w:rsid w:val="008043B0"/>
    <w:rsid w:val="00804904"/>
    <w:rsid w:val="00806C73"/>
    <w:rsid w:val="00813BC0"/>
    <w:rsid w:val="0081508E"/>
    <w:rsid w:val="00816258"/>
    <w:rsid w:val="00817AE8"/>
    <w:rsid w:val="00817D78"/>
    <w:rsid w:val="008216B6"/>
    <w:rsid w:val="00821BA9"/>
    <w:rsid w:val="00822998"/>
    <w:rsid w:val="008249BC"/>
    <w:rsid w:val="00825884"/>
    <w:rsid w:val="00826076"/>
    <w:rsid w:val="008265F9"/>
    <w:rsid w:val="00826B9B"/>
    <w:rsid w:val="00826C16"/>
    <w:rsid w:val="00827A98"/>
    <w:rsid w:val="008309CF"/>
    <w:rsid w:val="00831A85"/>
    <w:rsid w:val="008341DA"/>
    <w:rsid w:val="008351A8"/>
    <w:rsid w:val="00835748"/>
    <w:rsid w:val="00836591"/>
    <w:rsid w:val="0083749F"/>
    <w:rsid w:val="0083766A"/>
    <w:rsid w:val="0084162E"/>
    <w:rsid w:val="00842736"/>
    <w:rsid w:val="00843664"/>
    <w:rsid w:val="008441DC"/>
    <w:rsid w:val="00845D4D"/>
    <w:rsid w:val="00846DBE"/>
    <w:rsid w:val="00847B8F"/>
    <w:rsid w:val="00847B92"/>
    <w:rsid w:val="00850BDF"/>
    <w:rsid w:val="008528E9"/>
    <w:rsid w:val="00852AD7"/>
    <w:rsid w:val="00852F54"/>
    <w:rsid w:val="008541E6"/>
    <w:rsid w:val="00855250"/>
    <w:rsid w:val="00855307"/>
    <w:rsid w:val="00856505"/>
    <w:rsid w:val="0085681F"/>
    <w:rsid w:val="008624D5"/>
    <w:rsid w:val="00862C61"/>
    <w:rsid w:val="00863750"/>
    <w:rsid w:val="00864698"/>
    <w:rsid w:val="008653CC"/>
    <w:rsid w:val="008655B7"/>
    <w:rsid w:val="00866A0C"/>
    <w:rsid w:val="00870AB8"/>
    <w:rsid w:val="00871039"/>
    <w:rsid w:val="00871597"/>
    <w:rsid w:val="0087166A"/>
    <w:rsid w:val="008738CB"/>
    <w:rsid w:val="00873C1F"/>
    <w:rsid w:val="008741FC"/>
    <w:rsid w:val="008752B3"/>
    <w:rsid w:val="0087641E"/>
    <w:rsid w:val="00877D98"/>
    <w:rsid w:val="0088014F"/>
    <w:rsid w:val="00880422"/>
    <w:rsid w:val="0088179E"/>
    <w:rsid w:val="00884149"/>
    <w:rsid w:val="00887175"/>
    <w:rsid w:val="00887D50"/>
    <w:rsid w:val="00891A46"/>
    <w:rsid w:val="00891A4C"/>
    <w:rsid w:val="00891CE3"/>
    <w:rsid w:val="00893A7C"/>
    <w:rsid w:val="00894EDD"/>
    <w:rsid w:val="00895A19"/>
    <w:rsid w:val="00895C10"/>
    <w:rsid w:val="008A1537"/>
    <w:rsid w:val="008A1717"/>
    <w:rsid w:val="008A1C67"/>
    <w:rsid w:val="008A2145"/>
    <w:rsid w:val="008A4C70"/>
    <w:rsid w:val="008A6755"/>
    <w:rsid w:val="008A69C4"/>
    <w:rsid w:val="008A6B28"/>
    <w:rsid w:val="008A7198"/>
    <w:rsid w:val="008A73DA"/>
    <w:rsid w:val="008B0465"/>
    <w:rsid w:val="008B1536"/>
    <w:rsid w:val="008B1699"/>
    <w:rsid w:val="008B17F5"/>
    <w:rsid w:val="008B47AD"/>
    <w:rsid w:val="008B4DEE"/>
    <w:rsid w:val="008B6616"/>
    <w:rsid w:val="008C04FB"/>
    <w:rsid w:val="008C13B5"/>
    <w:rsid w:val="008C1659"/>
    <w:rsid w:val="008C2032"/>
    <w:rsid w:val="008C4EF3"/>
    <w:rsid w:val="008C5CFD"/>
    <w:rsid w:val="008C6560"/>
    <w:rsid w:val="008C72CD"/>
    <w:rsid w:val="008D056D"/>
    <w:rsid w:val="008D0BEF"/>
    <w:rsid w:val="008D1266"/>
    <w:rsid w:val="008D26DF"/>
    <w:rsid w:val="008D2F8B"/>
    <w:rsid w:val="008D4072"/>
    <w:rsid w:val="008D43D6"/>
    <w:rsid w:val="008D5127"/>
    <w:rsid w:val="008E105B"/>
    <w:rsid w:val="008E1A40"/>
    <w:rsid w:val="008E2552"/>
    <w:rsid w:val="008E2C05"/>
    <w:rsid w:val="008E5F34"/>
    <w:rsid w:val="008E6A3B"/>
    <w:rsid w:val="008F0417"/>
    <w:rsid w:val="008F1B89"/>
    <w:rsid w:val="008F2B43"/>
    <w:rsid w:val="008F4901"/>
    <w:rsid w:val="008F5E11"/>
    <w:rsid w:val="008F6744"/>
    <w:rsid w:val="008F70E7"/>
    <w:rsid w:val="00900957"/>
    <w:rsid w:val="00903C29"/>
    <w:rsid w:val="009069E4"/>
    <w:rsid w:val="0091323B"/>
    <w:rsid w:val="00914E06"/>
    <w:rsid w:val="009151D1"/>
    <w:rsid w:val="00915AE0"/>
    <w:rsid w:val="00920274"/>
    <w:rsid w:val="00920992"/>
    <w:rsid w:val="0092476A"/>
    <w:rsid w:val="0092502A"/>
    <w:rsid w:val="0092704B"/>
    <w:rsid w:val="0092748C"/>
    <w:rsid w:val="009275F8"/>
    <w:rsid w:val="0092781C"/>
    <w:rsid w:val="00927C88"/>
    <w:rsid w:val="00930FE2"/>
    <w:rsid w:val="00934984"/>
    <w:rsid w:val="00934A8D"/>
    <w:rsid w:val="009354D7"/>
    <w:rsid w:val="0093628E"/>
    <w:rsid w:val="0093704B"/>
    <w:rsid w:val="00941899"/>
    <w:rsid w:val="009426BE"/>
    <w:rsid w:val="00943555"/>
    <w:rsid w:val="00945691"/>
    <w:rsid w:val="009503AA"/>
    <w:rsid w:val="009510CD"/>
    <w:rsid w:val="00951570"/>
    <w:rsid w:val="00951946"/>
    <w:rsid w:val="00956A35"/>
    <w:rsid w:val="0096129C"/>
    <w:rsid w:val="00961850"/>
    <w:rsid w:val="0096197D"/>
    <w:rsid w:val="00961EA2"/>
    <w:rsid w:val="00964216"/>
    <w:rsid w:val="00964FC8"/>
    <w:rsid w:val="00966951"/>
    <w:rsid w:val="00966980"/>
    <w:rsid w:val="009724FC"/>
    <w:rsid w:val="00975155"/>
    <w:rsid w:val="00975A00"/>
    <w:rsid w:val="009772F6"/>
    <w:rsid w:val="0098119F"/>
    <w:rsid w:val="00981762"/>
    <w:rsid w:val="009821BA"/>
    <w:rsid w:val="00985DEA"/>
    <w:rsid w:val="00986909"/>
    <w:rsid w:val="00986D7C"/>
    <w:rsid w:val="00990E20"/>
    <w:rsid w:val="009921A4"/>
    <w:rsid w:val="009936F6"/>
    <w:rsid w:val="009949A8"/>
    <w:rsid w:val="00996558"/>
    <w:rsid w:val="00996F40"/>
    <w:rsid w:val="00997C70"/>
    <w:rsid w:val="009A0840"/>
    <w:rsid w:val="009A25B6"/>
    <w:rsid w:val="009A4708"/>
    <w:rsid w:val="009A5307"/>
    <w:rsid w:val="009A6BF0"/>
    <w:rsid w:val="009A72D5"/>
    <w:rsid w:val="009A784C"/>
    <w:rsid w:val="009B0DC9"/>
    <w:rsid w:val="009B124F"/>
    <w:rsid w:val="009B6205"/>
    <w:rsid w:val="009B7268"/>
    <w:rsid w:val="009B72C1"/>
    <w:rsid w:val="009B7B2F"/>
    <w:rsid w:val="009C0462"/>
    <w:rsid w:val="009C127A"/>
    <w:rsid w:val="009C20DF"/>
    <w:rsid w:val="009C2A97"/>
    <w:rsid w:val="009C2E11"/>
    <w:rsid w:val="009C36C7"/>
    <w:rsid w:val="009C47BC"/>
    <w:rsid w:val="009C5A6A"/>
    <w:rsid w:val="009C6310"/>
    <w:rsid w:val="009C63EC"/>
    <w:rsid w:val="009C6782"/>
    <w:rsid w:val="009C74A5"/>
    <w:rsid w:val="009C74C6"/>
    <w:rsid w:val="009C7AFB"/>
    <w:rsid w:val="009D145B"/>
    <w:rsid w:val="009D179E"/>
    <w:rsid w:val="009D1DB2"/>
    <w:rsid w:val="009D28D0"/>
    <w:rsid w:val="009D2B62"/>
    <w:rsid w:val="009D598B"/>
    <w:rsid w:val="009D5B23"/>
    <w:rsid w:val="009D76C3"/>
    <w:rsid w:val="009E0265"/>
    <w:rsid w:val="009E06B2"/>
    <w:rsid w:val="009E1485"/>
    <w:rsid w:val="009E1B8D"/>
    <w:rsid w:val="009E1CCD"/>
    <w:rsid w:val="009E44CE"/>
    <w:rsid w:val="009E4BF1"/>
    <w:rsid w:val="009E5C23"/>
    <w:rsid w:val="009E66D4"/>
    <w:rsid w:val="009F13FB"/>
    <w:rsid w:val="009F140E"/>
    <w:rsid w:val="009F1D52"/>
    <w:rsid w:val="009F3D64"/>
    <w:rsid w:val="009F447E"/>
    <w:rsid w:val="009F5DB5"/>
    <w:rsid w:val="00A00AA2"/>
    <w:rsid w:val="00A01C25"/>
    <w:rsid w:val="00A03221"/>
    <w:rsid w:val="00A0344A"/>
    <w:rsid w:val="00A0402B"/>
    <w:rsid w:val="00A058EB"/>
    <w:rsid w:val="00A05C92"/>
    <w:rsid w:val="00A0609F"/>
    <w:rsid w:val="00A06D85"/>
    <w:rsid w:val="00A06F2C"/>
    <w:rsid w:val="00A0700C"/>
    <w:rsid w:val="00A07208"/>
    <w:rsid w:val="00A11298"/>
    <w:rsid w:val="00A12CDA"/>
    <w:rsid w:val="00A139BC"/>
    <w:rsid w:val="00A143C4"/>
    <w:rsid w:val="00A1494F"/>
    <w:rsid w:val="00A15EFC"/>
    <w:rsid w:val="00A165CC"/>
    <w:rsid w:val="00A16A95"/>
    <w:rsid w:val="00A16E2A"/>
    <w:rsid w:val="00A1751D"/>
    <w:rsid w:val="00A24384"/>
    <w:rsid w:val="00A25E75"/>
    <w:rsid w:val="00A26312"/>
    <w:rsid w:val="00A264C2"/>
    <w:rsid w:val="00A270B3"/>
    <w:rsid w:val="00A27BC5"/>
    <w:rsid w:val="00A3088E"/>
    <w:rsid w:val="00A30F5C"/>
    <w:rsid w:val="00A31478"/>
    <w:rsid w:val="00A31D3E"/>
    <w:rsid w:val="00A33261"/>
    <w:rsid w:val="00A336AB"/>
    <w:rsid w:val="00A34A8F"/>
    <w:rsid w:val="00A34BB0"/>
    <w:rsid w:val="00A34E1B"/>
    <w:rsid w:val="00A352C4"/>
    <w:rsid w:val="00A368A7"/>
    <w:rsid w:val="00A40195"/>
    <w:rsid w:val="00A41A2E"/>
    <w:rsid w:val="00A447E0"/>
    <w:rsid w:val="00A44A65"/>
    <w:rsid w:val="00A456C9"/>
    <w:rsid w:val="00A461A0"/>
    <w:rsid w:val="00A50231"/>
    <w:rsid w:val="00A524DB"/>
    <w:rsid w:val="00A52F15"/>
    <w:rsid w:val="00A54013"/>
    <w:rsid w:val="00A5476D"/>
    <w:rsid w:val="00A54DAF"/>
    <w:rsid w:val="00A61A21"/>
    <w:rsid w:val="00A632DD"/>
    <w:rsid w:val="00A63AC5"/>
    <w:rsid w:val="00A645FD"/>
    <w:rsid w:val="00A6522B"/>
    <w:rsid w:val="00A66EF1"/>
    <w:rsid w:val="00A71A88"/>
    <w:rsid w:val="00A71EE1"/>
    <w:rsid w:val="00A73943"/>
    <w:rsid w:val="00A74A37"/>
    <w:rsid w:val="00A76749"/>
    <w:rsid w:val="00A770B4"/>
    <w:rsid w:val="00A77499"/>
    <w:rsid w:val="00A82DE7"/>
    <w:rsid w:val="00A83933"/>
    <w:rsid w:val="00A8436E"/>
    <w:rsid w:val="00A84842"/>
    <w:rsid w:val="00A84956"/>
    <w:rsid w:val="00A84EBE"/>
    <w:rsid w:val="00A851FB"/>
    <w:rsid w:val="00A85B5E"/>
    <w:rsid w:val="00A86C79"/>
    <w:rsid w:val="00A9127F"/>
    <w:rsid w:val="00A921C0"/>
    <w:rsid w:val="00A923D5"/>
    <w:rsid w:val="00A9288C"/>
    <w:rsid w:val="00A93F0E"/>
    <w:rsid w:val="00A9478A"/>
    <w:rsid w:val="00A95A5C"/>
    <w:rsid w:val="00A95BBB"/>
    <w:rsid w:val="00A95C13"/>
    <w:rsid w:val="00A95C6D"/>
    <w:rsid w:val="00AA27E9"/>
    <w:rsid w:val="00AA4619"/>
    <w:rsid w:val="00AA6E1E"/>
    <w:rsid w:val="00AA6FC3"/>
    <w:rsid w:val="00AA7501"/>
    <w:rsid w:val="00AA76A2"/>
    <w:rsid w:val="00AB0054"/>
    <w:rsid w:val="00AB1F12"/>
    <w:rsid w:val="00AB1F90"/>
    <w:rsid w:val="00AB20A2"/>
    <w:rsid w:val="00AB2C09"/>
    <w:rsid w:val="00AB36E0"/>
    <w:rsid w:val="00AB53B4"/>
    <w:rsid w:val="00AB608A"/>
    <w:rsid w:val="00AB66EE"/>
    <w:rsid w:val="00AB76D1"/>
    <w:rsid w:val="00AB777A"/>
    <w:rsid w:val="00AB7C15"/>
    <w:rsid w:val="00AC2513"/>
    <w:rsid w:val="00AC2BF0"/>
    <w:rsid w:val="00AC2DDC"/>
    <w:rsid w:val="00AC35C9"/>
    <w:rsid w:val="00AC3F94"/>
    <w:rsid w:val="00AC6F8C"/>
    <w:rsid w:val="00AC7373"/>
    <w:rsid w:val="00AC7D39"/>
    <w:rsid w:val="00AC7E2A"/>
    <w:rsid w:val="00AD038E"/>
    <w:rsid w:val="00AD23F7"/>
    <w:rsid w:val="00AD3E2E"/>
    <w:rsid w:val="00AD6131"/>
    <w:rsid w:val="00AD79C8"/>
    <w:rsid w:val="00AD7B7F"/>
    <w:rsid w:val="00AE00EB"/>
    <w:rsid w:val="00AE0956"/>
    <w:rsid w:val="00AE0FC5"/>
    <w:rsid w:val="00AE35EA"/>
    <w:rsid w:val="00AE4BE0"/>
    <w:rsid w:val="00AE538E"/>
    <w:rsid w:val="00AE53CD"/>
    <w:rsid w:val="00AE7DB7"/>
    <w:rsid w:val="00AF030E"/>
    <w:rsid w:val="00AF080F"/>
    <w:rsid w:val="00AF16DC"/>
    <w:rsid w:val="00AF331D"/>
    <w:rsid w:val="00AF54F4"/>
    <w:rsid w:val="00B0015D"/>
    <w:rsid w:val="00B019D9"/>
    <w:rsid w:val="00B01F12"/>
    <w:rsid w:val="00B02C2F"/>
    <w:rsid w:val="00B02F97"/>
    <w:rsid w:val="00B03E47"/>
    <w:rsid w:val="00B05D98"/>
    <w:rsid w:val="00B06602"/>
    <w:rsid w:val="00B11560"/>
    <w:rsid w:val="00B12427"/>
    <w:rsid w:val="00B13535"/>
    <w:rsid w:val="00B13FE6"/>
    <w:rsid w:val="00B1519A"/>
    <w:rsid w:val="00B158BB"/>
    <w:rsid w:val="00B1701A"/>
    <w:rsid w:val="00B17E54"/>
    <w:rsid w:val="00B20CCB"/>
    <w:rsid w:val="00B21D44"/>
    <w:rsid w:val="00B21EFB"/>
    <w:rsid w:val="00B22516"/>
    <w:rsid w:val="00B23443"/>
    <w:rsid w:val="00B237EB"/>
    <w:rsid w:val="00B275B6"/>
    <w:rsid w:val="00B2798B"/>
    <w:rsid w:val="00B320C2"/>
    <w:rsid w:val="00B32546"/>
    <w:rsid w:val="00B3317C"/>
    <w:rsid w:val="00B33950"/>
    <w:rsid w:val="00B342A4"/>
    <w:rsid w:val="00B3532B"/>
    <w:rsid w:val="00B35697"/>
    <w:rsid w:val="00B36979"/>
    <w:rsid w:val="00B40BED"/>
    <w:rsid w:val="00B45A63"/>
    <w:rsid w:val="00B47CB3"/>
    <w:rsid w:val="00B50078"/>
    <w:rsid w:val="00B5072F"/>
    <w:rsid w:val="00B50994"/>
    <w:rsid w:val="00B51FC8"/>
    <w:rsid w:val="00B557DB"/>
    <w:rsid w:val="00B617B1"/>
    <w:rsid w:val="00B61EC4"/>
    <w:rsid w:val="00B63E5E"/>
    <w:rsid w:val="00B64364"/>
    <w:rsid w:val="00B6503F"/>
    <w:rsid w:val="00B66127"/>
    <w:rsid w:val="00B668AE"/>
    <w:rsid w:val="00B66980"/>
    <w:rsid w:val="00B6712B"/>
    <w:rsid w:val="00B6714A"/>
    <w:rsid w:val="00B672C2"/>
    <w:rsid w:val="00B67800"/>
    <w:rsid w:val="00B7267A"/>
    <w:rsid w:val="00B72BC8"/>
    <w:rsid w:val="00B7431E"/>
    <w:rsid w:val="00B74A5B"/>
    <w:rsid w:val="00B74CA3"/>
    <w:rsid w:val="00B777B9"/>
    <w:rsid w:val="00B800B1"/>
    <w:rsid w:val="00B803A1"/>
    <w:rsid w:val="00B80D0C"/>
    <w:rsid w:val="00B8159C"/>
    <w:rsid w:val="00B81829"/>
    <w:rsid w:val="00B819E3"/>
    <w:rsid w:val="00B82580"/>
    <w:rsid w:val="00B82E3B"/>
    <w:rsid w:val="00B82E84"/>
    <w:rsid w:val="00B83641"/>
    <w:rsid w:val="00B83D57"/>
    <w:rsid w:val="00B84901"/>
    <w:rsid w:val="00B84A1A"/>
    <w:rsid w:val="00B85526"/>
    <w:rsid w:val="00B87041"/>
    <w:rsid w:val="00B87A85"/>
    <w:rsid w:val="00B91218"/>
    <w:rsid w:val="00B95027"/>
    <w:rsid w:val="00B954FD"/>
    <w:rsid w:val="00B96EF6"/>
    <w:rsid w:val="00BA2386"/>
    <w:rsid w:val="00BA2D5A"/>
    <w:rsid w:val="00BA3DA1"/>
    <w:rsid w:val="00BA3E53"/>
    <w:rsid w:val="00BA4925"/>
    <w:rsid w:val="00BA4CAD"/>
    <w:rsid w:val="00BA5B66"/>
    <w:rsid w:val="00BB381B"/>
    <w:rsid w:val="00BB4E55"/>
    <w:rsid w:val="00BB64BC"/>
    <w:rsid w:val="00BB6759"/>
    <w:rsid w:val="00BB6D70"/>
    <w:rsid w:val="00BB748A"/>
    <w:rsid w:val="00BC06F6"/>
    <w:rsid w:val="00BC1634"/>
    <w:rsid w:val="00BC1A63"/>
    <w:rsid w:val="00BC437B"/>
    <w:rsid w:val="00BC4D3E"/>
    <w:rsid w:val="00BC5CE9"/>
    <w:rsid w:val="00BC6703"/>
    <w:rsid w:val="00BC67C7"/>
    <w:rsid w:val="00BC7EEA"/>
    <w:rsid w:val="00BD230D"/>
    <w:rsid w:val="00BD3744"/>
    <w:rsid w:val="00BD461A"/>
    <w:rsid w:val="00BD5123"/>
    <w:rsid w:val="00BD5B78"/>
    <w:rsid w:val="00BD7708"/>
    <w:rsid w:val="00BD7E8B"/>
    <w:rsid w:val="00BE2C57"/>
    <w:rsid w:val="00BE4637"/>
    <w:rsid w:val="00BE50EB"/>
    <w:rsid w:val="00BE5F76"/>
    <w:rsid w:val="00BE6470"/>
    <w:rsid w:val="00BE6B05"/>
    <w:rsid w:val="00BE7513"/>
    <w:rsid w:val="00BE7991"/>
    <w:rsid w:val="00BF005B"/>
    <w:rsid w:val="00BF1636"/>
    <w:rsid w:val="00BF2837"/>
    <w:rsid w:val="00BF30DE"/>
    <w:rsid w:val="00BF3597"/>
    <w:rsid w:val="00BF4C5A"/>
    <w:rsid w:val="00BF4EBF"/>
    <w:rsid w:val="00BF5223"/>
    <w:rsid w:val="00BF684E"/>
    <w:rsid w:val="00BF7222"/>
    <w:rsid w:val="00C02DB2"/>
    <w:rsid w:val="00C02DF9"/>
    <w:rsid w:val="00C03448"/>
    <w:rsid w:val="00C03A26"/>
    <w:rsid w:val="00C03E35"/>
    <w:rsid w:val="00C05168"/>
    <w:rsid w:val="00C075C0"/>
    <w:rsid w:val="00C110AE"/>
    <w:rsid w:val="00C11B3B"/>
    <w:rsid w:val="00C13829"/>
    <w:rsid w:val="00C145EF"/>
    <w:rsid w:val="00C16A04"/>
    <w:rsid w:val="00C16B54"/>
    <w:rsid w:val="00C1730B"/>
    <w:rsid w:val="00C17FCC"/>
    <w:rsid w:val="00C20198"/>
    <w:rsid w:val="00C21BF2"/>
    <w:rsid w:val="00C223D3"/>
    <w:rsid w:val="00C22CE2"/>
    <w:rsid w:val="00C24146"/>
    <w:rsid w:val="00C25EF4"/>
    <w:rsid w:val="00C32EF6"/>
    <w:rsid w:val="00C33791"/>
    <w:rsid w:val="00C33F53"/>
    <w:rsid w:val="00C34897"/>
    <w:rsid w:val="00C35D58"/>
    <w:rsid w:val="00C37DA7"/>
    <w:rsid w:val="00C42029"/>
    <w:rsid w:val="00C420D1"/>
    <w:rsid w:val="00C42391"/>
    <w:rsid w:val="00C4341A"/>
    <w:rsid w:val="00C445EF"/>
    <w:rsid w:val="00C46E3E"/>
    <w:rsid w:val="00C46E5C"/>
    <w:rsid w:val="00C503DE"/>
    <w:rsid w:val="00C55247"/>
    <w:rsid w:val="00C57DBF"/>
    <w:rsid w:val="00C60181"/>
    <w:rsid w:val="00C653E2"/>
    <w:rsid w:val="00C70063"/>
    <w:rsid w:val="00C70749"/>
    <w:rsid w:val="00C72053"/>
    <w:rsid w:val="00C74AC2"/>
    <w:rsid w:val="00C75E93"/>
    <w:rsid w:val="00C77F7C"/>
    <w:rsid w:val="00C77FCE"/>
    <w:rsid w:val="00C85C2C"/>
    <w:rsid w:val="00C910EC"/>
    <w:rsid w:val="00C91AE5"/>
    <w:rsid w:val="00C924FE"/>
    <w:rsid w:val="00C95FD8"/>
    <w:rsid w:val="00C9630E"/>
    <w:rsid w:val="00C96546"/>
    <w:rsid w:val="00C969F2"/>
    <w:rsid w:val="00CA0FE6"/>
    <w:rsid w:val="00CA17ED"/>
    <w:rsid w:val="00CA2DEE"/>
    <w:rsid w:val="00CA3511"/>
    <w:rsid w:val="00CA5C32"/>
    <w:rsid w:val="00CA7C16"/>
    <w:rsid w:val="00CB3DE8"/>
    <w:rsid w:val="00CB3EBA"/>
    <w:rsid w:val="00CB43AF"/>
    <w:rsid w:val="00CB7E4E"/>
    <w:rsid w:val="00CC19A1"/>
    <w:rsid w:val="00CC38E7"/>
    <w:rsid w:val="00CC4266"/>
    <w:rsid w:val="00CC5920"/>
    <w:rsid w:val="00CC73BB"/>
    <w:rsid w:val="00CD0D16"/>
    <w:rsid w:val="00CD1321"/>
    <w:rsid w:val="00CD43F5"/>
    <w:rsid w:val="00CD506C"/>
    <w:rsid w:val="00CD7F07"/>
    <w:rsid w:val="00CE1B48"/>
    <w:rsid w:val="00CE44C3"/>
    <w:rsid w:val="00CE4BB3"/>
    <w:rsid w:val="00CE5012"/>
    <w:rsid w:val="00CE58DA"/>
    <w:rsid w:val="00CF00C0"/>
    <w:rsid w:val="00CF1414"/>
    <w:rsid w:val="00CF2ADC"/>
    <w:rsid w:val="00CF2E73"/>
    <w:rsid w:val="00CF5146"/>
    <w:rsid w:val="00CF5167"/>
    <w:rsid w:val="00D001DE"/>
    <w:rsid w:val="00D01327"/>
    <w:rsid w:val="00D0170E"/>
    <w:rsid w:val="00D01D7D"/>
    <w:rsid w:val="00D032D7"/>
    <w:rsid w:val="00D03636"/>
    <w:rsid w:val="00D03A73"/>
    <w:rsid w:val="00D04845"/>
    <w:rsid w:val="00D0573F"/>
    <w:rsid w:val="00D05999"/>
    <w:rsid w:val="00D05A55"/>
    <w:rsid w:val="00D07A33"/>
    <w:rsid w:val="00D112DC"/>
    <w:rsid w:val="00D12343"/>
    <w:rsid w:val="00D123C8"/>
    <w:rsid w:val="00D12D6F"/>
    <w:rsid w:val="00D139CF"/>
    <w:rsid w:val="00D159CA"/>
    <w:rsid w:val="00D16ECD"/>
    <w:rsid w:val="00D2010E"/>
    <w:rsid w:val="00D20790"/>
    <w:rsid w:val="00D2100E"/>
    <w:rsid w:val="00D2140A"/>
    <w:rsid w:val="00D22893"/>
    <w:rsid w:val="00D24A7C"/>
    <w:rsid w:val="00D311FB"/>
    <w:rsid w:val="00D3195E"/>
    <w:rsid w:val="00D31B3E"/>
    <w:rsid w:val="00D31FA0"/>
    <w:rsid w:val="00D3210E"/>
    <w:rsid w:val="00D32A67"/>
    <w:rsid w:val="00D335A8"/>
    <w:rsid w:val="00D33F61"/>
    <w:rsid w:val="00D3438C"/>
    <w:rsid w:val="00D34925"/>
    <w:rsid w:val="00D3554B"/>
    <w:rsid w:val="00D36E61"/>
    <w:rsid w:val="00D4108C"/>
    <w:rsid w:val="00D423D5"/>
    <w:rsid w:val="00D431F6"/>
    <w:rsid w:val="00D43533"/>
    <w:rsid w:val="00D43CF9"/>
    <w:rsid w:val="00D44617"/>
    <w:rsid w:val="00D45F7D"/>
    <w:rsid w:val="00D477C1"/>
    <w:rsid w:val="00D47A02"/>
    <w:rsid w:val="00D52C9A"/>
    <w:rsid w:val="00D56F2A"/>
    <w:rsid w:val="00D632CE"/>
    <w:rsid w:val="00D64843"/>
    <w:rsid w:val="00D64C2A"/>
    <w:rsid w:val="00D652C7"/>
    <w:rsid w:val="00D657EF"/>
    <w:rsid w:val="00D65B2E"/>
    <w:rsid w:val="00D6778A"/>
    <w:rsid w:val="00D7009D"/>
    <w:rsid w:val="00D70BFB"/>
    <w:rsid w:val="00D72F28"/>
    <w:rsid w:val="00D73DAC"/>
    <w:rsid w:val="00D7759A"/>
    <w:rsid w:val="00D77BCF"/>
    <w:rsid w:val="00D8055C"/>
    <w:rsid w:val="00D80A6B"/>
    <w:rsid w:val="00D82362"/>
    <w:rsid w:val="00D83BBA"/>
    <w:rsid w:val="00D84531"/>
    <w:rsid w:val="00D865B0"/>
    <w:rsid w:val="00D87E06"/>
    <w:rsid w:val="00D91BB1"/>
    <w:rsid w:val="00D93FF0"/>
    <w:rsid w:val="00D94A00"/>
    <w:rsid w:val="00DA0D30"/>
    <w:rsid w:val="00DA18E4"/>
    <w:rsid w:val="00DA7E8C"/>
    <w:rsid w:val="00DB0DD2"/>
    <w:rsid w:val="00DB0FC7"/>
    <w:rsid w:val="00DB156F"/>
    <w:rsid w:val="00DB1A99"/>
    <w:rsid w:val="00DB1B54"/>
    <w:rsid w:val="00DB2819"/>
    <w:rsid w:val="00DB2ED9"/>
    <w:rsid w:val="00DB349E"/>
    <w:rsid w:val="00DB3968"/>
    <w:rsid w:val="00DB42ED"/>
    <w:rsid w:val="00DB4566"/>
    <w:rsid w:val="00DB4E5B"/>
    <w:rsid w:val="00DB65DC"/>
    <w:rsid w:val="00DB6955"/>
    <w:rsid w:val="00DB7219"/>
    <w:rsid w:val="00DB7572"/>
    <w:rsid w:val="00DC2B3E"/>
    <w:rsid w:val="00DC3A24"/>
    <w:rsid w:val="00DC63A1"/>
    <w:rsid w:val="00DC6D10"/>
    <w:rsid w:val="00DC7D35"/>
    <w:rsid w:val="00DD0647"/>
    <w:rsid w:val="00DD14D6"/>
    <w:rsid w:val="00DD2848"/>
    <w:rsid w:val="00DD2B91"/>
    <w:rsid w:val="00DD2FEF"/>
    <w:rsid w:val="00DD35EA"/>
    <w:rsid w:val="00DD38A7"/>
    <w:rsid w:val="00DD3C71"/>
    <w:rsid w:val="00DD43B0"/>
    <w:rsid w:val="00DD5D8F"/>
    <w:rsid w:val="00DD7F9A"/>
    <w:rsid w:val="00DE02EE"/>
    <w:rsid w:val="00DE062B"/>
    <w:rsid w:val="00DE2C1A"/>
    <w:rsid w:val="00DE6F5E"/>
    <w:rsid w:val="00DE7526"/>
    <w:rsid w:val="00DF256F"/>
    <w:rsid w:val="00DF6D15"/>
    <w:rsid w:val="00DF7B01"/>
    <w:rsid w:val="00E032D7"/>
    <w:rsid w:val="00E03780"/>
    <w:rsid w:val="00E04C5F"/>
    <w:rsid w:val="00E06C27"/>
    <w:rsid w:val="00E07B59"/>
    <w:rsid w:val="00E10762"/>
    <w:rsid w:val="00E11128"/>
    <w:rsid w:val="00E2225C"/>
    <w:rsid w:val="00E22442"/>
    <w:rsid w:val="00E24082"/>
    <w:rsid w:val="00E250BF"/>
    <w:rsid w:val="00E27B5C"/>
    <w:rsid w:val="00E27B7B"/>
    <w:rsid w:val="00E27E12"/>
    <w:rsid w:val="00E302B0"/>
    <w:rsid w:val="00E31E3D"/>
    <w:rsid w:val="00E32725"/>
    <w:rsid w:val="00E327A1"/>
    <w:rsid w:val="00E32B39"/>
    <w:rsid w:val="00E33FEC"/>
    <w:rsid w:val="00E35F98"/>
    <w:rsid w:val="00E36E25"/>
    <w:rsid w:val="00E37DB3"/>
    <w:rsid w:val="00E37EB8"/>
    <w:rsid w:val="00E401EE"/>
    <w:rsid w:val="00E42049"/>
    <w:rsid w:val="00E456AB"/>
    <w:rsid w:val="00E466A5"/>
    <w:rsid w:val="00E5059E"/>
    <w:rsid w:val="00E50E6B"/>
    <w:rsid w:val="00E51C29"/>
    <w:rsid w:val="00E5318A"/>
    <w:rsid w:val="00E534F6"/>
    <w:rsid w:val="00E53C44"/>
    <w:rsid w:val="00E56434"/>
    <w:rsid w:val="00E5671A"/>
    <w:rsid w:val="00E5672A"/>
    <w:rsid w:val="00E6094D"/>
    <w:rsid w:val="00E617FC"/>
    <w:rsid w:val="00E6303F"/>
    <w:rsid w:val="00E632EF"/>
    <w:rsid w:val="00E64133"/>
    <w:rsid w:val="00E661F2"/>
    <w:rsid w:val="00E70867"/>
    <w:rsid w:val="00E70C02"/>
    <w:rsid w:val="00E7346B"/>
    <w:rsid w:val="00E73A16"/>
    <w:rsid w:val="00E73E52"/>
    <w:rsid w:val="00E7559E"/>
    <w:rsid w:val="00E76F8C"/>
    <w:rsid w:val="00E77E38"/>
    <w:rsid w:val="00E8133C"/>
    <w:rsid w:val="00E82F80"/>
    <w:rsid w:val="00E846BD"/>
    <w:rsid w:val="00E85823"/>
    <w:rsid w:val="00E85E75"/>
    <w:rsid w:val="00E910EC"/>
    <w:rsid w:val="00E914C7"/>
    <w:rsid w:val="00E937B3"/>
    <w:rsid w:val="00E9488A"/>
    <w:rsid w:val="00E949A8"/>
    <w:rsid w:val="00E95B29"/>
    <w:rsid w:val="00EA01DA"/>
    <w:rsid w:val="00EA02FD"/>
    <w:rsid w:val="00EA2E10"/>
    <w:rsid w:val="00EA3093"/>
    <w:rsid w:val="00EA3BFA"/>
    <w:rsid w:val="00EA4471"/>
    <w:rsid w:val="00EA44DD"/>
    <w:rsid w:val="00EA4506"/>
    <w:rsid w:val="00EA4EE8"/>
    <w:rsid w:val="00EA698F"/>
    <w:rsid w:val="00EA6CDE"/>
    <w:rsid w:val="00EA739D"/>
    <w:rsid w:val="00EA7C82"/>
    <w:rsid w:val="00EA7D82"/>
    <w:rsid w:val="00EB045D"/>
    <w:rsid w:val="00EB05B0"/>
    <w:rsid w:val="00EB2E47"/>
    <w:rsid w:val="00EB3309"/>
    <w:rsid w:val="00EB4F39"/>
    <w:rsid w:val="00EB707C"/>
    <w:rsid w:val="00EB7C54"/>
    <w:rsid w:val="00EC3580"/>
    <w:rsid w:val="00EC364D"/>
    <w:rsid w:val="00EC5F9A"/>
    <w:rsid w:val="00EC6681"/>
    <w:rsid w:val="00ED0F43"/>
    <w:rsid w:val="00ED2E7D"/>
    <w:rsid w:val="00ED37BC"/>
    <w:rsid w:val="00EE0168"/>
    <w:rsid w:val="00EE1A56"/>
    <w:rsid w:val="00EE31D7"/>
    <w:rsid w:val="00EE456A"/>
    <w:rsid w:val="00EE5DCE"/>
    <w:rsid w:val="00EE6E5B"/>
    <w:rsid w:val="00EE7661"/>
    <w:rsid w:val="00EF131F"/>
    <w:rsid w:val="00EF2708"/>
    <w:rsid w:val="00EF3B6A"/>
    <w:rsid w:val="00EF4E03"/>
    <w:rsid w:val="00EF559A"/>
    <w:rsid w:val="00F01419"/>
    <w:rsid w:val="00F02EDD"/>
    <w:rsid w:val="00F05D63"/>
    <w:rsid w:val="00F06153"/>
    <w:rsid w:val="00F0698E"/>
    <w:rsid w:val="00F0741F"/>
    <w:rsid w:val="00F10F03"/>
    <w:rsid w:val="00F11C45"/>
    <w:rsid w:val="00F11DC9"/>
    <w:rsid w:val="00F13E7C"/>
    <w:rsid w:val="00F15C07"/>
    <w:rsid w:val="00F15E55"/>
    <w:rsid w:val="00F15FF2"/>
    <w:rsid w:val="00F163FE"/>
    <w:rsid w:val="00F1742A"/>
    <w:rsid w:val="00F17805"/>
    <w:rsid w:val="00F17D41"/>
    <w:rsid w:val="00F20355"/>
    <w:rsid w:val="00F2395A"/>
    <w:rsid w:val="00F23E73"/>
    <w:rsid w:val="00F26276"/>
    <w:rsid w:val="00F327B0"/>
    <w:rsid w:val="00F3605A"/>
    <w:rsid w:val="00F36681"/>
    <w:rsid w:val="00F4094F"/>
    <w:rsid w:val="00F40992"/>
    <w:rsid w:val="00F41348"/>
    <w:rsid w:val="00F41366"/>
    <w:rsid w:val="00F425C8"/>
    <w:rsid w:val="00F43408"/>
    <w:rsid w:val="00F4364B"/>
    <w:rsid w:val="00F4395C"/>
    <w:rsid w:val="00F44DA7"/>
    <w:rsid w:val="00F453B0"/>
    <w:rsid w:val="00F45CC0"/>
    <w:rsid w:val="00F47696"/>
    <w:rsid w:val="00F5240E"/>
    <w:rsid w:val="00F56DC8"/>
    <w:rsid w:val="00F60D00"/>
    <w:rsid w:val="00F61B6F"/>
    <w:rsid w:val="00F61EB7"/>
    <w:rsid w:val="00F63323"/>
    <w:rsid w:val="00F637DE"/>
    <w:rsid w:val="00F663CB"/>
    <w:rsid w:val="00F70096"/>
    <w:rsid w:val="00F735E2"/>
    <w:rsid w:val="00F74962"/>
    <w:rsid w:val="00F74C88"/>
    <w:rsid w:val="00F75AC8"/>
    <w:rsid w:val="00F76837"/>
    <w:rsid w:val="00F772EA"/>
    <w:rsid w:val="00F77D69"/>
    <w:rsid w:val="00F81A82"/>
    <w:rsid w:val="00F820B0"/>
    <w:rsid w:val="00F84031"/>
    <w:rsid w:val="00F8461D"/>
    <w:rsid w:val="00F86A3A"/>
    <w:rsid w:val="00F87529"/>
    <w:rsid w:val="00F919B3"/>
    <w:rsid w:val="00F95713"/>
    <w:rsid w:val="00F976EF"/>
    <w:rsid w:val="00FA0527"/>
    <w:rsid w:val="00FA0D64"/>
    <w:rsid w:val="00FA146C"/>
    <w:rsid w:val="00FA2A79"/>
    <w:rsid w:val="00FA43A4"/>
    <w:rsid w:val="00FA6658"/>
    <w:rsid w:val="00FA6C57"/>
    <w:rsid w:val="00FA6D41"/>
    <w:rsid w:val="00FB1218"/>
    <w:rsid w:val="00FB3627"/>
    <w:rsid w:val="00FB46C1"/>
    <w:rsid w:val="00FB5323"/>
    <w:rsid w:val="00FB669A"/>
    <w:rsid w:val="00FB79F1"/>
    <w:rsid w:val="00FB7FE0"/>
    <w:rsid w:val="00FC272E"/>
    <w:rsid w:val="00FC2A4F"/>
    <w:rsid w:val="00FC54FB"/>
    <w:rsid w:val="00FC5609"/>
    <w:rsid w:val="00FC75C2"/>
    <w:rsid w:val="00FD17D1"/>
    <w:rsid w:val="00FD23DE"/>
    <w:rsid w:val="00FD2921"/>
    <w:rsid w:val="00FD3E32"/>
    <w:rsid w:val="00FD6A8A"/>
    <w:rsid w:val="00FD6D6B"/>
    <w:rsid w:val="00FD7714"/>
    <w:rsid w:val="00FD7D11"/>
    <w:rsid w:val="00FE2DE8"/>
    <w:rsid w:val="00FE31A8"/>
    <w:rsid w:val="00FE3620"/>
    <w:rsid w:val="00FE4EE0"/>
    <w:rsid w:val="00FE5A55"/>
    <w:rsid w:val="00FE5C60"/>
    <w:rsid w:val="00FE738C"/>
    <w:rsid w:val="00FF0C55"/>
    <w:rsid w:val="00FF3298"/>
    <w:rsid w:val="00FF5354"/>
    <w:rsid w:val="00FF645C"/>
    <w:rsid w:val="02B652C7"/>
    <w:rsid w:val="06C74C88"/>
    <w:rsid w:val="17BE1311"/>
    <w:rsid w:val="17DB7522"/>
    <w:rsid w:val="1CFBA8EF"/>
    <w:rsid w:val="1FAE3C4F"/>
    <w:rsid w:val="2AB54EB7"/>
    <w:rsid w:val="37E56DDC"/>
    <w:rsid w:val="3AEB6B18"/>
    <w:rsid w:val="3B34E23B"/>
    <w:rsid w:val="3CFBA445"/>
    <w:rsid w:val="3E3F9807"/>
    <w:rsid w:val="4A454640"/>
    <w:rsid w:val="4D087097"/>
    <w:rsid w:val="591A2768"/>
    <w:rsid w:val="5F166FA9"/>
    <w:rsid w:val="68D75A1D"/>
    <w:rsid w:val="6C1A00FB"/>
    <w:rsid w:val="6CFFE404"/>
    <w:rsid w:val="710606B4"/>
    <w:rsid w:val="75FB62B1"/>
    <w:rsid w:val="76D8308D"/>
    <w:rsid w:val="77EF8595"/>
    <w:rsid w:val="7BDF6C6B"/>
    <w:rsid w:val="7E9F04EB"/>
    <w:rsid w:val="7F7FFD25"/>
    <w:rsid w:val="7FBD1C8C"/>
    <w:rsid w:val="7FEA0837"/>
    <w:rsid w:val="97FD32BE"/>
    <w:rsid w:val="B9FA080F"/>
    <w:rsid w:val="BFBE0C38"/>
    <w:rsid w:val="C6FF3ED5"/>
    <w:rsid w:val="DBF76A8A"/>
    <w:rsid w:val="DFDEFE09"/>
    <w:rsid w:val="F84F667C"/>
    <w:rsid w:val="FBFF3B82"/>
    <w:rsid w:val="FFAC8B78"/>
    <w:rsid w:val="FFCFCAD8"/>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iPriority="99" w:semiHidden="0"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semiHidden="0"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31"/>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33"/>
    <w:qFormat/>
    <w:uiPriority w:val="0"/>
    <w:pPr>
      <w:keepNext/>
      <w:keepLines/>
      <w:spacing w:before="240" w:after="240" w:line="560" w:lineRule="exact"/>
      <w:jc w:val="center"/>
      <w:outlineLvl w:val="1"/>
    </w:pPr>
    <w:rPr>
      <w:rFonts w:ascii="Cambria" w:hAnsi="Cambria" w:eastAsia="黑体" w:cs="Times New Roman"/>
      <w:b/>
      <w:bCs/>
      <w:sz w:val="36"/>
      <w:szCs w:val="32"/>
    </w:rPr>
  </w:style>
  <w:style w:type="paragraph" w:styleId="4">
    <w:name w:val="heading 3"/>
    <w:basedOn w:val="1"/>
    <w:next w:val="1"/>
    <w:link w:val="37"/>
    <w:unhideWhenUsed/>
    <w:qFormat/>
    <w:uiPriority w:val="0"/>
    <w:pPr>
      <w:keepNext/>
      <w:keepLines/>
      <w:spacing w:before="260" w:after="260" w:line="416" w:lineRule="auto"/>
      <w:outlineLvl w:val="2"/>
    </w:pPr>
    <w:rPr>
      <w:b/>
      <w:bCs/>
      <w:sz w:val="32"/>
      <w:szCs w:val="32"/>
    </w:rPr>
  </w:style>
  <w:style w:type="character" w:default="1" w:styleId="25">
    <w:name w:val="Default Paragraph Font"/>
    <w:semiHidden/>
    <w:unhideWhenUsed/>
    <w:qFormat/>
    <w:uiPriority w:val="1"/>
  </w:style>
  <w:style w:type="table" w:default="1" w:styleId="23">
    <w:name w:val="Normal Table"/>
    <w:semiHidden/>
    <w:unhideWhenUsed/>
    <w:qFormat/>
    <w:uiPriority w:val="99"/>
    <w:tblPr>
      <w:tblCellMar>
        <w:top w:w="0" w:type="dxa"/>
        <w:left w:w="108" w:type="dxa"/>
        <w:bottom w:w="0" w:type="dxa"/>
        <w:right w:w="108" w:type="dxa"/>
      </w:tblCellMar>
    </w:tblPr>
  </w:style>
  <w:style w:type="paragraph" w:styleId="5">
    <w:name w:val="toc 7"/>
    <w:basedOn w:val="1"/>
    <w:next w:val="1"/>
    <w:unhideWhenUsed/>
    <w:qFormat/>
    <w:uiPriority w:val="39"/>
    <w:pPr>
      <w:ind w:left="1260"/>
      <w:jc w:val="left"/>
    </w:pPr>
    <w:rPr>
      <w:rFonts w:cstheme="minorHAnsi"/>
      <w:sz w:val="18"/>
      <w:szCs w:val="18"/>
    </w:rPr>
  </w:style>
  <w:style w:type="paragraph" w:styleId="6">
    <w:name w:val="annotation text"/>
    <w:basedOn w:val="1"/>
    <w:link w:val="42"/>
    <w:unhideWhenUsed/>
    <w:qFormat/>
    <w:uiPriority w:val="99"/>
    <w:pPr>
      <w:jc w:val="left"/>
    </w:pPr>
  </w:style>
  <w:style w:type="paragraph" w:styleId="7">
    <w:name w:val="Body Text"/>
    <w:basedOn w:val="1"/>
    <w:link w:val="35"/>
    <w:qFormat/>
    <w:uiPriority w:val="1"/>
    <w:pPr>
      <w:autoSpaceDE w:val="0"/>
      <w:autoSpaceDN w:val="0"/>
      <w:adjustRightInd w:val="0"/>
      <w:jc w:val="left"/>
    </w:pPr>
    <w:rPr>
      <w:rFonts w:ascii="宋体" w:hAnsi="Times New Roman" w:eastAsia="宋体" w:cs="宋体"/>
      <w:kern w:val="0"/>
      <w:sz w:val="32"/>
      <w:szCs w:val="32"/>
    </w:rPr>
  </w:style>
  <w:style w:type="paragraph" w:styleId="8">
    <w:name w:val="toc 5"/>
    <w:basedOn w:val="1"/>
    <w:next w:val="1"/>
    <w:unhideWhenUsed/>
    <w:qFormat/>
    <w:uiPriority w:val="39"/>
    <w:pPr>
      <w:ind w:left="840"/>
      <w:jc w:val="left"/>
    </w:pPr>
    <w:rPr>
      <w:rFonts w:cstheme="minorHAnsi"/>
      <w:sz w:val="18"/>
      <w:szCs w:val="18"/>
    </w:rPr>
  </w:style>
  <w:style w:type="paragraph" w:styleId="9">
    <w:name w:val="toc 3"/>
    <w:basedOn w:val="1"/>
    <w:next w:val="1"/>
    <w:unhideWhenUsed/>
    <w:qFormat/>
    <w:uiPriority w:val="39"/>
    <w:pPr>
      <w:ind w:left="420"/>
      <w:jc w:val="left"/>
    </w:pPr>
    <w:rPr>
      <w:rFonts w:cstheme="minorHAnsi"/>
      <w:i/>
      <w:iCs/>
      <w:sz w:val="20"/>
      <w:szCs w:val="20"/>
    </w:rPr>
  </w:style>
  <w:style w:type="paragraph" w:styleId="10">
    <w:name w:val="toc 8"/>
    <w:basedOn w:val="1"/>
    <w:next w:val="1"/>
    <w:unhideWhenUsed/>
    <w:qFormat/>
    <w:uiPriority w:val="39"/>
    <w:pPr>
      <w:ind w:left="1470"/>
      <w:jc w:val="left"/>
    </w:pPr>
    <w:rPr>
      <w:rFonts w:cstheme="minorHAnsi"/>
      <w:sz w:val="18"/>
      <w:szCs w:val="18"/>
    </w:rPr>
  </w:style>
  <w:style w:type="paragraph" w:styleId="11">
    <w:name w:val="Date"/>
    <w:basedOn w:val="1"/>
    <w:next w:val="1"/>
    <w:link w:val="46"/>
    <w:semiHidden/>
    <w:unhideWhenUsed/>
    <w:qFormat/>
    <w:uiPriority w:val="99"/>
    <w:pPr>
      <w:ind w:left="100" w:leftChars="2500"/>
    </w:pPr>
  </w:style>
  <w:style w:type="paragraph" w:styleId="12">
    <w:name w:val="Balloon Text"/>
    <w:basedOn w:val="1"/>
    <w:link w:val="36"/>
    <w:unhideWhenUsed/>
    <w:qFormat/>
    <w:uiPriority w:val="99"/>
    <w:rPr>
      <w:sz w:val="18"/>
      <w:szCs w:val="18"/>
    </w:rPr>
  </w:style>
  <w:style w:type="paragraph" w:styleId="13">
    <w:name w:val="footer"/>
    <w:basedOn w:val="1"/>
    <w:link w:val="30"/>
    <w:unhideWhenUsed/>
    <w:qFormat/>
    <w:uiPriority w:val="99"/>
    <w:pPr>
      <w:tabs>
        <w:tab w:val="center" w:pos="4153"/>
        <w:tab w:val="right" w:pos="8306"/>
      </w:tabs>
      <w:snapToGrid w:val="0"/>
      <w:jc w:val="left"/>
    </w:pPr>
    <w:rPr>
      <w:sz w:val="18"/>
      <w:szCs w:val="18"/>
    </w:rPr>
  </w:style>
  <w:style w:type="paragraph" w:styleId="14">
    <w:name w:val="header"/>
    <w:basedOn w:val="1"/>
    <w:link w:val="29"/>
    <w:unhideWhenUsed/>
    <w:qFormat/>
    <w:uiPriority w:val="99"/>
    <w:pPr>
      <w:pBdr>
        <w:bottom w:val="single" w:color="auto" w:sz="6" w:space="1"/>
      </w:pBdr>
      <w:tabs>
        <w:tab w:val="center" w:pos="4153"/>
        <w:tab w:val="right" w:pos="8306"/>
      </w:tabs>
      <w:snapToGrid w:val="0"/>
      <w:jc w:val="center"/>
    </w:pPr>
    <w:rPr>
      <w:sz w:val="18"/>
      <w:szCs w:val="18"/>
    </w:rPr>
  </w:style>
  <w:style w:type="paragraph" w:styleId="15">
    <w:name w:val="toc 1"/>
    <w:basedOn w:val="1"/>
    <w:next w:val="1"/>
    <w:unhideWhenUsed/>
    <w:qFormat/>
    <w:uiPriority w:val="39"/>
    <w:pPr>
      <w:tabs>
        <w:tab w:val="right" w:leader="dot" w:pos="8296"/>
      </w:tabs>
      <w:snapToGrid w:val="0"/>
      <w:spacing w:line="360" w:lineRule="auto"/>
      <w:jc w:val="center"/>
    </w:pPr>
    <w:rPr>
      <w:rFonts w:ascii="Times New Roman" w:hAnsi="Times New Roman" w:eastAsia="楷体_GB2312" w:cstheme="minorHAnsi"/>
      <w:b/>
      <w:bCs/>
      <w:caps/>
      <w:sz w:val="28"/>
      <w:szCs w:val="20"/>
    </w:rPr>
  </w:style>
  <w:style w:type="paragraph" w:styleId="16">
    <w:name w:val="toc 4"/>
    <w:basedOn w:val="1"/>
    <w:next w:val="1"/>
    <w:unhideWhenUsed/>
    <w:qFormat/>
    <w:uiPriority w:val="39"/>
    <w:pPr>
      <w:ind w:left="630"/>
      <w:jc w:val="left"/>
    </w:pPr>
    <w:rPr>
      <w:rFonts w:cstheme="minorHAnsi"/>
      <w:sz w:val="18"/>
      <w:szCs w:val="18"/>
    </w:rPr>
  </w:style>
  <w:style w:type="paragraph" w:styleId="17">
    <w:name w:val="footnote text"/>
    <w:basedOn w:val="1"/>
    <w:link w:val="41"/>
    <w:unhideWhenUsed/>
    <w:qFormat/>
    <w:uiPriority w:val="99"/>
    <w:pPr>
      <w:snapToGrid w:val="0"/>
      <w:jc w:val="left"/>
    </w:pPr>
    <w:rPr>
      <w:sz w:val="18"/>
      <w:szCs w:val="18"/>
    </w:rPr>
  </w:style>
  <w:style w:type="paragraph" w:styleId="18">
    <w:name w:val="toc 6"/>
    <w:basedOn w:val="1"/>
    <w:next w:val="1"/>
    <w:unhideWhenUsed/>
    <w:qFormat/>
    <w:uiPriority w:val="39"/>
    <w:pPr>
      <w:ind w:left="1050"/>
      <w:jc w:val="left"/>
    </w:pPr>
    <w:rPr>
      <w:rFonts w:cstheme="minorHAnsi"/>
      <w:sz w:val="18"/>
      <w:szCs w:val="18"/>
    </w:rPr>
  </w:style>
  <w:style w:type="paragraph" w:styleId="19">
    <w:name w:val="toc 2"/>
    <w:basedOn w:val="1"/>
    <w:next w:val="1"/>
    <w:unhideWhenUsed/>
    <w:qFormat/>
    <w:uiPriority w:val="39"/>
    <w:pPr>
      <w:snapToGrid w:val="0"/>
      <w:spacing w:line="360" w:lineRule="auto"/>
      <w:ind w:firstLine="200" w:firstLineChars="200"/>
      <w:jc w:val="left"/>
    </w:pPr>
    <w:rPr>
      <w:rFonts w:ascii="Times New Roman" w:hAnsi="Times New Roman" w:eastAsia="楷体_GB2312" w:cstheme="minorHAnsi"/>
      <w:smallCaps/>
      <w:sz w:val="28"/>
      <w:szCs w:val="20"/>
    </w:rPr>
  </w:style>
  <w:style w:type="paragraph" w:styleId="20">
    <w:name w:val="toc 9"/>
    <w:basedOn w:val="1"/>
    <w:next w:val="1"/>
    <w:unhideWhenUsed/>
    <w:qFormat/>
    <w:uiPriority w:val="39"/>
    <w:pPr>
      <w:ind w:left="1680"/>
      <w:jc w:val="left"/>
    </w:pPr>
    <w:rPr>
      <w:rFonts w:cstheme="minorHAnsi"/>
      <w:sz w:val="18"/>
      <w:szCs w:val="18"/>
    </w:rPr>
  </w:style>
  <w:style w:type="paragraph" w:styleId="21">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22">
    <w:name w:val="annotation subject"/>
    <w:basedOn w:val="6"/>
    <w:next w:val="6"/>
    <w:link w:val="43"/>
    <w:unhideWhenUsed/>
    <w:qFormat/>
    <w:uiPriority w:val="99"/>
    <w:rPr>
      <w:b/>
      <w:bCs/>
    </w:rPr>
  </w:style>
  <w:style w:type="table" w:styleId="24">
    <w:name w:val="Table Grid"/>
    <w:basedOn w:val="23"/>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6">
    <w:name w:val="Hyperlink"/>
    <w:basedOn w:val="25"/>
    <w:unhideWhenUsed/>
    <w:qFormat/>
    <w:uiPriority w:val="99"/>
    <w:rPr>
      <w:color w:val="0563C1" w:themeColor="hyperlink"/>
      <w:u w:val="single"/>
      <w14:textFill>
        <w14:solidFill>
          <w14:schemeClr w14:val="hlink"/>
        </w14:solidFill>
      </w14:textFill>
    </w:rPr>
  </w:style>
  <w:style w:type="character" w:styleId="27">
    <w:name w:val="annotation reference"/>
    <w:basedOn w:val="25"/>
    <w:unhideWhenUsed/>
    <w:qFormat/>
    <w:uiPriority w:val="99"/>
    <w:rPr>
      <w:sz w:val="21"/>
      <w:szCs w:val="21"/>
    </w:rPr>
  </w:style>
  <w:style w:type="character" w:styleId="28">
    <w:name w:val="footnote reference"/>
    <w:basedOn w:val="25"/>
    <w:unhideWhenUsed/>
    <w:qFormat/>
    <w:uiPriority w:val="99"/>
    <w:rPr>
      <w:vertAlign w:val="superscript"/>
    </w:rPr>
  </w:style>
  <w:style w:type="character" w:customStyle="1" w:styleId="29">
    <w:name w:val="页眉 字符"/>
    <w:basedOn w:val="25"/>
    <w:link w:val="14"/>
    <w:qFormat/>
    <w:uiPriority w:val="99"/>
    <w:rPr>
      <w:sz w:val="18"/>
      <w:szCs w:val="18"/>
    </w:rPr>
  </w:style>
  <w:style w:type="character" w:customStyle="1" w:styleId="30">
    <w:name w:val="页脚 字符"/>
    <w:basedOn w:val="25"/>
    <w:link w:val="13"/>
    <w:qFormat/>
    <w:uiPriority w:val="99"/>
    <w:rPr>
      <w:sz w:val="18"/>
      <w:szCs w:val="18"/>
    </w:rPr>
  </w:style>
  <w:style w:type="character" w:customStyle="1" w:styleId="31">
    <w:name w:val="标题 1 字符"/>
    <w:basedOn w:val="25"/>
    <w:link w:val="2"/>
    <w:qFormat/>
    <w:uiPriority w:val="0"/>
    <w:rPr>
      <w:b/>
      <w:bCs/>
      <w:kern w:val="44"/>
      <w:sz w:val="44"/>
      <w:szCs w:val="44"/>
    </w:rPr>
  </w:style>
  <w:style w:type="character" w:customStyle="1" w:styleId="32">
    <w:name w:val="标题 2 字符"/>
    <w:basedOn w:val="25"/>
    <w:semiHidden/>
    <w:qFormat/>
    <w:uiPriority w:val="9"/>
    <w:rPr>
      <w:rFonts w:asciiTheme="majorHAnsi" w:hAnsiTheme="majorHAnsi" w:eastAsiaTheme="majorEastAsia" w:cstheme="majorBidi"/>
      <w:b/>
      <w:bCs/>
      <w:sz w:val="32"/>
      <w:szCs w:val="32"/>
    </w:rPr>
  </w:style>
  <w:style w:type="character" w:customStyle="1" w:styleId="33">
    <w:name w:val="标题 2 字符1"/>
    <w:link w:val="3"/>
    <w:qFormat/>
    <w:uiPriority w:val="0"/>
    <w:rPr>
      <w:rFonts w:ascii="Cambria" w:hAnsi="Cambria" w:eastAsia="黑体" w:cs="Times New Roman"/>
      <w:b/>
      <w:bCs/>
      <w:sz w:val="36"/>
      <w:szCs w:val="32"/>
    </w:rPr>
  </w:style>
  <w:style w:type="paragraph" w:customStyle="1" w:styleId="34">
    <w:name w:val="列表段落1"/>
    <w:basedOn w:val="1"/>
    <w:qFormat/>
    <w:uiPriority w:val="34"/>
    <w:pPr>
      <w:ind w:firstLine="420" w:firstLineChars="200"/>
    </w:pPr>
  </w:style>
  <w:style w:type="character" w:customStyle="1" w:styleId="35">
    <w:name w:val="正文文本 字符"/>
    <w:basedOn w:val="25"/>
    <w:link w:val="7"/>
    <w:qFormat/>
    <w:uiPriority w:val="99"/>
    <w:rPr>
      <w:rFonts w:ascii="宋体" w:hAnsi="Times New Roman" w:eastAsia="宋体" w:cs="宋体"/>
      <w:kern w:val="0"/>
      <w:sz w:val="32"/>
      <w:szCs w:val="32"/>
    </w:rPr>
  </w:style>
  <w:style w:type="character" w:customStyle="1" w:styleId="36">
    <w:name w:val="批注框文本 字符"/>
    <w:basedOn w:val="25"/>
    <w:link w:val="12"/>
    <w:semiHidden/>
    <w:qFormat/>
    <w:uiPriority w:val="99"/>
    <w:rPr>
      <w:sz w:val="18"/>
      <w:szCs w:val="18"/>
    </w:rPr>
  </w:style>
  <w:style w:type="character" w:customStyle="1" w:styleId="37">
    <w:name w:val="标题 3 字符"/>
    <w:basedOn w:val="25"/>
    <w:link w:val="4"/>
    <w:semiHidden/>
    <w:qFormat/>
    <w:uiPriority w:val="9"/>
    <w:rPr>
      <w:b/>
      <w:bCs/>
      <w:sz w:val="32"/>
      <w:szCs w:val="32"/>
    </w:rPr>
  </w:style>
  <w:style w:type="character" w:customStyle="1" w:styleId="38">
    <w:name w:val="bjh-h3"/>
    <w:basedOn w:val="25"/>
    <w:qFormat/>
    <w:uiPriority w:val="0"/>
  </w:style>
  <w:style w:type="character" w:customStyle="1" w:styleId="39">
    <w:name w:val="bjh-p"/>
    <w:basedOn w:val="25"/>
    <w:qFormat/>
    <w:uiPriority w:val="0"/>
  </w:style>
  <w:style w:type="paragraph" w:customStyle="1" w:styleId="40">
    <w:name w:val="Default"/>
    <w:qFormat/>
    <w:uiPriority w:val="0"/>
    <w:pPr>
      <w:widowControl w:val="0"/>
      <w:autoSpaceDE w:val="0"/>
      <w:autoSpaceDN w:val="0"/>
      <w:adjustRightInd w:val="0"/>
    </w:pPr>
    <w:rPr>
      <w:rFonts w:ascii="仿宋_GB2312" w:hAnsi="仿宋_GB2312" w:cs="仿宋_GB2312" w:eastAsiaTheme="minorEastAsia"/>
      <w:color w:val="000000"/>
      <w:sz w:val="24"/>
      <w:szCs w:val="24"/>
      <w:lang w:val="en-US" w:eastAsia="zh-CN" w:bidi="ar-SA"/>
    </w:rPr>
  </w:style>
  <w:style w:type="character" w:customStyle="1" w:styleId="41">
    <w:name w:val="脚注文本 字符"/>
    <w:basedOn w:val="25"/>
    <w:link w:val="17"/>
    <w:semiHidden/>
    <w:qFormat/>
    <w:uiPriority w:val="99"/>
    <w:rPr>
      <w:sz w:val="18"/>
      <w:szCs w:val="18"/>
    </w:rPr>
  </w:style>
  <w:style w:type="character" w:customStyle="1" w:styleId="42">
    <w:name w:val="批注文字 字符"/>
    <w:basedOn w:val="25"/>
    <w:link w:val="6"/>
    <w:semiHidden/>
    <w:qFormat/>
    <w:uiPriority w:val="99"/>
  </w:style>
  <w:style w:type="character" w:customStyle="1" w:styleId="43">
    <w:name w:val="批注主题 字符"/>
    <w:basedOn w:val="42"/>
    <w:link w:val="22"/>
    <w:semiHidden/>
    <w:qFormat/>
    <w:uiPriority w:val="99"/>
    <w:rPr>
      <w:b/>
      <w:bCs/>
    </w:rPr>
  </w:style>
  <w:style w:type="paragraph" w:customStyle="1" w:styleId="44">
    <w:name w:val="修订1"/>
    <w:hidden/>
    <w:semiHidden/>
    <w:qFormat/>
    <w:uiPriority w:val="99"/>
    <w:rPr>
      <w:rFonts w:asciiTheme="minorHAnsi" w:hAnsiTheme="minorHAnsi" w:eastAsiaTheme="minorEastAsia" w:cstheme="minorBidi"/>
      <w:kern w:val="2"/>
      <w:sz w:val="21"/>
      <w:szCs w:val="22"/>
      <w:lang w:val="en-US" w:eastAsia="zh-CN" w:bidi="ar-SA"/>
    </w:rPr>
  </w:style>
  <w:style w:type="paragraph" w:styleId="45">
    <w:name w:val="List Paragraph"/>
    <w:basedOn w:val="1"/>
    <w:qFormat/>
    <w:uiPriority w:val="34"/>
    <w:pPr>
      <w:ind w:firstLine="420" w:firstLineChars="200"/>
    </w:pPr>
  </w:style>
  <w:style w:type="character" w:customStyle="1" w:styleId="46">
    <w:name w:val="日期 字符"/>
    <w:basedOn w:val="25"/>
    <w:link w:val="11"/>
    <w:semiHidden/>
    <w:qFormat/>
    <w:uiPriority w:val="99"/>
    <w:rPr>
      <w:rFonts w:asciiTheme="minorHAnsi" w:hAnsiTheme="minorHAnsi" w:eastAsiaTheme="minorEastAsia" w:cstheme="minorBidi"/>
      <w:kern w:val="2"/>
      <w:sz w:val="21"/>
      <w:szCs w:val="22"/>
    </w:rPr>
  </w:style>
  <w:style w:type="character" w:customStyle="1" w:styleId="47">
    <w:name w:val="标题 3 字符1"/>
    <w:basedOn w:val="25"/>
    <w:qFormat/>
    <w:uiPriority w:val="0"/>
    <w:rPr>
      <w:rFonts w:ascii="Times New Roman" w:hAnsi="Times New Roman" w:eastAsia="黑体" w:cs="Times New Roman"/>
      <w:b/>
      <w:bCs/>
      <w:color w:val="000000"/>
      <w:sz w:val="32"/>
      <w:szCs w:val="32"/>
    </w:rPr>
  </w:style>
  <w:style w:type="paragraph" w:customStyle="1" w:styleId="48">
    <w:name w:val="修订2"/>
    <w:hidden/>
    <w:semiHidden/>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4.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66</Pages>
  <Words>32117</Words>
  <Characters>32514</Characters>
  <Lines>253</Lines>
  <Paragraphs>71</Paragraphs>
  <TotalTime>1</TotalTime>
  <ScaleCrop>false</ScaleCrop>
  <LinksUpToDate>false</LinksUpToDate>
  <CharactersWithSpaces>32542</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2022-03-29T01:00:00Z</dcterms:created>
  <dc:creator>PC</dc:creator>
  <cp:lastModifiedBy>嬲姐</cp:lastModifiedBy>
  <cp:lastPrinted>2022-03-26T01:19:00Z</cp:lastPrinted>
  <dcterms:modified xsi:type="dcterms:W3CDTF">2022-09-30T02:18:45Z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03C21AFD064D4C48BC163C1C8359DB48</vt:lpwstr>
  </property>
</Properties>
</file>