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0"/>
          <w:sz w:val="44"/>
          <w:szCs w:val="44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-1019810</wp:posOffset>
            </wp:positionH>
            <wp:positionV relativeFrom="paragraph">
              <wp:posOffset>-1323340</wp:posOffset>
            </wp:positionV>
            <wp:extent cx="7565390" cy="10699750"/>
            <wp:effectExtent l="0" t="0" r="16510" b="6350"/>
            <wp:wrapNone/>
            <wp:docPr id="2" name="图片 1" descr="局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局文件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pStyle w:val="2"/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rPr>
          <w:rFonts w:hint="default" w:ascii="Times New Roman" w:hAnsi="Times New Roman"/>
          <w:color w:val="auto"/>
          <w:spacing w:val="0"/>
          <w:w w:val="100"/>
          <w:kern w:val="0"/>
          <w:lang w:val="en-US" w:eastAsia="zh-CN"/>
        </w:rPr>
      </w:pPr>
    </w:p>
    <w:p>
      <w:pPr>
        <w:jc w:val="both"/>
        <w:rPr>
          <w:rFonts w:hint="eastAsia" w:ascii="Times New Roman" w:hAnsi="Times New Roman" w:eastAsia="仿宋_GB2312" w:cs="仿宋_GB2312"/>
          <w:color w:val="auto"/>
          <w:spacing w:val="0"/>
          <w:w w:val="100"/>
          <w:kern w:val="0"/>
          <w:sz w:val="32"/>
          <w:szCs w:val="32"/>
          <w:lang w:val="en-US" w:eastAsia="zh-CN"/>
        </w:rPr>
      </w:pPr>
    </w:p>
    <w:p>
      <w:pPr>
        <w:jc w:val="center"/>
        <w:rPr>
          <w:rFonts w:hint="eastAsia" w:ascii="Times New Roman" w:hAnsi="Times New Roman" w:eastAsia="仿宋_GB2312" w:cs="仿宋_GB2312"/>
          <w:color w:val="auto"/>
          <w:spacing w:val="0"/>
          <w:w w:val="100"/>
          <w:kern w:val="0"/>
          <w:sz w:val="18"/>
          <w:szCs w:val="18"/>
          <w:lang w:val="en-US" w:eastAsia="zh-CN"/>
        </w:rPr>
      </w:pPr>
    </w:p>
    <w:p>
      <w:pPr>
        <w:jc w:val="center"/>
        <w:rPr>
          <w:rFonts w:hint="eastAsia" w:ascii="Times New Roman" w:hAnsi="Times New Roman" w:eastAsia="仿宋_GB2312" w:cs="仿宋_GB2312"/>
          <w:color w:val="auto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0"/>
          <w:sz w:val="32"/>
          <w:szCs w:val="32"/>
          <w:lang w:val="en-US" w:eastAsia="zh-CN"/>
        </w:rPr>
        <w:t>鄂政数发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kern w:val="0"/>
          <w:sz w:val="32"/>
          <w:szCs w:val="32"/>
          <w:lang w:val="en-US" w:eastAsia="zh-CN"/>
        </w:rPr>
        <w:t>〔2024〕</w:t>
      </w:r>
      <w:r>
        <w:rPr>
          <w:rFonts w:hint="eastAsia" w:ascii="Times New Roman" w:hAnsi="Times New Roman" w:eastAsia="仿宋_GB2312" w:cs="Times New Roman"/>
          <w:color w:val="auto"/>
          <w:spacing w:val="0"/>
          <w:w w:val="100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0"/>
          <w:sz w:val="32"/>
          <w:szCs w:val="32"/>
          <w:lang w:val="en-US" w:eastAsia="zh-CN"/>
        </w:rPr>
        <w:t>号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60" w:lineRule="exact"/>
        <w:ind w:left="0" w:leftChars="0" w:firstLine="0" w:firstLineChars="0"/>
        <w:textAlignment w:val="baseline"/>
        <w:rPr>
          <w:rFonts w:hint="eastAsia" w:ascii="Times New Roman" w:hAnsi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鄂尔多斯市行政审批政务服务与数据管理局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关于印发《鄂尔多斯市行政审批政务服务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pacing w:val="-6"/>
          <w:sz w:val="44"/>
          <w:szCs w:val="44"/>
          <w:lang w:val="en-US" w:eastAsia="zh-CN"/>
        </w:rPr>
        <w:t>与数据管理局</w:t>
      </w:r>
      <w:r>
        <w:rPr>
          <w:rFonts w:hint="eastAsia" w:ascii="Times New Roman" w:hAnsi="Times New Roman" w:eastAsia="仿宋_GB2312" w:cs="Times New Roman"/>
          <w:spacing w:val="-6"/>
          <w:sz w:val="44"/>
          <w:szCs w:val="44"/>
          <w:lang w:val="en-US" w:eastAsia="zh-CN"/>
        </w:rPr>
        <w:t>2024</w:t>
      </w:r>
      <w:r>
        <w:rPr>
          <w:rFonts w:hint="eastAsia" w:ascii="Times New Roman" w:hAnsi="Times New Roman" w:eastAsia="方正小标宋简体" w:cs="方正小标宋简体"/>
          <w:spacing w:val="-6"/>
          <w:sz w:val="44"/>
          <w:szCs w:val="44"/>
          <w:lang w:val="en-US" w:eastAsia="zh-CN"/>
        </w:rPr>
        <w:t>年工作要点》的通知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各旗区政务服务局（行政审批和政务服务局），各科室，市政务服务中心（市大数据中心）：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现将《鄂尔多斯市行政审批政务服务与数据管理局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年工作要点》印发给你们，请围绕工作任务和目标要求，结合实际认真抓好落实。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240" w:firstLineChars="7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鄂尔多斯市行政审批政务服务与数据管理局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ascii="Times New Roman" w:hAnsi="Times New Roman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4896485</wp:posOffset>
                </wp:positionH>
                <wp:positionV relativeFrom="paragraph">
                  <wp:posOffset>819150</wp:posOffset>
                </wp:positionV>
                <wp:extent cx="793750" cy="254000"/>
                <wp:effectExtent l="0" t="0" r="13970" b="508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904230" y="9648825"/>
                          <a:ext cx="7937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5.55pt;margin-top:64.5pt;height:20pt;width:62.5pt;z-index:251661312;mso-width-relative:page;mso-height-relative:page;" fillcolor="#FFFFFF [3201]" filled="t" stroked="f" coordsize="21600,21600" o:gfxdata="UEsDBAoAAAAAAIdO4kAAAAAAAAAAAAAAAAAEAAAAZHJzL1BLAwQUAAAACACHTuJAN97yMNQAAAAL&#10;AQAADwAAAGRycy9kb3ducmV2LnhtbE2PzU7DMBCE70i8g7VI3KjjCqVtiNMDElck2tKzGy9xhL2O&#10;bPf36VlOcNyZ0ew37foSvDhhymMkDWpWgUDqox1p0LDbvj0tQeRiyBofCTVcMcO6u79rTWPjmT7w&#10;tCmD4BLKjdHgSpkaKXPvMJg8ixMSe18xBVP4TIO0yZy5PHg5r6paBjMSf3BmwleH/ffmGDTsh3Db&#10;f6opORv8M73frttdHLV+fFDVC4iCl/IXhl98RoeOmQ7xSDYLr2GxUIqjbMxXPIoTy1XNyoGVmhXZ&#10;tfL/hu4HUEsDBBQAAAAIAIdO4kCeQutcXAIAAJoEAAAOAAAAZHJzL2Uyb0RvYy54bWytVMFuEzEQ&#10;vSPxD5bvdDdpkiZRN1VoFYRU0UoFcXa83qwlr21sJ7vlA+APeuLCne/qd/DsTdpSOPRADs7Y8zzj&#10;92ZmT8+6RpGdcF4aXdDBUU6J0NyUUm8K+unj6s2UEh+YLpkyWhT0Vnh6tnj96rS1czE0tVGlcARB&#10;tJ+3tqB1CHaeZZ7XomH+yFih4ayMa1jA1m2y0rEW0RuVDfN8krXGldYZLrzH6UXvpPuI7iUBTVVJ&#10;Li4M3zZChz6qE4oFUPK1tJ4u0murSvBwVVVeBKIKCqYhrUgCex3XbHHK5hvHbC35/gnsJU94xqlh&#10;UiPpQ6gLFhjZOvlXqEZyZ7ypwhE3TdYTSYqAxSB/ps1NzaxIXCC1tw+i+/8Xln/YXTsiy4JOKNGs&#10;QcHv777f//h1//MbmUR5WuvnQN1Y4EL31nRomsO5x2Fk3VWuif/gQ+Afz/LR8BgS3xZ0NhlNp8Nx&#10;L7ToAuEAnMyOT8bwcwCG41Gep0Jkj4Gs8+GdMA2JRkEd6pjkZbtLH/AoQA+QmNcbJcuVVCpt3GZ9&#10;rhzZMdR8lX4xO678AVOatGB9jHfEW9rE+z1OacAj755ftEK37vZirE15Cy2c6ZvJW76SeOUl8+Ga&#10;OXQPiGG+whWWShkkMXuLktq4r/86j3gUFV5KWnRjQf2XLXOCEvVeo9yzwWiEsCFtRuOTITbuqWf9&#10;1KO3zbkB+QEm2fJkRnxQB7NypvmMMVzGrHAxzZG7oOFgnod+RjDGXCyXCYSGtSxc6hvLY+hetOU2&#10;mEqmkkSZem326qFlk+z78Yoz8XSfUI+flM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N97yMNQA&#10;AAALAQAADwAAAAAAAAABACAAAAAiAAAAZHJzL2Rvd25yZXYueG1sUEsBAhQAFAAAAAgAh07iQJ5C&#10;61xcAgAAmgQAAA4AAAAAAAAAAQAgAAAAIw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2024年3月27日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鄂尔多斯市行政审批政务服务与数据管理局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2024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年工作要点</w:t>
      </w:r>
    </w:p>
    <w:p>
      <w:pPr>
        <w:keepNext w:val="0"/>
        <w:keepLines w:val="0"/>
        <w:pageBreakBefore w:val="0"/>
        <w:widowControl w:val="0"/>
        <w:tabs>
          <w:tab w:val="center" w:pos="4482"/>
          <w:tab w:val="left" w:pos="69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，全市行政审批政务服务与数据管理工作总体要求是：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坚持以习近平新时代中国特色社会主义思想为指导，深入贯彻党的二十大精神，全面落实自治区政务服务与数据管理工作会议、市委五届七次全会暨经济工作会议、全市“两会”和高质量发展大会安排部署要求，把铸牢中华民族共同体意识作为各项工作的主线，紧扣落实全市“三个四”目标和“六个工程”任务，启动创建一流政务环境，加快推动数字经济发展和数字政府建设，持续提升营商环境吸引力，为全市高质量发展提供服务保障和数据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一、提升政务服务质量和效能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.提升行政审批效能。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推行极简审批模式，精简优化各类审批服务事项，持续“简程序、减材料、缩时限”，开展“一把手”走流程，推动流程优化再造，服务提速增效。协助行业主管部门做好审批事项的现场踏勘、技术审查、检验检测、听证论证等环节业务工作。强化审管协同配合，及时向主管部门推送审批结果数据，持续完善审管信息双向反馈机制。及时准确报送双公示信息，对守信主体依法依规采取优先办理、简化程序、绿色通道、给予公共服务支持或便利等奖励举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.推进政务服务领域基础清单标准化。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lang w:val="en-US" w:eastAsia="zh-CN" w:bidi="ar-SA"/>
        </w:rPr>
        <w:t>全面实行行政许可事项清单管理，动态调整和公布鄂尔多斯市行政许可事项清单，年底前，根据自治区制定的标准完成全市行政许可事项办事指南标准化工作。梳理公布行政权力中介服务事项清单，规范中介服务行为。做好取消下放权力事项的承接落实工作，动态调整和公布市本级权责清单，指导旗区调整本级权责清单。确保同一政务服务事项数据同源、动态更新、联动管理，线上线下无差别受理、同标准办理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/>
          <w:b/>
          <w:bCs/>
          <w:color w:val="000000"/>
          <w:sz w:val="32"/>
          <w:szCs w:val="32"/>
          <w:lang w:val="en-US" w:eastAsia="zh-CN"/>
        </w:rPr>
        <w:t>持续优化营商环境。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认真贯彻我市优化营商环境各项决策部署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，扎实推进各项牵头工作任务落实落细。深入开展暖城暖企专项提升行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动，序时推进重点任务和自治区营商环境评估反馈问题整改。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落实好自治区和我市诚信建设工程的部署要求，加强工作调度，全力推动诚信建设相关工作任务落地，取得实效。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.加快创建“无证明城市”。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梳理公布《无证明事项清单》，全面精简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个事项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类证明材料。推动惠企政策“免申即享”，拓展身份“电子码”应用场景，实施一批“免证办”事项，扩大电子证照在政务服务、住房、医疗、司法、交通、公共资源交易、公共信用等领域应用和互通互认范围。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夯实“一站式”服务水平。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深入推进线下办事“只进一门”，建立健全进驻事项“负面清单”制度，编制《鄂尔多斯市政务服务中心进驻事项负面清单》，推进政务服务事项“应进必进、授权到位、实质运行”，实现统一受理和一站式办理。打造企业服务专区，积极探索为企业提供人才、融资、科创、法律等方面增值服务。升级改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小时自助服务区，丰富政务公开区、企业会客厅、政务服务展示等区域功能。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.强化基层政务服务供给。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依据《内蒙古自治区苏木乡镇和街道职责事项指导目录》，梳理编制政务服务事项目录，集中进驻便民服务中心“一站式”办理。按照“多点可办、就近能办”的原则，加强便民服务中心与公安、税务、市场监管等部门派出机构联动能力，将户籍、税务、个体工商户登记等简单高频政务服务事项进驻便民服务中心。推广窗口前移、政务服务门牌、政银服务流动车、邮政+帮办代办等服务举措，持续提升基层政务服务能力。年内，每个旗区根据自身实际，在企业聚集和人员密集地区至少打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个标杆型便民服务中心和1个便民服务站。深化拓展“政银合作”模式，推动更多政务服务事项入驻到企业聚集和人流量密集的银行网点。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提升园区政务服务能力。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向园区政务服务工作站延伸覆盖“综合一窗受理”系统，实行“园区综合受理、分转部门审批、快递服务送达”服务方式，推动实现“园区事园区办”。在“蒙速办”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APP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设置“园区政务服务专区”，梳理整合园区企业经常办理的事项和特色应用，实现掌上预约、查询、办理等功能。年内，打造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个园区标准化政务服务工作站。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.推动高效办成“一件事”。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推动国务院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项高效办成“一件事”落地落实。对已发布上线的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项“一件事”进一步扩充事项、规范标准、优化完善。对开办运输企业、信用修复、企业上市合法合规信息核查、企业破产信息核查、社会保障卡居民服务、残疾人服务等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项“一件事”完成事项梳理、表单整合、流程再造，及时推广实施。落实好自治区明确的水利、能源、交通等工程建设领域“一件事”和新增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个特色“一件事”集成化办理。鼓励各旗区创新本地区特色“一件事”，对企业和群众获得感强、实施效果好的特色“一件事”全市推广。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提升“异地通办”质效。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聚焦企业和群众异地办事需求，持续推动政务服务事项全市通办、呼包鄂乌“四城通办”、跨省通办，做到就近办、异地办。做好自治区推出的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150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项高频事项“全区通办”推广运行工作。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.提高完善“掌上办”便利度。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优化提升“蒙速办·鄂能办”移动特色应用，推出更多惠企便民应用，持续加大应用迁移力度，年内，实现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60%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特色应用迁移至自治区融合平台，推动全流程掌上办理事项在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85%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以上。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lang w:val="en-US" w:eastAsia="zh-CN"/>
        </w:rPr>
        <w:t>拓展创新政务服务。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全面推广“云坐席”，对内强化跨窗口、跨层级、跨地区高效协同，对外提升远程可视化咨询办事服务，让线上线下办事更直观、更顺畅、更便捷。创新审批服务模式，打造信用+秒批、信用+容缺受理、信用+告知承诺、</w:t>
      </w:r>
      <w:r>
        <w:rPr>
          <w:rFonts w:hint="eastAsia" w:ascii="Times New Roman" w:hAnsi="Times New Roman" w:eastAsia="仿宋_GB2312" w:cs="仿宋_GB2312"/>
          <w:b w:val="0"/>
          <w:bCs w:val="0"/>
          <w:spacing w:val="-6"/>
          <w:sz w:val="32"/>
          <w:szCs w:val="32"/>
          <w:lang w:val="en-US" w:eastAsia="zh-CN"/>
        </w:rPr>
        <w:t>信用+免申即享和信用报告替代无违法违规证明等政务服务场景。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.推进政务公开标准化规范化。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持续规范依申请公开办理流程，强化重点领域和涉及市场主体的信息公开，加大行业惠民利企政策的公开力度，推进政策精准、便捷、高效推送。建设诚信工作专题栏目，落实“十公示”工作。开展市政府网站群集约化平台升级迁移、国产化适配工作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="0" w:beforeLines="0" w:after="0" w:afterLines="0"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13</w:t>
      </w:r>
      <w:r>
        <w:rPr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 w:bidi="ar-SA"/>
        </w:rPr>
        <w:t>.提升窗口服务质量。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推动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  <w:t>医保、人社、不动产</w:t>
      </w:r>
      <w:r>
        <w:rPr>
          <w:rFonts w:hint="eastAsia"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lang w:val="en-US" w:eastAsia="zh-CN"/>
        </w:rPr>
        <w:t>等分领域综合窗口向无差别综合窗口整合，年内，设置比例不低于80%，探索综合窗口合并运行。持续向便民服务中心延伸“综合一窗受理”系统。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升级取号系统，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32"/>
          <w:szCs w:val="32"/>
          <w:lang w:eastAsia="zh-CN"/>
        </w:rPr>
        <w:t>推进适老化改造和信息无障碍建设。建立帮办代办服务事项知识库，把企业开办、变更、注销“一件事”列入“帮您办”事项清单。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充实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“蓝马甲”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导办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队伍，全面推行“咨询＋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预审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＋导办+帮代办”一体化服务模式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</w:rPr>
        <w:t>加强</w:t>
      </w:r>
      <w:r>
        <w:rPr>
          <w:rFonts w:hint="eastAsia"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lang w:val="en-US" w:eastAsia="zh-CN"/>
        </w:rPr>
        <w:t>窗口人员</w:t>
      </w:r>
      <w:r>
        <w:rPr>
          <w:rFonts w:hint="eastAsia"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</w:rPr>
        <w:t>监督和</w:t>
      </w:r>
      <w:r>
        <w:rPr>
          <w:rFonts w:hint="eastAsia"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管理，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开展窗口岗位技能风采展演比赛，</w:t>
      </w:r>
      <w:r>
        <w:rPr>
          <w:rFonts w:hint="eastAsia"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lang w:val="en-US" w:eastAsia="zh-CN"/>
        </w:rPr>
        <w:t>严格实施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pacing w:val="0"/>
          <w:kern w:val="0"/>
          <w:sz w:val="32"/>
          <w:szCs w:val="32"/>
          <w:u w:val="none"/>
          <w:lang w:val="en-US" w:eastAsia="zh-CN"/>
        </w:rPr>
        <w:t>“好差评”制度等日常管理考核制度，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提升管理服务水平。年内，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至少打造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个旗区级一流政务服务中心。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二、提高接诉即办服务水平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14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/>
          <w:bCs/>
          <w:kern w:val="0"/>
          <w:sz w:val="32"/>
          <w:szCs w:val="32"/>
        </w:rPr>
        <w:t>构建“大热线”服务体系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b w:val="0"/>
          <w:bCs/>
          <w:sz w:val="32"/>
          <w:szCs w:val="32"/>
          <w:lang w:val="en-US" w:eastAsia="zh-CN"/>
        </w:rPr>
        <w:t>畅通</w:t>
      </w:r>
      <w:r>
        <w:rPr>
          <w:rFonts w:hint="eastAsia" w:ascii="Times New Roman" w:hAnsi="Times New Roman" w:eastAsia="仿宋_GB2312" w:cs="仿宋_GB2312"/>
          <w:b w:val="0"/>
          <w:bCs/>
          <w:sz w:val="32"/>
          <w:szCs w:val="32"/>
          <w:lang w:eastAsia="zh-CN"/>
        </w:rPr>
        <w:t>党委政府与群众联系的“绿色”通道，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提高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12345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热线平台与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110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报警服务平台高效对接联动服务能力。按照自治区安排部署完善与交通民航、水电气暖等民生服务领域联动机制。逐步实现与“蒙企通”、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96888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民营企业服务热线、中小企业公共服务平台等受理渠道互联互通，陆续开通挪车服务、法律援助、心理干预、救助保护、权益保障、家政服务等热线咨询，做细做精“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12345</w:t>
      </w:r>
      <w:r>
        <w:rPr>
          <w:rFonts w:hint="eastAsia" w:ascii="Times New Roman" w:hAnsi="Times New Roman" w:eastAsia="仿宋_GB2312" w:cs="仿宋_GB2312"/>
          <w:b w:val="0"/>
          <w:kern w:val="2"/>
          <w:sz w:val="32"/>
          <w:szCs w:val="32"/>
          <w:lang w:val="en-US" w:eastAsia="zh-CN" w:bidi="ar-SA"/>
        </w:rPr>
        <w:t>暖城总客服”。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提升智能化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辅助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水平。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t>配合推进全区热线一体化平台建设。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研究建设接诉即办“一站式”数字化运营中心，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提升智能辅助能力，逐步形成受理、转办、办理、回访、质检、评价全流程智能服务体系。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做优为企服务专线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在全面完善知识库内容的基础上，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建设为企服务政策解答专题知识库，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建成热线“百事通”，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以通俗易懂“一问一答”的方式，分领域分行业动态推送涉企服务政策信息，辅助话务员为企提供精准在线解答服务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.健全领导干部接线机制。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做好“两代表一委员”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12345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热线履职通道试点，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通过主动“亮身份”拨打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热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线、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定期走进热线接听市民来电开展监督问效，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建立“两代表一委员”基本信息库，增设反映问题信息录入功能和处理情况反馈功能，充分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发挥代表委员监督主体和桥梁纽带作用。制定市人民政府和市直部门领导定期接听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12345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热线电话计划，推动研究解决急难愁盼问题。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.深化“多多评+接诉即办+媒体监督”基层治理模式。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精心编排《暖城聚焦》栏目，推动点位监督向行业监督转变，民生“小切口”监督向营商“大环境”监督转变，“接诉即办”向“未诉先办”转变，进一步擦亮“暖城善治”品牌。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、推动数字经济高质量发展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trike/>
          <w:dstrike w:val="0"/>
          <w:color w:val="auto"/>
          <w:kern w:val="0"/>
          <w:sz w:val="32"/>
          <w:szCs w:val="32"/>
          <w:highlight w:val="yellow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highlight w:val="none"/>
          <w:lang w:val="en-US" w:eastAsia="zh-CN"/>
        </w:rPr>
        <w:t>构建数字经济发展服务体系。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制定出台《鄂尔多斯市数字经济发展行动计划》《鄂尔多斯市支持数字经济发展专项政策》，有效服务和支撑鄂尔多斯经济社会数字化转型。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．加强新型基础设施建设。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引导传统基础设施数字化改造，积极布局新型网络、智能计算、人工智能、产业创新等新型基础设施建设。加强数据中心运行监测，配合完成自治区数据中心综合监测平台建设，推动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个标准机架以上数据中心全部接入监测平台，不断完善监测指标，提升监测数据质量。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加快推进算力产业发展。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制定《鄂尔多斯市算力基础设施高质量发展实施方案》，充分发挥算力对数字经济的驱动作用。引导电信、联通、云泰互联、佳乐数据等本地数据中心企业从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CPU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GPU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NPU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DPU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等智算平台转型发展。支持超级计算与人工智能研究院在超算智算领域业务研发，加快存算一体发展，开展数据中心</w:t>
      </w:r>
      <w:r>
        <w:rPr>
          <w:rFonts w:hint="default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存力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统计监测。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推进数字产业化发展。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支持数字投资公司、数字经济发展投资公司、数芯科技、海瑞科技、云泰互联等企业打造数字产业生态。大力推广应用大数据、人工智能、区块链、超高清视频、工业机器人等新技术，加快引进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家以上数字经济头部企业。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培育数字企业发展。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培育发展一批大数据、信息化领域的企业，依托大数据产业发展服务平台为企业提供招商引资、政策咨询、产业视图、产业服务、人才支撑、教育培训、宣传推广等服务，全年新增培育企业不少于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家。推广地理信息资源应用，提升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全市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空间地理产业水平，实现资源共享和降本增效，逐步打造地理信息产业业态，全年推广不少于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家企事业单位。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发展数字产业链。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制定《鄂尔多斯市数字产业链链主企业培育行动计划》，完善数字产业链“两图两库两表”，建立数字经济产业链链主企业名录。发挥数字产业链链主作用，引育本地数字领军企业与中小微企业，围绕“链主”企业招商引资“延链”，成立以链主为组成人员的“数智联盟”协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精准开展招商引资。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编制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数字经济精准招商企业名录，组织数字经济专场招商会，探索与京津冀、长三角等地组建跨区域数字经济产业联盟。建立招商项目储备库，加强与招商代理专业机构和平台的合作，创新招商引资工作模式，拓宽招商引资信息渠道。持续跟踪落地项目发展情况，建立企业后评价机制，提升招商质效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、加强数字政府建设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开展专网整合行动。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调研全市各部门专网情况，逐一明确关停、迁移、对接标准，确保将政策规定允许迁入政务外网的所有专网进行迁移整合，进一步优化网络架构，提高网络资源使用效率。提高政务外网安全防护能力、容灾能力，为实现政务数据“聚通用”打好网络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提升云平台服务支撑能力。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优化政务云、警务云服务质量与能力，持续开展政务云、警务云资源优化工作，确保政务云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73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个上云单位、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341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个业务系统，警务云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79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业务系统高效稳定运行。加强商用密码应用服务和温冷数据存储备份等能力，为各部门业务系统运行和数据安全提供基础保障。会同保密、教育等部门开展扩容信创云、高校云等集约性项目建设，做好技术支撑和运维保障等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建设鄂尔多斯城市智能体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在政务服务效率提升、自然资源守护、生态环境治理和安全应急管理等领域，加快完善、迭代、开发数字化场景应用，重点打造一批智慧化典型场景。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29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开展“一网统管”行动。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搭建完成全市“一网统管”基础底座和架构，接入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个信息系统。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0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加快重点项目建设。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重点推动市“智慧应急”综合应用平台（一期）、市特种设备智能监管平台、市智慧文旅平台升级改造（文旅超融合大数据平台）、文化大数据体系项目、市智慧能源平台、市智慧消防防控应用项目、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12345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政务服务便民热线平台升级改造等项目建设。推广“根数据库”和“一表通”应用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不断丰富完善“根数据库”人、房、企字段和标签，提高数据质量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增加农牧资产根数据库字段标签，升级“一表通”应用，适配与苏木镇相适应的特色应用和功能，实现全市</w:t>
      </w:r>
      <w:r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  <w:lang w:val="en-US" w:eastAsia="zh-CN" w:bidi="ar-SA"/>
        </w:rPr>
        <w:t>77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个街道苏木镇的“根数据库”和“一表通”应用全覆盖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，4月底前完成全市所有街道推广应用，7月底前在全市所有苏木乡镇全面推开。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．强化网络安全保护。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编制《数字鄂尔多斯网络安全规划》，建立完善基础设施安全保护、大数据应用安全、网络安全审查等管理机制。压实网络安全责任，加强网络安全监测和安全培训，提升网络安全防护水平。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、充分释放数据要素价值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强化数据资源管理。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制定《鄂尔多斯市关于构建数据基础制度更好发挥数据要素作用实施方案》。推动鄂尔多斯市数据管理条例立法工作，完成鄂尔多斯市数据管理条例立法调研报告。启动数据资源管理和数据治理项目，对全市公共数据资源进行统一管理，针对市公共信息平台各基础库提供数据治理服务。落实自治区数据安全管理试点工作，启动实施数据安全项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33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推动数据资源共享开放。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完善全市人口、法人、自然资源、宏观经济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个基础库，数据总量增加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500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万条以上；持续推动全市数据共享工作，市直部门接入市公共平台比率增长至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85%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，数据增长量超过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亿条；在自治区政务共享平台挂载目录数量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1600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个以上、数据量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1.9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亿条以上。结合自治区要求深化数据共享“三张清单”应用，完成《鄂尔多斯市公共信息资源目录（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年）》编制工作。开展全市公共信息平台及基础数据库的升级工作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提升重点领域公共数据开放能力。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34</w:t>
      </w:r>
      <w:r>
        <w:rPr>
          <w:rFonts w:hint="eastAsia" w:ascii="Times New Roman" w:hAnsi="Times New Roman" w:eastAsia="仿宋_GB2312" w:cs="仿宋_GB2312"/>
          <w:b/>
          <w:bCs/>
          <w:color w:val="auto"/>
          <w:spacing w:val="0"/>
          <w:sz w:val="32"/>
          <w:szCs w:val="32"/>
          <w:highlight w:val="none"/>
          <w:u w:val="none" w:color="auto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促进数据资源开发利用。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积极开展“数据要素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”行动试点，围绕金融、文旅、卫生健康等领域创新数据应用场景，挖掘数据要素应用价值。推动内蒙古数据交易中心鄂尔多斯分中心建设。试点开展公共数据授权运营，启动数据运营平台前期立项工作。推动鄂尔多斯市数据要素基础项目建设方案编制工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sectPr>
          <w:footerReference r:id="rId4" w:type="default"/>
          <w:headerReference r:id="rId3" w:type="even"/>
          <w:footerReference r:id="rId5" w:type="even"/>
          <w:pgSz w:w="11906" w:h="16838"/>
          <w:pgMar w:top="2098" w:right="1474" w:bottom="1984" w:left="1587" w:header="851" w:footer="1417" w:gutter="0"/>
          <w:pgNumType w:fmt="decimal" w:start="1"/>
          <w:cols w:space="425" w:num="1"/>
          <w:docGrid w:type="lines" w:linePitch="312" w:charSpace="0"/>
        </w:sect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/>
          <w:lang w:val="en-US" w:eastAsia="zh-CN"/>
        </w:rPr>
      </w:pPr>
    </w:p>
    <w:p>
      <w:pPr>
        <w:pStyle w:val="2"/>
        <w:rPr>
          <w:rFonts w:hint="eastAsia" w:ascii="Times New Roman" w:hAnsi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3" w:firstLineChars="50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 w:eastAsia="仿宋_GB2312"/>
          <w:snapToGrid w:val="0"/>
          <w:color w:val="auto"/>
          <w:spacing w:val="-17"/>
          <w:w w:val="100"/>
          <w:kern w:val="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418465</wp:posOffset>
                </wp:positionV>
                <wp:extent cx="56007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32.95pt;height:0pt;width:441pt;z-index:251659264;mso-width-relative:page;mso-height-relative:page;" filled="f" stroked="t" coordsize="21600,21600" o:gfxdata="UEsDBAoAAAAAAIdO4kAAAAAAAAAAAAAAAAAEAAAAZHJzL1BLAwQUAAAACACHTuJAW/qfQ9IAAAAH&#10;AQAADwAAAGRycy9kb3ducmV2LnhtbE2Oy07DMBBF90j8gzVIbKrWbiuqEOJ0AWTHhgLqdhoPSUQ8&#10;TmP3AV/PIBawvA/de4r12ffqSGPsAluYzwwo4jq4jhsLry/VNAMVE7LDPjBZ+KQI6/LyosDchRM/&#10;03GTGiUjHHO00KY05FrHuiWPcRYGYsnew+gxiRwb7UY8ybjv9cKYlfbYsTy0ONB9S/XH5uAtxOqN&#10;9tXXpJ6Y7bIJtNg/PD2itddXc3MHKtE5/ZXhB1/QoRSmXTiwi6oXLeDJwurmFpTEWbYUY/dr6LLQ&#10;//nLb1BLAwQUAAAACACHTuJATsauTvoBAADuAwAADgAAAGRycy9lMm9Eb2MueG1srVNLjhMxEN0j&#10;cQfLe9KdjDJAK51ZTBg2CCIBB6j4023JP9lOOrkEF0BiByuW7LnNDMeg7M5kYNhkQS/cZVfVq3rP&#10;5cXV3miyEyEqZ1s6ndSUCMscV7Zr6ccPN89eUBITWA7aWdHSg4j0avn0yWLwjZi53mkuAkEQG5vB&#10;t7RPyTdVFVkvDMSJ88KiU7pgIOE2dBUPMCC60dWsri+rwQXug2MiRjxdjU56RAznADopFRMrx7ZG&#10;2DSiBqEhIaXYKx/psnQrpWDpnZRRJKJbikxTWbEI2pu8VssFNF0A3yt2bAHOaeERJwPKYtET1AoS&#10;kG1Q/0AZxYKLTqYJc6YaiRRFkMW0fqTN+x68KFxQ6uhPosf/B8ve7taBKN7SC0osGLzwu88/bj99&#10;/fXzC65337+RiyzS4GODsdd2HY676NchM97LYPIfuZB9EfZwElbsE2F4OL+s6+c1as7ufdVDog8x&#10;vRbOkGy0VCubOUMDuzcxYTEMvQ/Jx9qSoaUv57M5wgEOoMSLR9N4JBFtV3Kj04rfKK1zRgzd5loH&#10;soM8BOXLlBD3r7BcZAWxH+OKaxyP4LaWYwI0vQD+ynKSDh6Fsvg+aG7GCE6JFvicslUiEyh9TiQ2&#10;oS32kvUdFc3WxvEDXsvWB9X1qMm09Js9OAal8+PI5jn7c1+QHp7p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b+p9D0gAAAAcBAAAPAAAAAAAAAAEAIAAAACIAAABkcnMvZG93bnJldi54bWxQSwEC&#10;FAAUAAAACACHTuJATsauTvoBAADuAwAADgAAAAAAAAABACAAAAAh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/>
          <w:snapToGrid w:val="0"/>
          <w:color w:val="auto"/>
          <w:spacing w:val="-17"/>
          <w:w w:val="100"/>
          <w:kern w:val="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5600700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35pt;height:0pt;width:441pt;z-index:251660288;mso-width-relative:page;mso-height-relative:page;" filled="f" stroked="t" coordsize="21600,21600" o:gfxdata="UEsDBAoAAAAAAIdO4kAAAAAAAAAAAAAAAAAEAAAAZHJzL1BLAwQUAAAACACHTuJAduQSx9EAAAAE&#10;AQAADwAAAGRycy9kb3ducmV2LnhtbE2Py07DMBBF90j8gzVIbCpqN0gQpXG6ALJjQyliO42nSUQ8&#10;TmP3AV/PwAaWR3d075lydfaDOtIU+8AWFnMDirgJrufWwua1vslBxYTscAhMFj4pwqq6vCixcOHE&#10;L3Rcp1ZJCccCLXQpjYXWsenIY5yHkViyXZg8JsGp1W7Ck5T7QWfG3GmPPctChyM9dNR8rA/eQqzf&#10;aF9/zZqZeb9tA2X7x+cntPb6amGWoBKd098x/OiLOlTitA0HdlENFuSRZCG7ByVhnmfC21/WVan/&#10;y1ffUEsDBBQAAAAIAIdO4kC9iouj+gEAAO4DAAAOAAAAZHJzL2Uyb0RvYy54bWytU0uOEzEQ3SNx&#10;B8t70p1oMkArnVlMGDYIIgEHqPjTbck/2U46uQQXQGIHK5bsuc0Mx6DszmRg2GRBL9xlV9Wres/l&#10;xdXeaLITISpnWzqd1JQIyxxXtmvpxw83z15QEhNYDtpZ0dKDiPRq+fTJYvCNmLneaS4CQRAbm8G3&#10;tE/JN1UVWS8MxInzwqJTumAg4TZ0FQ8wILrR1ayuL6vBBe6DYyJGPF2NTnpEDOcAOikVEyvHtkbY&#10;NKIGoSEhpdgrH+mydCulYOmdlFEkoluKTFNZsQjam7xWywU0XQDfK3ZsAc5p4REnA8pi0RPUChKQ&#10;bVD/QBnFgotOpglzphqJFEWQxbR+pM37HrwoXFDq6E+ix/8Hy97u1oEo3tILSiwYvPC7zz9uP339&#10;9fMLrnffv5GLLNLgY4Ox13Ydjrvo1yEz3stg8h+5kH0R9nASVuwTYXg4v6zr5zVqzu591UOiDzG9&#10;Fs6QbLRUK5s5QwO7NzFhMQy9D8nH2pKhpS/nsznCAQ6gxItH03gkEW1XcqPTit8orXNGDN3mWgey&#10;gzwE5cuUEPevsFxkBbEf44prHI/gtpZjAjS9AP7KcpIOHoWy+D5obsYITokW+JyyVSITKH1OJDah&#10;LfaS9R0VzdbG8QNey9YH1fWoybT0mz04BqXz48jmOftzX5Aenun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bkEsfRAAAABAEAAA8AAAAAAAAAAQAgAAAAIgAAAGRycy9kb3ducmV2LnhtbFBLAQIU&#10;ABQAAAAIAIdO4kC9iouj+gEAAO4DAAAOAAAAAAAAAAEAIAAAACA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宋体"/>
          <w:bCs/>
          <w:snapToGrid w:val="0"/>
          <w:color w:val="auto"/>
          <w:spacing w:val="-17"/>
          <w:w w:val="100"/>
          <w:kern w:val="0"/>
          <w:sz w:val="28"/>
          <w:szCs w:val="28"/>
          <w:u w:val="none"/>
        </w:rPr>
        <w:t>鄂尔多斯市</w:t>
      </w:r>
      <w:r>
        <w:rPr>
          <w:rFonts w:hint="eastAsia" w:ascii="Times New Roman" w:hAnsi="Times New Roman" w:eastAsia="仿宋_GB2312" w:cs="宋体"/>
          <w:bCs/>
          <w:snapToGrid w:val="0"/>
          <w:color w:val="auto"/>
          <w:spacing w:val="-17"/>
          <w:w w:val="100"/>
          <w:kern w:val="0"/>
          <w:sz w:val="28"/>
          <w:szCs w:val="28"/>
          <w:u w:val="none"/>
          <w:lang w:eastAsia="zh-CN"/>
        </w:rPr>
        <w:t>行政审批</w:t>
      </w:r>
      <w:r>
        <w:rPr>
          <w:rFonts w:hint="eastAsia" w:ascii="Times New Roman" w:hAnsi="Times New Roman" w:eastAsia="仿宋_GB2312" w:cs="宋体"/>
          <w:bCs/>
          <w:snapToGrid w:val="0"/>
          <w:color w:val="auto"/>
          <w:spacing w:val="-17"/>
          <w:w w:val="100"/>
          <w:kern w:val="0"/>
          <w:sz w:val="28"/>
          <w:szCs w:val="28"/>
          <w:u w:val="none"/>
        </w:rPr>
        <w:t>政务服务</w:t>
      </w:r>
      <w:r>
        <w:rPr>
          <w:rFonts w:hint="eastAsia" w:ascii="Times New Roman" w:hAnsi="Times New Roman" w:eastAsia="仿宋_GB2312" w:cs="宋体"/>
          <w:bCs/>
          <w:snapToGrid w:val="0"/>
          <w:color w:val="auto"/>
          <w:spacing w:val="-17"/>
          <w:w w:val="100"/>
          <w:kern w:val="0"/>
          <w:sz w:val="28"/>
          <w:szCs w:val="28"/>
          <w:u w:val="none"/>
          <w:lang w:eastAsia="zh-CN"/>
        </w:rPr>
        <w:t>与数据</w:t>
      </w:r>
      <w:r>
        <w:rPr>
          <w:rFonts w:hint="eastAsia" w:ascii="Times New Roman" w:hAnsi="Times New Roman" w:eastAsia="仿宋_GB2312" w:cs="仿宋_GB2312"/>
          <w:bCs/>
          <w:snapToGrid w:val="0"/>
          <w:color w:val="auto"/>
          <w:spacing w:val="-17"/>
          <w:w w:val="100"/>
          <w:kern w:val="0"/>
          <w:sz w:val="28"/>
          <w:szCs w:val="28"/>
          <w:u w:val="none"/>
          <w:lang w:eastAsia="zh-CN"/>
        </w:rPr>
        <w:t>管理局</w:t>
      </w:r>
      <w:r>
        <w:rPr>
          <w:rFonts w:hint="eastAsia" w:ascii="Times New Roman" w:hAnsi="Times New Roman" w:eastAsia="仿宋_GB2312" w:cs="仿宋_GB2312"/>
          <w:bCs/>
          <w:snapToGrid w:val="0"/>
          <w:color w:val="auto"/>
          <w:spacing w:val="-17"/>
          <w:w w:val="100"/>
          <w:kern w:val="0"/>
          <w:sz w:val="28"/>
          <w:szCs w:val="28"/>
          <w:u w:val="none"/>
        </w:rPr>
        <w:t>办公室</w:t>
      </w:r>
      <w:r>
        <w:rPr>
          <w:rFonts w:hint="eastAsia" w:ascii="Times New Roman" w:hAnsi="Times New Roman" w:eastAsia="仿宋_GB2312" w:cs="仿宋_GB2312"/>
          <w:bCs/>
          <w:snapToGrid w:val="0"/>
          <w:color w:val="auto"/>
          <w:spacing w:val="-17"/>
          <w:w w:val="100"/>
          <w:kern w:val="0"/>
          <w:sz w:val="28"/>
          <w:szCs w:val="28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</w:rPr>
        <w:t>202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</w:rPr>
        <w:t>年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</w:rPr>
        <w:t>月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w w:val="100"/>
          <w:kern w:val="0"/>
          <w:sz w:val="28"/>
          <w:szCs w:val="28"/>
          <w:u w:val="none"/>
        </w:rPr>
        <w:t>日</w:t>
      </w:r>
      <w:r>
        <w:rPr>
          <w:rFonts w:hint="eastAsia" w:ascii="Times New Roman" w:hAnsi="Times New Roman" w:eastAsia="仿宋_GB2312" w:cs="仿宋_GB2312"/>
          <w:snapToGrid w:val="0"/>
          <w:color w:val="auto"/>
          <w:spacing w:val="0"/>
          <w:w w:val="100"/>
          <w:kern w:val="0"/>
          <w:sz w:val="28"/>
          <w:szCs w:val="28"/>
          <w:u w:val="none"/>
        </w:rPr>
        <w:t>印发</w:t>
      </w:r>
    </w:p>
    <w:sectPr>
      <w:footerReference r:id="rId6" w:type="default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6011F3-0A99-48F7-9087-C9455FB8BA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EFD1DBC-DDA5-4AA4-AB25-F4BE6189981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3ACED9B-D9C8-48CA-A86E-F7632F7C171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E483CAE-6FCB-42CB-BF95-4FFC72EE86C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AD53193-B808-4196-965F-E20AB2E6B18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286E6E68-36C0-4ED3-8498-10486540E5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/>
        <w:lang w:val="en-US"/>
      </w:rPr>
    </w:pPr>
    <w:r>
      <w:rPr>
        <w:rFonts w:hint="eastAsia"/>
        <w:lang w:val="en-US" w:eastAsia="zh-CN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NDM2NGRlZjIwNjljMjM1NjM5OTNkZWVmZDJlNmMifQ=="/>
  </w:docVars>
  <w:rsids>
    <w:rsidRoot w:val="00000000"/>
    <w:rsid w:val="007A3406"/>
    <w:rsid w:val="00A40483"/>
    <w:rsid w:val="00A81D22"/>
    <w:rsid w:val="00F431B9"/>
    <w:rsid w:val="0121456B"/>
    <w:rsid w:val="014C4DA3"/>
    <w:rsid w:val="018362EB"/>
    <w:rsid w:val="01F056EF"/>
    <w:rsid w:val="02855E9C"/>
    <w:rsid w:val="03190CB5"/>
    <w:rsid w:val="039E11BA"/>
    <w:rsid w:val="039E1D85"/>
    <w:rsid w:val="04365C59"/>
    <w:rsid w:val="04367644"/>
    <w:rsid w:val="04770389"/>
    <w:rsid w:val="049E429F"/>
    <w:rsid w:val="04A269CF"/>
    <w:rsid w:val="04A73B9D"/>
    <w:rsid w:val="04E946B7"/>
    <w:rsid w:val="05A35283"/>
    <w:rsid w:val="05B253F0"/>
    <w:rsid w:val="05D967A4"/>
    <w:rsid w:val="05E02CA7"/>
    <w:rsid w:val="06047638"/>
    <w:rsid w:val="062A142B"/>
    <w:rsid w:val="066E30C6"/>
    <w:rsid w:val="066E7569"/>
    <w:rsid w:val="06767EE0"/>
    <w:rsid w:val="06CC5B3F"/>
    <w:rsid w:val="070D6D82"/>
    <w:rsid w:val="074D717F"/>
    <w:rsid w:val="075F6EB2"/>
    <w:rsid w:val="07A72E3D"/>
    <w:rsid w:val="07A72ED1"/>
    <w:rsid w:val="088F5575"/>
    <w:rsid w:val="08C571E9"/>
    <w:rsid w:val="08F90033"/>
    <w:rsid w:val="09026390"/>
    <w:rsid w:val="09F67C7A"/>
    <w:rsid w:val="0A177036"/>
    <w:rsid w:val="0A317207"/>
    <w:rsid w:val="0A7D072C"/>
    <w:rsid w:val="0B1306DF"/>
    <w:rsid w:val="0B165B61"/>
    <w:rsid w:val="0BB377CC"/>
    <w:rsid w:val="0C0D512F"/>
    <w:rsid w:val="0C5E598A"/>
    <w:rsid w:val="0C607954"/>
    <w:rsid w:val="0CCF0636"/>
    <w:rsid w:val="0DF02F5A"/>
    <w:rsid w:val="0E01674F"/>
    <w:rsid w:val="0E163773"/>
    <w:rsid w:val="0E3A5F83"/>
    <w:rsid w:val="0E471F5C"/>
    <w:rsid w:val="0E4806A0"/>
    <w:rsid w:val="0E80608C"/>
    <w:rsid w:val="0EB237BA"/>
    <w:rsid w:val="0ECE5049"/>
    <w:rsid w:val="0EDB32C2"/>
    <w:rsid w:val="0F135152"/>
    <w:rsid w:val="0F2A5FF8"/>
    <w:rsid w:val="0F77627B"/>
    <w:rsid w:val="0FA1558F"/>
    <w:rsid w:val="100462A4"/>
    <w:rsid w:val="10090303"/>
    <w:rsid w:val="1013280C"/>
    <w:rsid w:val="103C5FE2"/>
    <w:rsid w:val="1044769D"/>
    <w:rsid w:val="10EA1EE2"/>
    <w:rsid w:val="10FE773C"/>
    <w:rsid w:val="115832F0"/>
    <w:rsid w:val="115E01DA"/>
    <w:rsid w:val="1173042C"/>
    <w:rsid w:val="11AA1B96"/>
    <w:rsid w:val="11C269BB"/>
    <w:rsid w:val="12011292"/>
    <w:rsid w:val="127557DC"/>
    <w:rsid w:val="128C2923"/>
    <w:rsid w:val="128D521B"/>
    <w:rsid w:val="12F22868"/>
    <w:rsid w:val="13053004"/>
    <w:rsid w:val="1319260B"/>
    <w:rsid w:val="13206AB4"/>
    <w:rsid w:val="13C968AE"/>
    <w:rsid w:val="14115C0D"/>
    <w:rsid w:val="1454361F"/>
    <w:rsid w:val="14740A1C"/>
    <w:rsid w:val="148B7538"/>
    <w:rsid w:val="148D59E2"/>
    <w:rsid w:val="14DF1632"/>
    <w:rsid w:val="14F7697C"/>
    <w:rsid w:val="15916DD0"/>
    <w:rsid w:val="16210154"/>
    <w:rsid w:val="16273291"/>
    <w:rsid w:val="16442095"/>
    <w:rsid w:val="16485271"/>
    <w:rsid w:val="16AB5C70"/>
    <w:rsid w:val="175C6F6A"/>
    <w:rsid w:val="175E7186"/>
    <w:rsid w:val="17DD454F"/>
    <w:rsid w:val="180B10BC"/>
    <w:rsid w:val="18A312F5"/>
    <w:rsid w:val="18D45952"/>
    <w:rsid w:val="19002AD9"/>
    <w:rsid w:val="191D00C0"/>
    <w:rsid w:val="195B607F"/>
    <w:rsid w:val="196C232A"/>
    <w:rsid w:val="198830FD"/>
    <w:rsid w:val="19B1359D"/>
    <w:rsid w:val="19BB266E"/>
    <w:rsid w:val="19E27BFB"/>
    <w:rsid w:val="1A3C2ADC"/>
    <w:rsid w:val="1A8E7D82"/>
    <w:rsid w:val="1A9C2CCF"/>
    <w:rsid w:val="1AAD527B"/>
    <w:rsid w:val="1AAD645B"/>
    <w:rsid w:val="1AFC4CEC"/>
    <w:rsid w:val="1B1170AB"/>
    <w:rsid w:val="1B1A5F8E"/>
    <w:rsid w:val="1B397CEE"/>
    <w:rsid w:val="1B8E2006"/>
    <w:rsid w:val="1BB05AD7"/>
    <w:rsid w:val="1BDA4AC3"/>
    <w:rsid w:val="1BE96AFB"/>
    <w:rsid w:val="1C2269D4"/>
    <w:rsid w:val="1C7C322A"/>
    <w:rsid w:val="1C8925AF"/>
    <w:rsid w:val="1C931680"/>
    <w:rsid w:val="1CA51528"/>
    <w:rsid w:val="1D715486"/>
    <w:rsid w:val="1D7F0399"/>
    <w:rsid w:val="1DE33F41"/>
    <w:rsid w:val="1DE71C83"/>
    <w:rsid w:val="1E594203"/>
    <w:rsid w:val="1E5B441F"/>
    <w:rsid w:val="1E7C0FE4"/>
    <w:rsid w:val="1E7D4409"/>
    <w:rsid w:val="1EF26B32"/>
    <w:rsid w:val="20233E75"/>
    <w:rsid w:val="20697D04"/>
    <w:rsid w:val="2099122F"/>
    <w:rsid w:val="20E13861"/>
    <w:rsid w:val="20FF5536"/>
    <w:rsid w:val="21026DD4"/>
    <w:rsid w:val="218B0B78"/>
    <w:rsid w:val="219A700D"/>
    <w:rsid w:val="22164D66"/>
    <w:rsid w:val="222114DC"/>
    <w:rsid w:val="22266AF2"/>
    <w:rsid w:val="224A0A33"/>
    <w:rsid w:val="22C85527"/>
    <w:rsid w:val="22E22A19"/>
    <w:rsid w:val="230B7F5C"/>
    <w:rsid w:val="231150AD"/>
    <w:rsid w:val="232B292E"/>
    <w:rsid w:val="23567ACE"/>
    <w:rsid w:val="23E30AC5"/>
    <w:rsid w:val="24AD52A9"/>
    <w:rsid w:val="24C543A1"/>
    <w:rsid w:val="24D97E4C"/>
    <w:rsid w:val="25253091"/>
    <w:rsid w:val="256E67E6"/>
    <w:rsid w:val="25D86356"/>
    <w:rsid w:val="25E82A3D"/>
    <w:rsid w:val="263F224F"/>
    <w:rsid w:val="266D1D5C"/>
    <w:rsid w:val="267918E7"/>
    <w:rsid w:val="269F02CF"/>
    <w:rsid w:val="26AF70B6"/>
    <w:rsid w:val="26CA2142"/>
    <w:rsid w:val="26F50752"/>
    <w:rsid w:val="27602AA7"/>
    <w:rsid w:val="279B3ADF"/>
    <w:rsid w:val="27C22E19"/>
    <w:rsid w:val="27CC1EEA"/>
    <w:rsid w:val="28043432"/>
    <w:rsid w:val="2828169F"/>
    <w:rsid w:val="28B46C06"/>
    <w:rsid w:val="28C50E13"/>
    <w:rsid w:val="28DE30B2"/>
    <w:rsid w:val="29424212"/>
    <w:rsid w:val="295B3526"/>
    <w:rsid w:val="29D82DC8"/>
    <w:rsid w:val="29F11912"/>
    <w:rsid w:val="2A24600D"/>
    <w:rsid w:val="2A3A692E"/>
    <w:rsid w:val="2A4E6BE6"/>
    <w:rsid w:val="2A8D770F"/>
    <w:rsid w:val="2AAC5C08"/>
    <w:rsid w:val="2AC22414"/>
    <w:rsid w:val="2AD57308"/>
    <w:rsid w:val="2B53276A"/>
    <w:rsid w:val="2B59251B"/>
    <w:rsid w:val="2B886128"/>
    <w:rsid w:val="2B9B40AD"/>
    <w:rsid w:val="2BEA293F"/>
    <w:rsid w:val="2C1300E8"/>
    <w:rsid w:val="2C9F2A16"/>
    <w:rsid w:val="2CAD5E46"/>
    <w:rsid w:val="2CB77A83"/>
    <w:rsid w:val="2D2D51D9"/>
    <w:rsid w:val="2E351C72"/>
    <w:rsid w:val="2EB76CAF"/>
    <w:rsid w:val="2EEA15D4"/>
    <w:rsid w:val="2FAD2601"/>
    <w:rsid w:val="30504537"/>
    <w:rsid w:val="30B4681E"/>
    <w:rsid w:val="30DC7439"/>
    <w:rsid w:val="30E958BB"/>
    <w:rsid w:val="31375E30"/>
    <w:rsid w:val="315341B6"/>
    <w:rsid w:val="31750EFD"/>
    <w:rsid w:val="31AE76A3"/>
    <w:rsid w:val="31BA7A0E"/>
    <w:rsid w:val="31BB2DB3"/>
    <w:rsid w:val="31D43E75"/>
    <w:rsid w:val="32672F3B"/>
    <w:rsid w:val="329B6479"/>
    <w:rsid w:val="32FF3174"/>
    <w:rsid w:val="333C0154"/>
    <w:rsid w:val="334B17A0"/>
    <w:rsid w:val="337D1867"/>
    <w:rsid w:val="338B4E4B"/>
    <w:rsid w:val="33DE0FDB"/>
    <w:rsid w:val="340E1C2F"/>
    <w:rsid w:val="34480B4A"/>
    <w:rsid w:val="34491DD2"/>
    <w:rsid w:val="34563267"/>
    <w:rsid w:val="3482671E"/>
    <w:rsid w:val="34EA69B4"/>
    <w:rsid w:val="35BF6BEA"/>
    <w:rsid w:val="36041D19"/>
    <w:rsid w:val="36A71B58"/>
    <w:rsid w:val="374455F9"/>
    <w:rsid w:val="37460AB5"/>
    <w:rsid w:val="37517D16"/>
    <w:rsid w:val="3753277D"/>
    <w:rsid w:val="377C2359"/>
    <w:rsid w:val="3787198A"/>
    <w:rsid w:val="379466BC"/>
    <w:rsid w:val="37CD1A92"/>
    <w:rsid w:val="37DE5A4E"/>
    <w:rsid w:val="38A071A7"/>
    <w:rsid w:val="38F81CFF"/>
    <w:rsid w:val="39355B41"/>
    <w:rsid w:val="39C3314D"/>
    <w:rsid w:val="3A461688"/>
    <w:rsid w:val="3A5A5133"/>
    <w:rsid w:val="3A887EF3"/>
    <w:rsid w:val="3AF51585"/>
    <w:rsid w:val="3B223EA3"/>
    <w:rsid w:val="3BDF3B42"/>
    <w:rsid w:val="3C1F6635"/>
    <w:rsid w:val="3CCC15BB"/>
    <w:rsid w:val="3CEF115F"/>
    <w:rsid w:val="3D001FC2"/>
    <w:rsid w:val="3D9425AC"/>
    <w:rsid w:val="3DD344E1"/>
    <w:rsid w:val="3DFD4754"/>
    <w:rsid w:val="3E08692F"/>
    <w:rsid w:val="3E86735F"/>
    <w:rsid w:val="3E9926CE"/>
    <w:rsid w:val="3EDE27D7"/>
    <w:rsid w:val="3F107541"/>
    <w:rsid w:val="3F401EB9"/>
    <w:rsid w:val="3F9259DE"/>
    <w:rsid w:val="3F9335C1"/>
    <w:rsid w:val="3FE45BCB"/>
    <w:rsid w:val="3FE51248"/>
    <w:rsid w:val="3FF81676"/>
    <w:rsid w:val="404F3252"/>
    <w:rsid w:val="4065700E"/>
    <w:rsid w:val="40AE78D5"/>
    <w:rsid w:val="41C2018E"/>
    <w:rsid w:val="41DF489C"/>
    <w:rsid w:val="424A42B3"/>
    <w:rsid w:val="42E12896"/>
    <w:rsid w:val="43AF029E"/>
    <w:rsid w:val="43B9111D"/>
    <w:rsid w:val="43BD5690"/>
    <w:rsid w:val="44095C00"/>
    <w:rsid w:val="440E3217"/>
    <w:rsid w:val="441A635D"/>
    <w:rsid w:val="446D45B4"/>
    <w:rsid w:val="44872FC9"/>
    <w:rsid w:val="44C925A2"/>
    <w:rsid w:val="44E66F99"/>
    <w:rsid w:val="455F7AA2"/>
    <w:rsid w:val="45CA13BF"/>
    <w:rsid w:val="45F75F2C"/>
    <w:rsid w:val="46366A55"/>
    <w:rsid w:val="4689127A"/>
    <w:rsid w:val="46CF6A32"/>
    <w:rsid w:val="470D3C59"/>
    <w:rsid w:val="471A1DD7"/>
    <w:rsid w:val="47394A4E"/>
    <w:rsid w:val="474927B8"/>
    <w:rsid w:val="474C107E"/>
    <w:rsid w:val="475F022D"/>
    <w:rsid w:val="476615BC"/>
    <w:rsid w:val="479B691A"/>
    <w:rsid w:val="4820176A"/>
    <w:rsid w:val="48217291"/>
    <w:rsid w:val="48A64365"/>
    <w:rsid w:val="48BC0D87"/>
    <w:rsid w:val="48C06AA9"/>
    <w:rsid w:val="49251127"/>
    <w:rsid w:val="497C6E74"/>
    <w:rsid w:val="499E6C57"/>
    <w:rsid w:val="49A41A01"/>
    <w:rsid w:val="49C916EB"/>
    <w:rsid w:val="4A01737A"/>
    <w:rsid w:val="4A0A26D2"/>
    <w:rsid w:val="4A6F69D9"/>
    <w:rsid w:val="4ABB0135"/>
    <w:rsid w:val="4ABD399E"/>
    <w:rsid w:val="4AF9547E"/>
    <w:rsid w:val="4B49547C"/>
    <w:rsid w:val="4B7A5635"/>
    <w:rsid w:val="4B95246F"/>
    <w:rsid w:val="4BBC79FC"/>
    <w:rsid w:val="4BFC24EE"/>
    <w:rsid w:val="4C0B1D66"/>
    <w:rsid w:val="4C33502F"/>
    <w:rsid w:val="4C995F8F"/>
    <w:rsid w:val="4C9D5A7F"/>
    <w:rsid w:val="4CA24E44"/>
    <w:rsid w:val="4CCA5B4A"/>
    <w:rsid w:val="4CDE39A2"/>
    <w:rsid w:val="4DD52FF7"/>
    <w:rsid w:val="4DE4216F"/>
    <w:rsid w:val="4E610DA1"/>
    <w:rsid w:val="4E6A7A98"/>
    <w:rsid w:val="4E753947"/>
    <w:rsid w:val="4ED35788"/>
    <w:rsid w:val="4F0A0A7E"/>
    <w:rsid w:val="4FA35039"/>
    <w:rsid w:val="504F7091"/>
    <w:rsid w:val="50566671"/>
    <w:rsid w:val="50A36C1C"/>
    <w:rsid w:val="50BE5FC4"/>
    <w:rsid w:val="50E406FB"/>
    <w:rsid w:val="51192F82"/>
    <w:rsid w:val="511A71C3"/>
    <w:rsid w:val="513B13C3"/>
    <w:rsid w:val="519A02E5"/>
    <w:rsid w:val="51D2118B"/>
    <w:rsid w:val="520143BB"/>
    <w:rsid w:val="523E2B05"/>
    <w:rsid w:val="52852F59"/>
    <w:rsid w:val="52943481"/>
    <w:rsid w:val="52BA27BB"/>
    <w:rsid w:val="52CD24EF"/>
    <w:rsid w:val="52F91536"/>
    <w:rsid w:val="534530AA"/>
    <w:rsid w:val="534A3B3F"/>
    <w:rsid w:val="53794425"/>
    <w:rsid w:val="54426862"/>
    <w:rsid w:val="545D78A2"/>
    <w:rsid w:val="548E0C37"/>
    <w:rsid w:val="54C5095B"/>
    <w:rsid w:val="557E5D22"/>
    <w:rsid w:val="55833339"/>
    <w:rsid w:val="559430BC"/>
    <w:rsid w:val="55E738C7"/>
    <w:rsid w:val="566410EA"/>
    <w:rsid w:val="56A143BE"/>
    <w:rsid w:val="56BF4B93"/>
    <w:rsid w:val="572F19CA"/>
    <w:rsid w:val="579E6529"/>
    <w:rsid w:val="57AA1051"/>
    <w:rsid w:val="57BC4D70"/>
    <w:rsid w:val="57BD0ECB"/>
    <w:rsid w:val="581B1F4E"/>
    <w:rsid w:val="58354DBE"/>
    <w:rsid w:val="58C16652"/>
    <w:rsid w:val="58DE2758"/>
    <w:rsid w:val="58F91AE4"/>
    <w:rsid w:val="597B0EF6"/>
    <w:rsid w:val="598C4EB2"/>
    <w:rsid w:val="59E7033A"/>
    <w:rsid w:val="59EC18F6"/>
    <w:rsid w:val="5A032C9A"/>
    <w:rsid w:val="5A5A0B0C"/>
    <w:rsid w:val="5AE81538"/>
    <w:rsid w:val="5B1038C0"/>
    <w:rsid w:val="5BBF1BD7"/>
    <w:rsid w:val="5BFE5E0F"/>
    <w:rsid w:val="5C972356"/>
    <w:rsid w:val="5CE1336C"/>
    <w:rsid w:val="5D0905C7"/>
    <w:rsid w:val="5D7F6ADB"/>
    <w:rsid w:val="5DA026D7"/>
    <w:rsid w:val="5DB61824"/>
    <w:rsid w:val="5DDC2C92"/>
    <w:rsid w:val="5E4C2E61"/>
    <w:rsid w:val="5E677C9B"/>
    <w:rsid w:val="5E8E5228"/>
    <w:rsid w:val="5EC56770"/>
    <w:rsid w:val="5F785F50"/>
    <w:rsid w:val="5FB20544"/>
    <w:rsid w:val="5FB6281C"/>
    <w:rsid w:val="5FE175D9"/>
    <w:rsid w:val="6001133A"/>
    <w:rsid w:val="600532C8"/>
    <w:rsid w:val="60432042"/>
    <w:rsid w:val="604A7D3E"/>
    <w:rsid w:val="6081136E"/>
    <w:rsid w:val="61047A23"/>
    <w:rsid w:val="617D3332"/>
    <w:rsid w:val="61C40F61"/>
    <w:rsid w:val="620847C0"/>
    <w:rsid w:val="62F15D85"/>
    <w:rsid w:val="6361115D"/>
    <w:rsid w:val="63696264"/>
    <w:rsid w:val="63C4349A"/>
    <w:rsid w:val="63F024E1"/>
    <w:rsid w:val="640900E7"/>
    <w:rsid w:val="641066DF"/>
    <w:rsid w:val="64236413"/>
    <w:rsid w:val="645B3DFE"/>
    <w:rsid w:val="647A1DAB"/>
    <w:rsid w:val="649A686C"/>
    <w:rsid w:val="64E77440"/>
    <w:rsid w:val="64F14763"/>
    <w:rsid w:val="64FD3107"/>
    <w:rsid w:val="650F4BE9"/>
    <w:rsid w:val="6545533B"/>
    <w:rsid w:val="657131AE"/>
    <w:rsid w:val="657D7DA4"/>
    <w:rsid w:val="658C6239"/>
    <w:rsid w:val="65C94D98"/>
    <w:rsid w:val="65F500A7"/>
    <w:rsid w:val="65F55B8D"/>
    <w:rsid w:val="66522FDF"/>
    <w:rsid w:val="66651C8A"/>
    <w:rsid w:val="66C32DAD"/>
    <w:rsid w:val="66CC2D91"/>
    <w:rsid w:val="66F70A93"/>
    <w:rsid w:val="6703077D"/>
    <w:rsid w:val="670456BE"/>
    <w:rsid w:val="67630DA0"/>
    <w:rsid w:val="67B359E4"/>
    <w:rsid w:val="68420E31"/>
    <w:rsid w:val="684B23DC"/>
    <w:rsid w:val="68975621"/>
    <w:rsid w:val="68B51F42"/>
    <w:rsid w:val="68DB5223"/>
    <w:rsid w:val="69006D22"/>
    <w:rsid w:val="694E2184"/>
    <w:rsid w:val="69985F48"/>
    <w:rsid w:val="6AE14931"/>
    <w:rsid w:val="6B721A2E"/>
    <w:rsid w:val="6B9F7803"/>
    <w:rsid w:val="6BC93D43"/>
    <w:rsid w:val="6BF568E6"/>
    <w:rsid w:val="6C4038DA"/>
    <w:rsid w:val="6CED33EA"/>
    <w:rsid w:val="6CEE5158"/>
    <w:rsid w:val="6CF7043C"/>
    <w:rsid w:val="6E3A0F28"/>
    <w:rsid w:val="6E5D4C17"/>
    <w:rsid w:val="6EA445F4"/>
    <w:rsid w:val="6F332D93"/>
    <w:rsid w:val="6F485C4A"/>
    <w:rsid w:val="6FBE7937"/>
    <w:rsid w:val="70090BB2"/>
    <w:rsid w:val="70271038"/>
    <w:rsid w:val="70645DE9"/>
    <w:rsid w:val="70A22DB5"/>
    <w:rsid w:val="70D122BC"/>
    <w:rsid w:val="70E92D0E"/>
    <w:rsid w:val="71CA3074"/>
    <w:rsid w:val="71FC6F7F"/>
    <w:rsid w:val="72AE0016"/>
    <w:rsid w:val="72D24194"/>
    <w:rsid w:val="72F378F8"/>
    <w:rsid w:val="733D1B03"/>
    <w:rsid w:val="735064A9"/>
    <w:rsid w:val="738B2556"/>
    <w:rsid w:val="73B02C4C"/>
    <w:rsid w:val="73F51937"/>
    <w:rsid w:val="74264E1B"/>
    <w:rsid w:val="74624D35"/>
    <w:rsid w:val="747247FB"/>
    <w:rsid w:val="747F019E"/>
    <w:rsid w:val="74BA5049"/>
    <w:rsid w:val="74C54F54"/>
    <w:rsid w:val="74C74B98"/>
    <w:rsid w:val="74DB6895"/>
    <w:rsid w:val="74F57957"/>
    <w:rsid w:val="750000AA"/>
    <w:rsid w:val="751B10D1"/>
    <w:rsid w:val="75564F56"/>
    <w:rsid w:val="7568637B"/>
    <w:rsid w:val="758A663F"/>
    <w:rsid w:val="75BD2C6D"/>
    <w:rsid w:val="76AF7FDA"/>
    <w:rsid w:val="76D956B1"/>
    <w:rsid w:val="76E40D9D"/>
    <w:rsid w:val="771739AE"/>
    <w:rsid w:val="773D7394"/>
    <w:rsid w:val="776B3F01"/>
    <w:rsid w:val="77854636"/>
    <w:rsid w:val="77D24925"/>
    <w:rsid w:val="78324A1E"/>
    <w:rsid w:val="78397B5B"/>
    <w:rsid w:val="78C04674"/>
    <w:rsid w:val="78E977D3"/>
    <w:rsid w:val="791F1447"/>
    <w:rsid w:val="792720A9"/>
    <w:rsid w:val="79632574"/>
    <w:rsid w:val="79974DFF"/>
    <w:rsid w:val="7A28257D"/>
    <w:rsid w:val="7A540C7C"/>
    <w:rsid w:val="7ABE07EB"/>
    <w:rsid w:val="7AE4066E"/>
    <w:rsid w:val="7B1A51D8"/>
    <w:rsid w:val="7B622F18"/>
    <w:rsid w:val="7BB57E40"/>
    <w:rsid w:val="7C4F3DF1"/>
    <w:rsid w:val="7C6739F4"/>
    <w:rsid w:val="7C6D4277"/>
    <w:rsid w:val="7CA773FF"/>
    <w:rsid w:val="7D036989"/>
    <w:rsid w:val="7D0F187B"/>
    <w:rsid w:val="7D43322A"/>
    <w:rsid w:val="7D592A4D"/>
    <w:rsid w:val="7DA261A2"/>
    <w:rsid w:val="7DB139A6"/>
    <w:rsid w:val="7DE762AB"/>
    <w:rsid w:val="7E5C3AB3"/>
    <w:rsid w:val="7F9D305D"/>
    <w:rsid w:val="7FF16F6D"/>
    <w:rsid w:val="7FF7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autoRedefine/>
    <w:qFormat/>
    <w:uiPriority w:val="0"/>
    <w:pPr>
      <w:widowControl/>
      <w:ind w:firstLine="420"/>
      <w:jc w:val="left"/>
      <w:textAlignment w:val="baseline"/>
    </w:pPr>
    <w:rPr>
      <w:rFonts w:ascii="Times New Roman" w:hAnsi="Times New Roman" w:eastAsia="宋体"/>
      <w:kern w:val="0"/>
      <w:szCs w:val="20"/>
    </w:rPr>
  </w:style>
  <w:style w:type="paragraph" w:styleId="3">
    <w:name w:val="Body Text"/>
    <w:basedOn w:val="1"/>
    <w:next w:val="1"/>
    <w:autoRedefine/>
    <w:qFormat/>
    <w:uiPriority w:val="0"/>
    <w:rPr>
      <w:rFonts w:eastAsia="仿宋_GB2312"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9">
    <w:name w:val="BodyText"/>
    <w:autoRedefine/>
    <w:qFormat/>
    <w:uiPriority w:val="0"/>
    <w:pPr>
      <w:spacing w:after="120"/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5565</Words>
  <Characters>5716</Characters>
  <Lines>0</Lines>
  <Paragraphs>0</Paragraphs>
  <TotalTime>0</TotalTime>
  <ScaleCrop>false</ScaleCrop>
  <LinksUpToDate>false</LinksUpToDate>
  <CharactersWithSpaces>5730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2024-03-06T02:28:00Z</dcterms:created>
  <dc:creator>JSJB</dc:creator>
  <cp:lastModifiedBy>市行政审批和政务服务局(拟稿)</cp:lastModifiedBy>
  <cp:lastPrinted>2024-04-08T09:13:00Z</cp:lastPrinted>
  <dcterms:modified xsi:type="dcterms:W3CDTF">2024-04-12T03:51:02Z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1215B217F08C49ED8D70D7B1D2F1DD9F_13</vt:lpwstr>
  </property>
</Properties>
</file>