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DAE3F5" w:themeColor="accent1" w:themeTint="33"/>
  <w:body>
    <w:p>
      <w:pPr>
        <w:pStyle w:val="4"/>
        <w:spacing w:beforeAutospacing="0" w:afterAutospacing="0" w:line="560" w:lineRule="exact"/>
        <w:jc w:val="both"/>
        <w:rPr>
          <w:rStyle w:val="7"/>
          <w:rFonts w:hint="default" w:ascii="方正黑体_GBK" w:hAnsi="方正黑体_GBK" w:eastAsia="方正黑体_GBK" w:cs="方正黑体_GBK"/>
          <w:b w:val="0"/>
          <w:sz w:val="32"/>
          <w:szCs w:val="32"/>
          <w:lang w:val="en-US" w:eastAsia="zh-CN"/>
        </w:rPr>
      </w:pPr>
      <w:r>
        <w:rPr>
          <w:rStyle w:val="7"/>
          <w:rFonts w:hint="eastAsia" w:ascii="方正黑体_GBK" w:hAnsi="方正黑体_GBK" w:eastAsia="方正黑体_GBK" w:cs="方正黑体_GBK"/>
          <w:b w:val="0"/>
          <w:sz w:val="32"/>
          <w:szCs w:val="32"/>
          <w:lang w:val="en-US" w:eastAsia="zh-CN"/>
        </w:rPr>
        <w:t>附件</w:t>
      </w:r>
    </w:p>
    <w:p>
      <w:pPr>
        <w:pStyle w:val="4"/>
        <w:spacing w:beforeAutospacing="0" w:afterAutospacing="0" w:line="560" w:lineRule="exact"/>
        <w:jc w:val="center"/>
        <w:rPr>
          <w:rStyle w:val="7"/>
          <w:rFonts w:hint="eastAsia" w:ascii="方正小标宋简体" w:hAnsi="微软雅黑" w:eastAsia="方正小标宋简体" w:cs="微软雅黑"/>
          <w:b w:val="0"/>
          <w:sz w:val="44"/>
          <w:szCs w:val="44"/>
          <w:lang w:val="en-US" w:eastAsia="zh-CN"/>
        </w:rPr>
      </w:pPr>
    </w:p>
    <w:p>
      <w:pPr>
        <w:pStyle w:val="4"/>
        <w:keepNext w:val="0"/>
        <w:keepLines w:val="0"/>
        <w:pageBreakBefore w:val="0"/>
        <w:widowControl w:val="0"/>
        <w:kinsoku/>
        <w:wordWrap/>
        <w:overflowPunct/>
        <w:topLinePunct w:val="0"/>
        <w:autoSpaceDE/>
        <w:autoSpaceDN/>
        <w:bidi w:val="0"/>
        <w:adjustRightInd/>
        <w:snapToGrid/>
        <w:spacing w:beforeAutospacing="0" w:after="157" w:afterLines="50" w:afterAutospacing="0" w:line="560" w:lineRule="exact"/>
        <w:jc w:val="center"/>
        <w:textAlignment w:val="auto"/>
        <w:rPr>
          <w:rStyle w:val="7"/>
          <w:rFonts w:hint="eastAsia" w:ascii="方正小标宋简体" w:hAnsi="微软雅黑" w:eastAsia="方正小标宋简体" w:cs="微软雅黑"/>
          <w:b w:val="0"/>
          <w:sz w:val="44"/>
          <w:szCs w:val="44"/>
        </w:rPr>
      </w:pPr>
      <w:r>
        <w:rPr>
          <w:rStyle w:val="7"/>
          <w:rFonts w:hint="eastAsia" w:ascii="方正小标宋简体" w:hAnsi="微软雅黑" w:eastAsia="方正小标宋简体" w:cs="微软雅黑"/>
          <w:b w:val="0"/>
          <w:sz w:val="44"/>
          <w:szCs w:val="44"/>
        </w:rPr>
        <w:t>鄂尔多斯市数字煤炭产销管理实施细则（试行）</w:t>
      </w:r>
    </w:p>
    <w:p>
      <w:pPr>
        <w:pStyle w:val="4"/>
        <w:spacing w:beforeAutospacing="0" w:afterAutospacing="0" w:line="560" w:lineRule="exact"/>
        <w:jc w:val="center"/>
        <w:rPr>
          <w:rFonts w:ascii="微软雅黑" w:hAnsi="微软雅黑" w:eastAsia="微软雅黑" w:cs="微软雅黑"/>
          <w:sz w:val="21"/>
          <w:szCs w:val="21"/>
        </w:rPr>
      </w:pPr>
    </w:p>
    <w:p>
      <w:pPr>
        <w:pStyle w:val="4"/>
        <w:spacing w:beforeAutospacing="0" w:afterAutospacing="0" w:line="560" w:lineRule="exact"/>
        <w:jc w:val="center"/>
        <w:rPr>
          <w:rFonts w:ascii="微软雅黑" w:hAnsi="微软雅黑" w:eastAsia="微软雅黑" w:cs="微软雅黑"/>
          <w:sz w:val="21"/>
          <w:szCs w:val="21"/>
        </w:rPr>
      </w:pPr>
      <w:bookmarkStart w:id="0" w:name="_GoBack"/>
      <w:bookmarkEnd w:id="0"/>
    </w:p>
    <w:p>
      <w:pPr>
        <w:pStyle w:val="4"/>
        <w:spacing w:beforeAutospacing="0" w:afterAutospacing="0" w:line="560" w:lineRule="exact"/>
        <w:jc w:val="center"/>
        <w:rPr>
          <w:rFonts w:ascii="黑体" w:hAnsi="黑体" w:eastAsia="黑体"/>
          <w:b/>
          <w:sz w:val="32"/>
          <w:szCs w:val="32"/>
        </w:rPr>
      </w:pPr>
      <w:r>
        <w:rPr>
          <w:rStyle w:val="7"/>
          <w:rFonts w:ascii="黑体" w:hAnsi="黑体" w:eastAsia="黑体"/>
          <w:b w:val="0"/>
          <w:sz w:val="32"/>
          <w:szCs w:val="32"/>
        </w:rPr>
        <w:t>第一章</w:t>
      </w:r>
      <w:r>
        <w:rPr>
          <w:rStyle w:val="7"/>
          <w:rFonts w:hint="eastAsia" w:ascii="黑体" w:hAnsi="黑体" w:eastAsia="黑体"/>
          <w:b w:val="0"/>
          <w:sz w:val="32"/>
          <w:szCs w:val="32"/>
        </w:rPr>
        <w:t xml:space="preserve"> </w:t>
      </w:r>
      <w:r>
        <w:rPr>
          <w:rStyle w:val="7"/>
          <w:rFonts w:ascii="黑体" w:hAnsi="黑体" w:eastAsia="黑体"/>
          <w:b w:val="0"/>
          <w:sz w:val="32"/>
          <w:szCs w:val="32"/>
        </w:rPr>
        <w:t>总</w:t>
      </w:r>
      <w:r>
        <w:rPr>
          <w:rStyle w:val="7"/>
          <w:rFonts w:hint="eastAsia" w:ascii="黑体" w:hAnsi="黑体" w:eastAsia="黑体"/>
          <w:b w:val="0"/>
          <w:sz w:val="32"/>
          <w:szCs w:val="32"/>
        </w:rPr>
        <w:t xml:space="preserve"> </w:t>
      </w:r>
      <w:r>
        <w:rPr>
          <w:rStyle w:val="7"/>
          <w:rFonts w:ascii="黑体" w:hAnsi="黑体" w:eastAsia="黑体"/>
          <w:b w:val="0"/>
          <w:sz w:val="32"/>
          <w:szCs w:val="32"/>
        </w:rPr>
        <w:t xml:space="preserve"> 则</w:t>
      </w:r>
    </w:p>
    <w:p>
      <w:pPr>
        <w:pStyle w:val="4"/>
        <w:spacing w:beforeAutospacing="0" w:afterAutospacing="0" w:line="560" w:lineRule="exact"/>
        <w:ind w:firstLine="640" w:firstLineChars="200"/>
        <w:jc w:val="both"/>
        <w:rPr>
          <w:rFonts w:ascii="Times New Roman" w:hAnsi="Times New Roman" w:eastAsia="仿宋_GB2312"/>
          <w:sz w:val="32"/>
          <w:szCs w:val="32"/>
        </w:rPr>
      </w:pPr>
    </w:p>
    <w:p>
      <w:pPr>
        <w:pStyle w:val="4"/>
        <w:spacing w:beforeAutospacing="0" w:afterAutospacing="0" w:line="560" w:lineRule="exact"/>
        <w:ind w:firstLine="642" w:firstLineChars="200"/>
        <w:jc w:val="both"/>
        <w:rPr>
          <w:rFonts w:hint="eastAsia" w:ascii="仿宋_GB2312" w:hAnsi="仿宋_GB2312" w:eastAsia="仿宋_GB2312" w:cs="仿宋_GB2312"/>
          <w:sz w:val="32"/>
          <w:szCs w:val="32"/>
        </w:rPr>
      </w:pPr>
      <w:r>
        <w:rPr>
          <w:rFonts w:ascii="Times New Roman" w:hAnsi="Times New Roman" w:eastAsia="仿宋_GB2312"/>
          <w:b/>
          <w:bCs/>
          <w:sz w:val="32"/>
          <w:szCs w:val="32"/>
        </w:rPr>
        <w:t>第一条</w:t>
      </w: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为加强煤炭产销管理，规范和维护煤炭生产经营秩序，保障煤炭稳定供应，营造公正、便捷、高效的营商环境，根据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"https://wenku.so.com/d/eae6927f01904f556ef164f631a5f9e5?src=ob_zz_juhe360wenku" \t "/home/greatwall/文档\\x/_blank"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eastAsia="zh-CN"/>
        </w:rPr>
        <w:t>中华人民共和国煤炭法</w:t>
      </w:r>
      <w:r>
        <w:rPr>
          <w:rFonts w:hint="eastAsia" w:ascii="仿宋_GB2312" w:hAnsi="仿宋_GB2312" w:eastAsia="仿宋_GB2312" w:cs="仿宋_GB2312"/>
          <w:sz w:val="32"/>
          <w:szCs w:val="32"/>
          <w:lang w:val="en-US" w:eastAsia="zh-CN"/>
        </w:rPr>
        <w:fldChar w:fldCharType="end"/>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内蒙古自治区煤炭管理条例》《鄂尔多斯市人民政府办公室关于印发智慧能源服务体系实施方案的通知》（鄂府办发〔2023〕110号）《鄂尔多斯市能源局关于印发数字煤炭产销服务平台优化升级建设方案的通知》（鄂能局发〔2023〕233号）等文件精神，</w:t>
      </w:r>
      <w:r>
        <w:rPr>
          <w:rFonts w:hint="eastAsia" w:ascii="仿宋_GB2312" w:hAnsi="仿宋_GB2312" w:eastAsia="仿宋_GB2312" w:cs="仿宋_GB2312"/>
          <w:sz w:val="32"/>
          <w:szCs w:val="32"/>
          <w:lang w:eastAsia="zh-CN"/>
        </w:rPr>
        <w:t>以铸牢中华民族共同体意识为工作主线，</w:t>
      </w:r>
      <w:r>
        <w:rPr>
          <w:rFonts w:hint="eastAsia" w:ascii="仿宋_GB2312" w:hAnsi="仿宋_GB2312" w:eastAsia="仿宋_GB2312" w:cs="仿宋_GB2312"/>
          <w:sz w:val="32"/>
          <w:szCs w:val="32"/>
        </w:rPr>
        <w:t>结合我市实际，制定本细则。</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第二条</w:t>
      </w:r>
      <w:r>
        <w:rPr>
          <w:rFonts w:hint="eastAsia" w:ascii="Times New Roman" w:hAnsi="Times New Roman" w:eastAsia="仿宋_GB2312"/>
          <w:sz w:val="32"/>
          <w:szCs w:val="32"/>
        </w:rPr>
        <w:t xml:space="preserve"> </w:t>
      </w:r>
      <w:r>
        <w:rPr>
          <w:rFonts w:ascii="Times New Roman" w:hAnsi="Times New Roman" w:eastAsia="仿宋_GB2312"/>
          <w:sz w:val="32"/>
          <w:szCs w:val="32"/>
        </w:rPr>
        <w:t>在</w:t>
      </w:r>
      <w:r>
        <w:rPr>
          <w:rFonts w:hint="eastAsia" w:ascii="Times New Roman" w:hAnsi="Times New Roman" w:eastAsia="仿宋_GB2312"/>
          <w:sz w:val="32"/>
          <w:szCs w:val="32"/>
        </w:rPr>
        <w:t>我</w:t>
      </w:r>
      <w:r>
        <w:rPr>
          <w:rFonts w:ascii="Times New Roman" w:hAnsi="Times New Roman" w:eastAsia="仿宋_GB2312"/>
          <w:sz w:val="32"/>
          <w:szCs w:val="32"/>
        </w:rPr>
        <w:t>市行政区域内</w:t>
      </w:r>
      <w:r>
        <w:rPr>
          <w:rFonts w:hint="eastAsia" w:ascii="Times New Roman" w:hAnsi="Times New Roman" w:eastAsia="仿宋_GB2312"/>
          <w:sz w:val="32"/>
          <w:szCs w:val="32"/>
        </w:rPr>
        <w:t>的</w:t>
      </w:r>
      <w:r>
        <w:rPr>
          <w:rFonts w:ascii="Times New Roman" w:hAnsi="Times New Roman" w:eastAsia="仿宋_GB2312"/>
          <w:sz w:val="32"/>
          <w:szCs w:val="32"/>
        </w:rPr>
        <w:t>所有</w:t>
      </w:r>
      <w:r>
        <w:rPr>
          <w:rFonts w:hint="eastAsia" w:ascii="Times New Roman" w:hAnsi="Times New Roman" w:eastAsia="仿宋_GB2312"/>
          <w:sz w:val="32"/>
          <w:szCs w:val="32"/>
        </w:rPr>
        <w:t>煤矿、洗选煤场、集装站等</w:t>
      </w:r>
      <w:r>
        <w:rPr>
          <w:rFonts w:ascii="Times New Roman" w:hAnsi="Times New Roman" w:eastAsia="仿宋_GB2312"/>
          <w:sz w:val="32"/>
          <w:szCs w:val="32"/>
        </w:rPr>
        <w:t>煤炭生产经营</w:t>
      </w:r>
      <w:r>
        <w:rPr>
          <w:rFonts w:hint="eastAsia" w:ascii="Times New Roman" w:hAnsi="Times New Roman" w:eastAsia="仿宋_GB2312"/>
          <w:sz w:val="32"/>
          <w:szCs w:val="32"/>
        </w:rPr>
        <w:t>企业以及煤炭运销企业、煤炭贸易商和其他</w:t>
      </w:r>
      <w:r>
        <w:rPr>
          <w:rFonts w:ascii="Times New Roman" w:hAnsi="Times New Roman" w:eastAsia="仿宋_GB2312"/>
          <w:sz w:val="32"/>
          <w:szCs w:val="32"/>
        </w:rPr>
        <w:t>相关企业，适用本细则。</w:t>
      </w:r>
    </w:p>
    <w:p>
      <w:pPr>
        <w:spacing w:line="560" w:lineRule="exact"/>
        <w:ind w:firstLine="642" w:firstLineChars="200"/>
        <w:rPr>
          <w:rFonts w:ascii="Times New Roman" w:hAnsi="Times New Roman" w:eastAsia="仿宋_GB2312"/>
          <w:sz w:val="32"/>
          <w:szCs w:val="32"/>
        </w:rPr>
      </w:pPr>
      <w:r>
        <w:rPr>
          <w:rFonts w:ascii="Times New Roman" w:hAnsi="Times New Roman" w:eastAsia="仿宋_GB2312" w:cs="Times New Roman"/>
          <w:b/>
          <w:bCs/>
          <w:sz w:val="32"/>
          <w:szCs w:val="32"/>
        </w:rPr>
        <w:t>第三条</w:t>
      </w:r>
      <w:r>
        <w:rPr>
          <w:rFonts w:hint="eastAsia" w:ascii="Times New Roman" w:hAnsi="Times New Roman" w:eastAsia="仿宋_GB2312"/>
          <w:sz w:val="32"/>
          <w:szCs w:val="32"/>
        </w:rPr>
        <w:t xml:space="preserve"> </w:t>
      </w:r>
      <w:r>
        <w:rPr>
          <w:rFonts w:ascii="Times New Roman" w:hAnsi="Times New Roman" w:eastAsia="仿宋_GB2312" w:cs="Times New Roman"/>
          <w:sz w:val="32"/>
          <w:szCs w:val="32"/>
        </w:rPr>
        <w:t>本细则所称</w:t>
      </w:r>
      <w:r>
        <w:rPr>
          <w:rFonts w:hint="eastAsia" w:ascii="Times New Roman" w:hAnsi="Times New Roman" w:eastAsia="仿宋_GB2312"/>
          <w:sz w:val="32"/>
          <w:szCs w:val="32"/>
        </w:rPr>
        <w:t>数字煤炭产销管理，是指依托鄂尔多斯市智慧能源服务体系</w:t>
      </w:r>
      <w:r>
        <w:rPr>
          <w:rFonts w:ascii="Times New Roman" w:hAnsi="Times New Roman" w:eastAsia="仿宋_GB2312"/>
          <w:sz w:val="32"/>
          <w:szCs w:val="32"/>
        </w:rPr>
        <w:t>数字煤炭产销服务平台</w:t>
      </w:r>
      <w:r>
        <w:rPr>
          <w:rFonts w:hint="eastAsia" w:ascii="Times New Roman" w:hAnsi="Times New Roman" w:eastAsia="仿宋_GB2312"/>
          <w:sz w:val="32"/>
          <w:szCs w:val="32"/>
        </w:rPr>
        <w:t>（以下简称“</w:t>
      </w:r>
      <w:r>
        <w:rPr>
          <w:rFonts w:ascii="Times New Roman" w:hAnsi="Times New Roman" w:eastAsia="仿宋_GB2312"/>
          <w:sz w:val="32"/>
          <w:szCs w:val="32"/>
        </w:rPr>
        <w:t>产销服务平台</w:t>
      </w:r>
      <w:r>
        <w:rPr>
          <w:rFonts w:hint="eastAsia" w:ascii="Times New Roman" w:hAnsi="Times New Roman" w:eastAsia="仿宋_GB2312"/>
          <w:sz w:val="32"/>
          <w:szCs w:val="32"/>
        </w:rPr>
        <w:t>”），建立全流程、全链条、全周期煤炭产销管理机制，强化煤炭生产经营</w:t>
      </w:r>
      <w:r>
        <w:rPr>
          <w:rFonts w:hint="eastAsia" w:ascii="Times New Roman" w:hAnsi="Times New Roman" w:eastAsia="仿宋_GB2312" w:cs="Times New Roman"/>
          <w:sz w:val="32"/>
          <w:szCs w:val="32"/>
        </w:rPr>
        <w:t>管理服务水平，</w:t>
      </w:r>
      <w:r>
        <w:rPr>
          <w:rFonts w:hint="eastAsia" w:ascii="Times New Roman" w:hAnsi="Times New Roman" w:eastAsia="仿宋_GB2312"/>
          <w:sz w:val="32"/>
          <w:szCs w:val="32"/>
        </w:rPr>
        <w:t>促进我市煤炭行业高质量发展。</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第四条</w:t>
      </w:r>
      <w:r>
        <w:rPr>
          <w:rFonts w:hint="eastAsia" w:ascii="Times New Roman" w:hAnsi="Times New Roman" w:eastAsia="仿宋_GB2312"/>
          <w:sz w:val="32"/>
          <w:szCs w:val="32"/>
        </w:rPr>
        <w:t xml:space="preserve"> 市能源部门作为牵头单位，</w:t>
      </w:r>
      <w:r>
        <w:rPr>
          <w:rFonts w:ascii="Times New Roman" w:hAnsi="Times New Roman" w:eastAsia="仿宋_GB2312"/>
          <w:sz w:val="32"/>
          <w:szCs w:val="32"/>
        </w:rPr>
        <w:t>负责加强政策引导</w:t>
      </w:r>
      <w:r>
        <w:rPr>
          <w:rFonts w:hint="eastAsia" w:ascii="Times New Roman" w:hAnsi="Times New Roman" w:eastAsia="仿宋_GB2312"/>
          <w:sz w:val="32"/>
          <w:szCs w:val="32"/>
        </w:rPr>
        <w:t>，制定统一规范的煤矿、洗选煤场、集装站</w:t>
      </w:r>
      <w:r>
        <w:rPr>
          <w:rFonts w:ascii="Times New Roman" w:hAnsi="Times New Roman" w:eastAsia="仿宋_GB2312"/>
          <w:sz w:val="32"/>
          <w:szCs w:val="32"/>
        </w:rPr>
        <w:t>产销服务平台</w:t>
      </w:r>
      <w:r>
        <w:rPr>
          <w:rFonts w:hint="eastAsia" w:ascii="Times New Roman" w:hAnsi="Times New Roman" w:eastAsia="仿宋_GB2312"/>
          <w:sz w:val="32"/>
          <w:szCs w:val="32"/>
        </w:rPr>
        <w:t>建设标准，并统筹推进全市煤矿、洗选煤场、集装站等煤炭生产经营企业全部纳入平台管理。</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五</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各旗区人民政府要</w:t>
      </w:r>
      <w:r>
        <w:rPr>
          <w:rFonts w:hint="eastAsia" w:ascii="Times New Roman" w:hAnsi="Times New Roman" w:eastAsia="仿宋_GB2312"/>
          <w:sz w:val="32"/>
          <w:szCs w:val="32"/>
          <w:lang w:eastAsia="zh-CN"/>
        </w:rPr>
        <w:t>按照</w:t>
      </w:r>
      <w:r>
        <w:rPr>
          <w:rFonts w:hint="eastAsia" w:ascii="仿宋_GB2312" w:hAnsi="仿宋_GB2312" w:eastAsia="仿宋_GB2312" w:cs="仿宋_GB2312"/>
          <w:sz w:val="32"/>
          <w:szCs w:val="32"/>
        </w:rPr>
        <w:t>《鄂尔多斯市人民政府办公室关于印发智慧能源服务体系实施方案的通知》（鄂府办发〔2023〕110号）</w:t>
      </w:r>
      <w:r>
        <w:rPr>
          <w:rFonts w:hint="eastAsia" w:ascii="仿宋_GB2312" w:hAnsi="仿宋_GB2312" w:eastAsia="仿宋_GB2312" w:cs="仿宋_GB2312"/>
          <w:sz w:val="32"/>
          <w:szCs w:val="32"/>
          <w:lang w:eastAsia="zh-CN"/>
        </w:rPr>
        <w:t>有关规定</w:t>
      </w:r>
      <w:r>
        <w:rPr>
          <w:rFonts w:hint="eastAsia" w:ascii="Times New Roman" w:hAnsi="Times New Roman" w:eastAsia="仿宋_GB2312"/>
          <w:sz w:val="32"/>
          <w:szCs w:val="32"/>
        </w:rPr>
        <w:t>落实主体责任，</w:t>
      </w:r>
      <w:r>
        <w:rPr>
          <w:rFonts w:ascii="Times New Roman" w:hAnsi="Times New Roman" w:eastAsia="仿宋_GB2312"/>
          <w:sz w:val="32"/>
          <w:szCs w:val="32"/>
        </w:rPr>
        <w:t>负责</w:t>
      </w:r>
      <w:r>
        <w:rPr>
          <w:rFonts w:hint="eastAsia" w:ascii="Times New Roman" w:hAnsi="Times New Roman" w:eastAsia="仿宋_GB2312"/>
          <w:sz w:val="32"/>
          <w:szCs w:val="32"/>
        </w:rPr>
        <w:t>指导</w:t>
      </w:r>
      <w:r>
        <w:rPr>
          <w:rFonts w:ascii="Times New Roman" w:hAnsi="Times New Roman" w:eastAsia="仿宋_GB2312"/>
          <w:sz w:val="32"/>
          <w:szCs w:val="32"/>
        </w:rPr>
        <w:t>本行政区域内</w:t>
      </w:r>
      <w:r>
        <w:rPr>
          <w:rFonts w:hint="eastAsia" w:ascii="Times New Roman" w:hAnsi="Times New Roman" w:eastAsia="仿宋_GB2312"/>
          <w:sz w:val="32"/>
          <w:szCs w:val="32"/>
        </w:rPr>
        <w:t>煤矿、洗选煤场、集装站等</w:t>
      </w:r>
      <w:r>
        <w:rPr>
          <w:rFonts w:ascii="Times New Roman" w:hAnsi="Times New Roman" w:eastAsia="仿宋_GB2312"/>
          <w:sz w:val="32"/>
          <w:szCs w:val="32"/>
        </w:rPr>
        <w:t>煤炭生产经营企业</w:t>
      </w:r>
      <w:r>
        <w:rPr>
          <w:rFonts w:hint="eastAsia" w:ascii="Times New Roman" w:hAnsi="Times New Roman" w:eastAsia="仿宋_GB2312"/>
          <w:sz w:val="32"/>
          <w:szCs w:val="32"/>
        </w:rPr>
        <w:t>按照</w:t>
      </w:r>
      <w:r>
        <w:rPr>
          <w:rFonts w:ascii="Times New Roman" w:hAnsi="Times New Roman" w:eastAsia="仿宋_GB2312"/>
          <w:sz w:val="32"/>
          <w:szCs w:val="32"/>
        </w:rPr>
        <w:t>产销服务平台</w:t>
      </w:r>
      <w:r>
        <w:rPr>
          <w:rFonts w:hint="eastAsia" w:ascii="Times New Roman" w:hAnsi="Times New Roman" w:eastAsia="仿宋_GB2312"/>
          <w:sz w:val="32"/>
          <w:szCs w:val="32"/>
        </w:rPr>
        <w:t>建设标准，落实各项建设任务，确保按要求全部上线运行。</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六</w:t>
      </w:r>
      <w:r>
        <w:rPr>
          <w:rFonts w:ascii="Times New Roman" w:hAnsi="Times New Roman" w:eastAsia="仿宋_GB2312"/>
          <w:b/>
          <w:bCs/>
          <w:sz w:val="32"/>
          <w:szCs w:val="32"/>
        </w:rPr>
        <w:t>条</w:t>
      </w:r>
      <w:r>
        <w:rPr>
          <w:rFonts w:hint="eastAsia" w:ascii="Times New Roman" w:hAnsi="Times New Roman" w:eastAsia="仿宋_GB2312"/>
          <w:b/>
          <w:bCs/>
          <w:sz w:val="32"/>
          <w:szCs w:val="32"/>
        </w:rPr>
        <w:t xml:space="preserve"> </w:t>
      </w:r>
      <w:r>
        <w:rPr>
          <w:rFonts w:hint="eastAsia" w:ascii="Times New Roman" w:hAnsi="Times New Roman" w:eastAsia="仿宋_GB2312"/>
          <w:b w:val="0"/>
          <w:bCs w:val="0"/>
          <w:sz w:val="32"/>
          <w:szCs w:val="32"/>
          <w:lang w:eastAsia="zh-CN"/>
        </w:rPr>
        <w:t>通过招标、磋商等采购程序，确定产销服务平台的运营、维护和管理工作的承接单位</w:t>
      </w:r>
      <w:r>
        <w:rPr>
          <w:rFonts w:hint="eastAsia" w:ascii="Times New Roman" w:hAnsi="Times New Roman" w:eastAsia="仿宋_GB2312"/>
          <w:b w:val="0"/>
          <w:bCs w:val="0"/>
          <w:sz w:val="32"/>
          <w:szCs w:val="32"/>
        </w:rPr>
        <w:t>，</w:t>
      </w:r>
      <w:r>
        <w:rPr>
          <w:rFonts w:hint="eastAsia" w:ascii="Times New Roman" w:hAnsi="Times New Roman" w:eastAsia="仿宋_GB2312"/>
          <w:sz w:val="32"/>
          <w:szCs w:val="32"/>
        </w:rPr>
        <w:t>并依托</w:t>
      </w:r>
      <w:r>
        <w:rPr>
          <w:rFonts w:ascii="Times New Roman" w:hAnsi="Times New Roman" w:eastAsia="仿宋_GB2312"/>
          <w:sz w:val="32"/>
          <w:szCs w:val="32"/>
        </w:rPr>
        <w:t>产销服务平台</w:t>
      </w:r>
      <w:r>
        <w:rPr>
          <w:rFonts w:hint="eastAsia" w:ascii="Times New Roman" w:hAnsi="Times New Roman" w:eastAsia="仿宋_GB2312"/>
          <w:sz w:val="32"/>
          <w:szCs w:val="32"/>
        </w:rPr>
        <w:t>，实现销售环节全流程、智能化、无人化闭环管理。</w:t>
      </w:r>
    </w:p>
    <w:p>
      <w:pPr>
        <w:pStyle w:val="4"/>
        <w:spacing w:beforeAutospacing="0" w:afterAutospacing="0" w:line="560" w:lineRule="exact"/>
        <w:jc w:val="center"/>
        <w:rPr>
          <w:rStyle w:val="7"/>
          <w:rFonts w:ascii="黑体" w:hAnsi="黑体" w:eastAsia="黑体"/>
          <w:b w:val="0"/>
          <w:sz w:val="32"/>
          <w:szCs w:val="32"/>
        </w:rPr>
      </w:pPr>
    </w:p>
    <w:p>
      <w:pPr>
        <w:pStyle w:val="4"/>
        <w:spacing w:beforeAutospacing="0" w:afterAutospacing="0" w:line="560" w:lineRule="exact"/>
        <w:jc w:val="center"/>
        <w:rPr>
          <w:rStyle w:val="7"/>
          <w:rFonts w:ascii="黑体" w:hAnsi="黑体" w:eastAsia="黑体"/>
          <w:b w:val="0"/>
          <w:sz w:val="32"/>
          <w:szCs w:val="32"/>
        </w:rPr>
      </w:pPr>
      <w:r>
        <w:rPr>
          <w:rStyle w:val="7"/>
          <w:rFonts w:ascii="黑体" w:hAnsi="黑体" w:eastAsia="黑体"/>
          <w:b w:val="0"/>
          <w:sz w:val="32"/>
          <w:szCs w:val="32"/>
        </w:rPr>
        <w:t>第二章</w:t>
      </w:r>
      <w:r>
        <w:rPr>
          <w:rStyle w:val="7"/>
          <w:rFonts w:hint="eastAsia" w:ascii="黑体" w:hAnsi="黑体" w:eastAsia="黑体"/>
          <w:b w:val="0"/>
          <w:sz w:val="32"/>
          <w:szCs w:val="32"/>
        </w:rPr>
        <w:t xml:space="preserve"> </w:t>
      </w:r>
      <w:r>
        <w:rPr>
          <w:rStyle w:val="7"/>
          <w:rFonts w:ascii="黑体" w:hAnsi="黑体" w:eastAsia="黑体"/>
          <w:b w:val="0"/>
          <w:sz w:val="32"/>
          <w:szCs w:val="32"/>
        </w:rPr>
        <w:t>产销</w:t>
      </w:r>
      <w:r>
        <w:rPr>
          <w:rStyle w:val="7"/>
          <w:rFonts w:hint="eastAsia" w:ascii="黑体" w:hAnsi="黑体" w:eastAsia="黑体"/>
          <w:b w:val="0"/>
          <w:sz w:val="32"/>
          <w:szCs w:val="32"/>
        </w:rPr>
        <w:t>管理</w:t>
      </w:r>
    </w:p>
    <w:p>
      <w:pPr>
        <w:pStyle w:val="4"/>
        <w:spacing w:beforeAutospacing="0" w:afterAutospacing="0" w:line="560" w:lineRule="exact"/>
        <w:ind w:firstLine="640" w:firstLineChars="200"/>
        <w:jc w:val="both"/>
        <w:rPr>
          <w:rFonts w:ascii="Times New Roman" w:hAnsi="Times New Roman" w:eastAsia="仿宋_GB2312"/>
          <w:sz w:val="32"/>
          <w:szCs w:val="32"/>
        </w:rPr>
      </w:pP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七</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所有正常生产经营的煤矿、洗选煤场、集装站，应严格按照《鄂尔多斯市人民政府办公室关于印发智慧能源服务体系实施方案的通知》（鄂府办发〔2023〕110号）和市能源部门《智慧能源产销服务平台建设标准》有关要求，全部接入产销服务平台；阶段性停产的煤矿、洗选煤场、集装站，停产前需在产销服务平台备案，恢复生产经营时必须经能源部门核实后接入产销服务平台</w:t>
      </w:r>
      <w:r>
        <w:rPr>
          <w:rFonts w:hint="eastAsia" w:ascii="Times New Roman" w:hAnsi="Times New Roman" w:eastAsia="仿宋_GB2312"/>
          <w:sz w:val="32"/>
          <w:szCs w:val="32"/>
        </w:rPr>
        <w:t>。</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八</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无人值守销售系统。各煤矿、洗选煤场必须固定煤炭销售出入口，具体数量各企业按照自身需求确定，每个出入口必须保证出口与入口的物理隔离或分离卡控，针对无法进行硬隔离，实现厂区全面封堵的煤炭企业，须安装高空摄像机设定虚拟边界，实现虚拟隔离封堵管理。</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九</w:t>
      </w:r>
      <w:r>
        <w:rPr>
          <w:rFonts w:ascii="Times New Roman" w:hAnsi="Times New Roman" w:eastAsia="仿宋_GB2312"/>
          <w:b/>
          <w:bCs/>
          <w:sz w:val="32"/>
          <w:szCs w:val="32"/>
        </w:rPr>
        <w:t>条</w:t>
      </w:r>
      <w:r>
        <w:rPr>
          <w:rFonts w:hint="eastAsia" w:ascii="Times New Roman" w:hAnsi="Times New Roman" w:eastAsia="仿宋_GB2312"/>
          <w:b/>
          <w:bCs/>
          <w:sz w:val="32"/>
          <w:szCs w:val="32"/>
        </w:rPr>
        <w:t xml:space="preserve"> </w:t>
      </w:r>
      <w:r>
        <w:rPr>
          <w:rFonts w:hint="eastAsia" w:ascii="Times New Roman" w:hAnsi="Times New Roman" w:eastAsia="仿宋_GB2312"/>
          <w:sz w:val="32"/>
          <w:szCs w:val="32"/>
        </w:rPr>
        <w:t>智能卡口系统。各煤矿、洗选煤场在出入口处安装卡口摄像机、防逆行卡口摄像机，卡口摄像机电源网络采用双备份方案建设，卡口摄像机实时抓拍车辆出入场信息并上传至</w:t>
      </w:r>
      <w:r>
        <w:rPr>
          <w:rFonts w:ascii="Times New Roman" w:hAnsi="Times New Roman" w:eastAsia="仿宋_GB2312"/>
          <w:sz w:val="32"/>
          <w:szCs w:val="32"/>
        </w:rPr>
        <w:t>产销服务平台</w:t>
      </w:r>
      <w:r>
        <w:rPr>
          <w:rFonts w:hint="eastAsia" w:ascii="Times New Roman" w:hAnsi="Times New Roman" w:eastAsia="仿宋_GB2312"/>
          <w:sz w:val="32"/>
          <w:szCs w:val="32"/>
        </w:rPr>
        <w:t>（多个洗选煤场在相同区域内经营的，须在关键道路处建设卡口监控系统）。集装站、转运站在入场通道口建设智能卡口监控系统，实现出口与入口的物理隔离。</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十</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电子围栏系统。建设电子围栏系统对煤矿、洗选煤场、集装站的销售场地进行电子化管理，防止运煤车辆从非规定出入口出入，并规范出入口建设标准。煤矿、洗选煤场、集装站要落实主体责任，定期维护驶入驶出围栏预警信息，分级、分类处理异常车辆。</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十一</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电子提煤单系统。电子提煤单是我市辖区内煤炭生产、销售、购买、运输、计重的有效凭证。各煤矿、洗选煤场在无人值守运销系统生成空白电子提煤单并推送到</w:t>
      </w:r>
      <w:r>
        <w:rPr>
          <w:rFonts w:ascii="Times New Roman" w:hAnsi="Times New Roman" w:eastAsia="仿宋_GB2312"/>
          <w:sz w:val="32"/>
          <w:szCs w:val="32"/>
        </w:rPr>
        <w:t>产销服务平台</w:t>
      </w:r>
      <w:r>
        <w:rPr>
          <w:rFonts w:hint="eastAsia" w:ascii="Times New Roman" w:hAnsi="Times New Roman" w:eastAsia="仿宋_GB2312"/>
          <w:sz w:val="32"/>
          <w:szCs w:val="32"/>
        </w:rPr>
        <w:t>，完成电子提煤单签证存证。煤矿、洗选煤场、集装站销售过程中调取</w:t>
      </w:r>
      <w:r>
        <w:rPr>
          <w:rFonts w:ascii="Times New Roman" w:hAnsi="Times New Roman" w:eastAsia="仿宋_GB2312"/>
          <w:sz w:val="32"/>
          <w:szCs w:val="32"/>
        </w:rPr>
        <w:t>产销服务平台</w:t>
      </w:r>
      <w:r>
        <w:rPr>
          <w:rFonts w:hint="eastAsia" w:ascii="Times New Roman" w:hAnsi="Times New Roman" w:eastAsia="仿宋_GB2312"/>
          <w:sz w:val="32"/>
          <w:szCs w:val="32"/>
        </w:rPr>
        <w:t>接口获取加密二维码，按自有业务流程进行提煤单派发流转。</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十二</w:t>
      </w:r>
      <w:r>
        <w:rPr>
          <w:rFonts w:ascii="Times New Roman" w:hAnsi="Times New Roman" w:eastAsia="仿宋_GB2312"/>
          <w:b/>
          <w:bCs/>
          <w:sz w:val="32"/>
          <w:szCs w:val="32"/>
        </w:rPr>
        <w:t>条</w:t>
      </w:r>
      <w:r>
        <w:rPr>
          <w:rFonts w:hint="eastAsia" w:ascii="Times New Roman" w:hAnsi="Times New Roman" w:eastAsia="仿宋_GB2312"/>
          <w:b/>
          <w:bCs/>
          <w:sz w:val="32"/>
          <w:szCs w:val="32"/>
        </w:rPr>
        <w:t xml:space="preserve"> </w:t>
      </w:r>
      <w:r>
        <w:rPr>
          <w:rFonts w:hint="eastAsia" w:ascii="Times New Roman" w:hAnsi="Times New Roman" w:eastAsia="仿宋_GB2312"/>
          <w:sz w:val="32"/>
          <w:szCs w:val="32"/>
        </w:rPr>
        <w:t>电子磅单系统。电子磅单是货主与煤炭生产经营企业之间真实交易过重凭证。</w:t>
      </w:r>
      <w:r>
        <w:rPr>
          <w:rFonts w:ascii="Times New Roman" w:hAnsi="Times New Roman" w:eastAsia="仿宋_GB2312"/>
          <w:sz w:val="32"/>
          <w:szCs w:val="32"/>
        </w:rPr>
        <w:t>产销服务平台</w:t>
      </w:r>
      <w:r>
        <w:rPr>
          <w:rFonts w:hint="eastAsia" w:ascii="Times New Roman" w:hAnsi="Times New Roman" w:eastAsia="仿宋_GB2312"/>
          <w:sz w:val="32"/>
          <w:szCs w:val="32"/>
        </w:rPr>
        <w:t>与煤炭生产经营企业称重磅直联，提供时间戳及存证服务，结合提煤单形成对应的煤炭交易数据凭证，完成煤炭销售电子存证，确保煤炭交易的真实性、实时性。</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十三</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进煤采集上传系统。各煤矿、洗选煤场、集装站要完善无人值守销售系统并建设进煤采集上传系统，上传采购煤炭的客户信息、煤源地、车辆信息、重量信息、完税证明、入场视频等必要信息，完成产销服务平台数据采集、上传工作。</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十四</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铁路运输采集系统。坑口铁路销售煤矿、配套洗选煤场（中心）、群矿性煤炭集装站必须建设铁路运销数据智能采集系统，完成客户信息、运往地点、发运吨位、车节数、单价（企业填报）等数据的自动采集、实时上传，形成数据闭环机制。</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十五</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皮带转运数据智能采集系统。通过皮带转运进行煤炭销售的煤炭生产经营企业，必须建设皮带转运数据智能采集系统，通过产销服务平台接口进行视频采集上传工作，实现称重视频、称重数据实时采集上传。</w:t>
      </w:r>
    </w:p>
    <w:p>
      <w:pPr>
        <w:pStyle w:val="4"/>
        <w:spacing w:beforeAutospacing="0" w:afterAutospacing="0" w:line="560" w:lineRule="exact"/>
        <w:ind w:firstLine="642" w:firstLineChars="200"/>
        <w:jc w:val="both"/>
        <w:rPr>
          <w:rStyle w:val="7"/>
          <w:rFonts w:ascii="Times New Roman" w:hAnsi="Times New Roman" w:eastAsia="仿宋_GB2312"/>
          <w:b w:val="0"/>
          <w:bCs/>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十六</w:t>
      </w:r>
      <w:r>
        <w:rPr>
          <w:rFonts w:ascii="Times New Roman" w:hAnsi="Times New Roman" w:eastAsia="仿宋_GB2312"/>
          <w:b/>
          <w:bCs/>
          <w:sz w:val="32"/>
          <w:szCs w:val="32"/>
        </w:rPr>
        <w:t>条</w:t>
      </w:r>
      <w:r>
        <w:rPr>
          <w:rStyle w:val="7"/>
          <w:rFonts w:hint="eastAsia" w:ascii="Times New Roman" w:hAnsi="Times New Roman" w:eastAsia="仿宋_GB2312"/>
          <w:sz w:val="32"/>
          <w:szCs w:val="32"/>
        </w:rPr>
        <w:t xml:space="preserve"> </w:t>
      </w:r>
      <w:r>
        <w:rPr>
          <w:rStyle w:val="7"/>
          <w:rFonts w:hint="eastAsia" w:ascii="Times New Roman" w:hAnsi="Times New Roman" w:eastAsia="仿宋_GB2312"/>
          <w:b w:val="0"/>
          <w:bCs/>
          <w:sz w:val="32"/>
          <w:szCs w:val="32"/>
        </w:rPr>
        <w:t>采掘数据填报。各煤矿要严格按照《鄂尔多斯市自然资源局、鄂尔多斯市能源局关于印发煤矿储量动态管理实施方案（试行）的通知》</w:t>
      </w:r>
      <w:r>
        <w:rPr>
          <w:rStyle w:val="7"/>
          <w:rFonts w:hint="eastAsia" w:ascii="仿宋_GB2312" w:hAnsi="仿宋_GB2312" w:eastAsia="仿宋_GB2312" w:cs="仿宋_GB2312"/>
          <w:b w:val="0"/>
          <w:bCs/>
          <w:sz w:val="32"/>
          <w:szCs w:val="32"/>
        </w:rPr>
        <w:t>（鄂自然资发〔2023〕451号）</w:t>
      </w:r>
      <w:r>
        <w:rPr>
          <w:rStyle w:val="7"/>
          <w:rFonts w:hint="eastAsia" w:ascii="Times New Roman" w:hAnsi="Times New Roman" w:eastAsia="仿宋_GB2312"/>
          <w:b w:val="0"/>
          <w:bCs/>
          <w:sz w:val="32"/>
          <w:szCs w:val="32"/>
        </w:rPr>
        <w:t>有关规定，配合自然资源、能源等行业主管部门完成煤矿储量变化信息、采煤面采煤数量信息、掘进面出煤量信息填报工作，因特殊原因不能正常生产销售的煤矿需在产销服务平台实行备案管理。</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十七</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运输车辆监管。交通运输部门通过</w:t>
      </w:r>
      <w:r>
        <w:rPr>
          <w:rFonts w:hint="eastAsia" w:ascii="Times New Roman" w:hAnsi="Times New Roman" w:eastAsia="仿宋_GB2312"/>
          <w:color w:val="000000"/>
          <w:sz w:val="32"/>
          <w:szCs w:val="32"/>
        </w:rPr>
        <w:t>车辆卫星定位数据</w:t>
      </w:r>
      <w:r>
        <w:rPr>
          <w:rFonts w:hint="eastAsia" w:ascii="Times New Roman" w:hAnsi="Times New Roman" w:eastAsia="仿宋_GB2312"/>
          <w:sz w:val="32"/>
          <w:szCs w:val="32"/>
        </w:rPr>
        <w:t>，结合电子围栏和卫星定位系统，确保所有公路运输电子提煤单、电子磅单、电子运单相统一。交通运输部门应加大对大型载重车辆的监督检查力度，规范煤炭运输车辆正确使用车载定位设备，对恶意屏蔽、拆除设备的车辆限期整改。</w:t>
      </w:r>
    </w:p>
    <w:p>
      <w:pPr>
        <w:pStyle w:val="4"/>
        <w:spacing w:beforeAutospacing="0" w:afterAutospacing="0" w:line="560" w:lineRule="exact"/>
        <w:ind w:firstLine="642" w:firstLineChars="200"/>
        <w:jc w:val="both"/>
        <w:rPr>
          <w:rStyle w:val="7"/>
          <w:rFonts w:ascii="Times New Roman" w:hAnsi="Times New Roman" w:eastAsia="仿宋_GB2312"/>
          <w:b w:val="0"/>
          <w:bCs/>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十八</w:t>
      </w:r>
      <w:r>
        <w:rPr>
          <w:rFonts w:ascii="Times New Roman" w:hAnsi="Times New Roman" w:eastAsia="仿宋_GB2312"/>
          <w:b/>
          <w:bCs/>
          <w:sz w:val="32"/>
          <w:szCs w:val="32"/>
        </w:rPr>
        <w:t>条</w:t>
      </w:r>
      <w:r>
        <w:rPr>
          <w:rFonts w:hint="eastAsia" w:ascii="Times New Roman" w:hAnsi="Times New Roman" w:eastAsia="仿宋_GB2312"/>
          <w:b/>
          <w:bCs/>
          <w:sz w:val="32"/>
          <w:szCs w:val="32"/>
        </w:rPr>
        <w:t xml:space="preserve"> </w:t>
      </w:r>
      <w:r>
        <w:rPr>
          <w:rFonts w:hint="eastAsia" w:ascii="Times New Roman" w:hAnsi="Times New Roman" w:eastAsia="仿宋_GB2312"/>
          <w:sz w:val="32"/>
          <w:szCs w:val="32"/>
        </w:rPr>
        <w:t>接口规范和上线标准。所有正常生产经营的煤矿、洗选煤场、集装站，产销服务平台各项接口都必须严格按市能源部门《智慧能源服务平台接入标准》有关要求接入，并经</w:t>
      </w:r>
      <w:r>
        <w:rPr>
          <w:rFonts w:hint="eastAsia" w:ascii="Times New Roman" w:hAnsi="Times New Roman" w:eastAsia="仿宋_GB2312"/>
          <w:sz w:val="32"/>
          <w:szCs w:val="32"/>
          <w:lang w:eastAsia="zh-CN"/>
        </w:rPr>
        <w:t>承接单位</w:t>
      </w:r>
      <w:r>
        <w:rPr>
          <w:rFonts w:hint="eastAsia" w:ascii="Times New Roman" w:hAnsi="Times New Roman" w:eastAsia="仿宋_GB2312"/>
          <w:sz w:val="32"/>
          <w:szCs w:val="32"/>
        </w:rPr>
        <w:t>确认测试联调完成，方可给予正式接口授权。按各项数据传输规范、接口标准统一接入，平台各项数据显示正常，数据比对正确无误，即视为符合上线要求、正式接入平台上线运行。</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十九</w:t>
      </w:r>
      <w:r>
        <w:rPr>
          <w:rFonts w:ascii="Times New Roman" w:hAnsi="Times New Roman" w:eastAsia="仿宋_GB2312"/>
          <w:b/>
          <w:bCs/>
          <w:sz w:val="32"/>
          <w:szCs w:val="32"/>
        </w:rPr>
        <w:t>条</w:t>
      </w:r>
      <w:r>
        <w:rPr>
          <w:rFonts w:hint="eastAsia" w:ascii="Times New Roman" w:hAnsi="Times New Roman" w:eastAsia="仿宋_GB2312"/>
          <w:b/>
          <w:bCs/>
          <w:sz w:val="32"/>
          <w:szCs w:val="32"/>
        </w:rPr>
        <w:t xml:space="preserve"> </w:t>
      </w:r>
      <w:r>
        <w:rPr>
          <w:rFonts w:hint="eastAsia" w:ascii="Times New Roman" w:hAnsi="Times New Roman" w:eastAsia="仿宋_GB2312"/>
          <w:sz w:val="32"/>
          <w:szCs w:val="32"/>
        </w:rPr>
        <w:t>数字化闭环管理。</w:t>
      </w:r>
      <w:r>
        <w:rPr>
          <w:rFonts w:hint="eastAsia" w:ascii="Times New Roman" w:hAnsi="Times New Roman" w:eastAsia="仿宋_GB2312"/>
          <w:sz w:val="32"/>
          <w:szCs w:val="32"/>
          <w:lang w:eastAsia="zh-CN"/>
        </w:rPr>
        <w:t>承接单位</w:t>
      </w:r>
      <w:r>
        <w:rPr>
          <w:rFonts w:hint="eastAsia" w:ascii="Times New Roman" w:hAnsi="Times New Roman" w:eastAsia="仿宋_GB2312"/>
          <w:sz w:val="32"/>
          <w:szCs w:val="32"/>
        </w:rPr>
        <w:t>在建设、运营和管理智慧能源服务平台过程中，要全面构建煤炭产销环节全流程、全链条、全周期、可溯源的数字化闭环管理机制，全面兼容煤矿端、企业端、司机</w:t>
      </w:r>
      <w:r>
        <w:rPr>
          <w:rFonts w:hint="eastAsia" w:ascii="仿宋_GB2312" w:hAnsi="仿宋_GB2312" w:eastAsia="仿宋_GB2312" w:cs="仿宋_GB2312"/>
          <w:sz w:val="32"/>
          <w:szCs w:val="32"/>
        </w:rPr>
        <w:t>端APP，真正实</w:t>
      </w:r>
      <w:r>
        <w:rPr>
          <w:rFonts w:hint="eastAsia" w:ascii="Times New Roman" w:hAnsi="Times New Roman" w:eastAsia="仿宋_GB2312"/>
          <w:sz w:val="32"/>
          <w:szCs w:val="32"/>
        </w:rPr>
        <w:t>现全市煤炭产运销“六票合一”（统筹整合电子合同、电子提煤单、电子磅单、电子运单、电子结算单、电子运输发票）“一码通行”（全市电子提煤单统一二维码通行）的建设目标。</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二十</w:t>
      </w:r>
      <w:r>
        <w:rPr>
          <w:rFonts w:ascii="Times New Roman" w:hAnsi="Times New Roman" w:eastAsia="仿宋_GB2312"/>
          <w:b/>
          <w:bCs/>
          <w:sz w:val="32"/>
          <w:szCs w:val="32"/>
        </w:rPr>
        <w:t>条</w:t>
      </w:r>
      <w:r>
        <w:rPr>
          <w:rFonts w:hint="eastAsia" w:ascii="Times New Roman" w:hAnsi="Times New Roman" w:eastAsia="仿宋_GB2312"/>
          <w:b/>
          <w:bCs/>
          <w:sz w:val="32"/>
          <w:szCs w:val="32"/>
        </w:rPr>
        <w:t xml:space="preserve"> </w:t>
      </w:r>
      <w:r>
        <w:rPr>
          <w:rFonts w:hint="eastAsia" w:ascii="Times New Roman" w:hAnsi="Times New Roman" w:eastAsia="仿宋_GB2312"/>
          <w:bCs/>
          <w:spacing w:val="4"/>
          <w:sz w:val="32"/>
          <w:szCs w:val="32"/>
        </w:rPr>
        <w:t>数据传输共享。</w:t>
      </w:r>
      <w:r>
        <w:rPr>
          <w:rFonts w:hint="eastAsia" w:ascii="Times New Roman" w:hAnsi="Times New Roman" w:eastAsia="仿宋_GB2312"/>
          <w:sz w:val="32"/>
          <w:szCs w:val="32"/>
        </w:rPr>
        <w:t>市能源、税务、自然资源、交通运输等部门以及</w:t>
      </w:r>
      <w:r>
        <w:rPr>
          <w:rFonts w:hint="eastAsia" w:ascii="Times New Roman" w:hAnsi="Times New Roman" w:eastAsia="仿宋_GB2312"/>
          <w:sz w:val="32"/>
          <w:szCs w:val="32"/>
          <w:lang w:eastAsia="zh-CN"/>
        </w:rPr>
        <w:t>供电</w:t>
      </w:r>
      <w:r>
        <w:rPr>
          <w:rFonts w:hint="eastAsia" w:ascii="Times New Roman" w:hAnsi="Times New Roman" w:eastAsia="仿宋_GB2312"/>
          <w:sz w:val="32"/>
          <w:szCs w:val="32"/>
        </w:rPr>
        <w:t>公司，</w:t>
      </w:r>
      <w:r>
        <w:rPr>
          <w:rFonts w:hint="eastAsia" w:ascii="Times New Roman" w:hAnsi="Times New Roman" w:eastAsia="仿宋_GB2312"/>
          <w:sz w:val="32"/>
          <w:szCs w:val="32"/>
          <w:lang w:eastAsia="zh-CN"/>
        </w:rPr>
        <w:t>要</w:t>
      </w:r>
      <w:r>
        <w:rPr>
          <w:rFonts w:hint="eastAsia" w:ascii="Times New Roman" w:hAnsi="Times New Roman" w:eastAsia="仿宋_GB2312"/>
          <w:sz w:val="32"/>
          <w:szCs w:val="32"/>
        </w:rPr>
        <w:t>及时准确、依法依规向</w:t>
      </w:r>
      <w:r>
        <w:rPr>
          <w:rFonts w:hint="eastAsia" w:ascii="Times New Roman" w:hAnsi="Times New Roman" w:eastAsia="仿宋_GB2312"/>
          <w:sz w:val="32"/>
          <w:szCs w:val="32"/>
          <w:lang w:eastAsia="zh-CN"/>
        </w:rPr>
        <w:t>智慧能源服务平台</w:t>
      </w:r>
      <w:r>
        <w:rPr>
          <w:rFonts w:hint="eastAsia" w:ascii="Times New Roman" w:hAnsi="Times New Roman" w:eastAsia="仿宋_GB2312"/>
          <w:sz w:val="32"/>
          <w:szCs w:val="32"/>
        </w:rPr>
        <w:t>数据共享服务中心传送煤炭产销等环节数据信息，</w:t>
      </w:r>
      <w:r>
        <w:rPr>
          <w:rFonts w:hint="eastAsia" w:ascii="Times New Roman" w:hAnsi="Times New Roman" w:eastAsia="仿宋_GB2312"/>
          <w:bCs/>
          <w:spacing w:val="4"/>
          <w:sz w:val="32"/>
          <w:szCs w:val="32"/>
        </w:rPr>
        <w:t>实现部门数据互联互通、合作共管，</w:t>
      </w:r>
      <w:r>
        <w:rPr>
          <w:rFonts w:hint="eastAsia" w:ascii="Times New Roman" w:hAnsi="Times New Roman" w:eastAsia="仿宋_GB2312"/>
          <w:sz w:val="32"/>
          <w:szCs w:val="32"/>
        </w:rPr>
        <w:t>不能直接传输数据的要利用介质设备进行间接传输。</w:t>
      </w:r>
      <w:r>
        <w:rPr>
          <w:rFonts w:hint="eastAsia" w:ascii="Times New Roman" w:hAnsi="Times New Roman" w:eastAsia="仿宋_GB2312"/>
          <w:sz w:val="32"/>
          <w:szCs w:val="32"/>
          <w:lang w:eastAsia="zh-CN"/>
        </w:rPr>
        <w:t>承接单位</w:t>
      </w:r>
      <w:r>
        <w:rPr>
          <w:rFonts w:hint="eastAsia" w:ascii="Times New Roman" w:hAnsi="Times New Roman" w:eastAsia="仿宋_GB2312"/>
          <w:sz w:val="32"/>
          <w:szCs w:val="32"/>
        </w:rPr>
        <w:t>按照《中华人民共和国数据安全法》等规定，加强数据安全管理，保障数据安全存储，</w:t>
      </w:r>
      <w:r>
        <w:rPr>
          <w:rFonts w:hint="eastAsia" w:ascii="Times New Roman" w:hAnsi="Times New Roman" w:eastAsia="仿宋_GB2312"/>
          <w:bCs/>
          <w:spacing w:val="4"/>
          <w:sz w:val="32"/>
          <w:szCs w:val="32"/>
        </w:rPr>
        <w:t>推动数据资源增值和高效利用</w:t>
      </w:r>
      <w:r>
        <w:rPr>
          <w:rFonts w:hint="eastAsia" w:ascii="Times New Roman" w:hAnsi="Times New Roman" w:eastAsia="仿宋_GB2312"/>
          <w:sz w:val="32"/>
          <w:szCs w:val="32"/>
        </w:rPr>
        <w:t>。</w:t>
      </w:r>
    </w:p>
    <w:p>
      <w:pPr>
        <w:pStyle w:val="4"/>
        <w:spacing w:beforeAutospacing="0" w:afterAutospacing="0" w:line="560" w:lineRule="exact"/>
        <w:ind w:firstLine="642" w:firstLineChars="200"/>
        <w:jc w:val="center"/>
        <w:rPr>
          <w:rStyle w:val="7"/>
          <w:rFonts w:ascii="Times New Roman" w:hAnsi="Times New Roman" w:eastAsia="仿宋_GB2312"/>
          <w:bCs/>
          <w:sz w:val="32"/>
          <w:szCs w:val="32"/>
        </w:rPr>
      </w:pPr>
    </w:p>
    <w:p>
      <w:pPr>
        <w:pStyle w:val="4"/>
        <w:spacing w:beforeAutospacing="0" w:afterAutospacing="0" w:line="560" w:lineRule="exact"/>
        <w:jc w:val="center"/>
        <w:rPr>
          <w:rStyle w:val="7"/>
          <w:rFonts w:ascii="黑体" w:hAnsi="黑体" w:eastAsia="黑体"/>
        </w:rPr>
      </w:pPr>
      <w:r>
        <w:rPr>
          <w:rStyle w:val="7"/>
          <w:rFonts w:ascii="黑体" w:hAnsi="黑体" w:eastAsia="黑体"/>
          <w:b w:val="0"/>
          <w:sz w:val="32"/>
          <w:szCs w:val="32"/>
        </w:rPr>
        <w:t>第</w:t>
      </w:r>
      <w:r>
        <w:rPr>
          <w:rStyle w:val="7"/>
          <w:rFonts w:hint="eastAsia" w:ascii="黑体" w:hAnsi="黑体" w:eastAsia="黑体"/>
          <w:b w:val="0"/>
          <w:sz w:val="32"/>
          <w:szCs w:val="32"/>
        </w:rPr>
        <w:t>三</w:t>
      </w:r>
      <w:r>
        <w:rPr>
          <w:rStyle w:val="7"/>
          <w:rFonts w:ascii="黑体" w:hAnsi="黑体" w:eastAsia="黑体"/>
          <w:b w:val="0"/>
          <w:sz w:val="32"/>
          <w:szCs w:val="32"/>
        </w:rPr>
        <w:t>章</w:t>
      </w:r>
      <w:r>
        <w:rPr>
          <w:rStyle w:val="7"/>
          <w:rFonts w:hint="eastAsia" w:ascii="黑体" w:hAnsi="黑体" w:eastAsia="黑体"/>
          <w:b w:val="0"/>
          <w:sz w:val="32"/>
          <w:szCs w:val="32"/>
        </w:rPr>
        <w:t xml:space="preserve"> 价格管理</w:t>
      </w:r>
    </w:p>
    <w:p>
      <w:pPr>
        <w:pStyle w:val="4"/>
        <w:spacing w:beforeAutospacing="0" w:afterAutospacing="0" w:line="560" w:lineRule="exact"/>
        <w:ind w:firstLine="640" w:firstLineChars="200"/>
        <w:jc w:val="both"/>
        <w:rPr>
          <w:rFonts w:ascii="Times New Roman" w:hAnsi="Times New Roman" w:eastAsia="仿宋_GB2312"/>
          <w:sz w:val="32"/>
          <w:szCs w:val="32"/>
        </w:rPr>
      </w:pP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二十一</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电子合同系统。各煤炭生产经营企业严格按照保供合同、中长协合同、销售合同、采购合同备案管理要求，详细填报合同编号、客户信息、运往地点、合同吨位、合同煤种、合同单价等相关信息，扫描为</w:t>
      </w:r>
      <w:r>
        <w:rPr>
          <w:rFonts w:hint="eastAsia" w:ascii="仿宋_GB2312" w:hAnsi="仿宋_GB2312" w:eastAsia="仿宋_GB2312" w:cs="仿宋_GB2312"/>
          <w:sz w:val="32"/>
          <w:szCs w:val="32"/>
        </w:rPr>
        <w:t>PDF</w:t>
      </w:r>
      <w:r>
        <w:rPr>
          <w:rFonts w:hint="eastAsia" w:ascii="Times New Roman" w:hAnsi="Times New Roman" w:eastAsia="仿宋_GB2312"/>
          <w:sz w:val="32"/>
          <w:szCs w:val="32"/>
        </w:rPr>
        <w:t>版上传产销服务平台方可进行销售。市旗能源部门建立</w:t>
      </w:r>
      <w:r>
        <w:rPr>
          <w:rFonts w:ascii="Times New Roman" w:hAnsi="Times New Roman" w:eastAsia="仿宋_GB2312"/>
          <w:sz w:val="32"/>
          <w:szCs w:val="32"/>
        </w:rPr>
        <w:t>保供煤炭全流程跟踪服务监管</w:t>
      </w:r>
      <w:r>
        <w:rPr>
          <w:rFonts w:hint="eastAsia" w:ascii="Times New Roman" w:hAnsi="Times New Roman" w:eastAsia="仿宋_GB2312"/>
          <w:sz w:val="32"/>
          <w:szCs w:val="32"/>
        </w:rPr>
        <w:t>机制，</w:t>
      </w:r>
      <w:r>
        <w:rPr>
          <w:rFonts w:ascii="Times New Roman" w:hAnsi="Times New Roman" w:eastAsia="仿宋_GB2312"/>
          <w:sz w:val="32"/>
          <w:szCs w:val="32"/>
        </w:rPr>
        <w:t>所有长协合同和保供履约煤炭的交易主体，要将销售、运输全流程的合同及其执行情况适时上传纳入产销服务平台，实现电子合同履约监管全覆盖，推动合同交易规范有序。</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二十二</w:t>
      </w:r>
      <w:r>
        <w:rPr>
          <w:rFonts w:ascii="Times New Roman" w:hAnsi="Times New Roman" w:eastAsia="仿宋_GB2312"/>
          <w:b/>
          <w:bCs/>
          <w:sz w:val="32"/>
          <w:szCs w:val="32"/>
        </w:rPr>
        <w:t>条</w:t>
      </w:r>
      <w:r>
        <w:rPr>
          <w:rFonts w:hint="eastAsia" w:ascii="Times New Roman" w:hAnsi="Times New Roman" w:eastAsia="仿宋_GB2312"/>
          <w:b/>
          <w:bCs/>
          <w:sz w:val="32"/>
          <w:szCs w:val="32"/>
        </w:rPr>
        <w:t xml:space="preserve"> </w:t>
      </w:r>
      <w:r>
        <w:rPr>
          <w:rFonts w:hint="eastAsia" w:ascii="Times New Roman" w:hAnsi="Times New Roman" w:eastAsia="仿宋_GB2312"/>
          <w:sz w:val="32"/>
          <w:szCs w:val="32"/>
        </w:rPr>
        <w:t>电子结算单系统。在煤炭产品送达终端用户完成销售流程，经终端用户开具结算单后，煤炭生产经营企业要将结算单及时回传至产销服务平台，与电子提煤单、电子磅单等全流程产运销数据进行验证。</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二十</w:t>
      </w:r>
      <w:r>
        <w:rPr>
          <w:rFonts w:hint="eastAsia" w:ascii="Times New Roman" w:hAnsi="Times New Roman" w:eastAsia="仿宋_GB2312"/>
          <w:b/>
          <w:bCs/>
          <w:sz w:val="32"/>
          <w:szCs w:val="32"/>
          <w:lang w:eastAsia="zh-CN"/>
        </w:rPr>
        <w:t>三</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规范关联企业固定差价</w:t>
      </w:r>
      <w:r>
        <w:rPr>
          <w:rFonts w:ascii="Times New Roman" w:hAnsi="Times New Roman" w:eastAsia="仿宋_GB2312"/>
          <w:sz w:val="32"/>
          <w:szCs w:val="32"/>
        </w:rPr>
        <w:t>机制</w:t>
      </w:r>
      <w:r>
        <w:rPr>
          <w:rFonts w:hint="eastAsia" w:ascii="Times New Roman" w:hAnsi="Times New Roman" w:eastAsia="仿宋_GB2312"/>
          <w:sz w:val="32"/>
          <w:szCs w:val="32"/>
        </w:rPr>
        <w:t>。市</w:t>
      </w:r>
      <w:r>
        <w:rPr>
          <w:rFonts w:ascii="Times New Roman" w:hAnsi="Times New Roman" w:eastAsia="仿宋_GB2312"/>
          <w:sz w:val="32"/>
          <w:szCs w:val="32"/>
        </w:rPr>
        <w:t>税务、能源</w:t>
      </w:r>
      <w:r>
        <w:rPr>
          <w:rFonts w:hint="eastAsia" w:ascii="Times New Roman" w:hAnsi="Times New Roman" w:eastAsia="仿宋_GB2312"/>
          <w:sz w:val="32"/>
          <w:szCs w:val="32"/>
          <w:lang w:eastAsia="zh-CN"/>
        </w:rPr>
        <w:t>、财政</w:t>
      </w:r>
      <w:r>
        <w:rPr>
          <w:rFonts w:ascii="Times New Roman" w:hAnsi="Times New Roman" w:eastAsia="仿宋_GB2312"/>
          <w:sz w:val="32"/>
          <w:szCs w:val="32"/>
        </w:rPr>
        <w:t>等部门</w:t>
      </w:r>
      <w:r>
        <w:rPr>
          <w:rFonts w:hint="eastAsia" w:ascii="Times New Roman" w:hAnsi="Times New Roman" w:eastAsia="仿宋_GB2312"/>
          <w:sz w:val="32"/>
          <w:szCs w:val="32"/>
        </w:rPr>
        <w:t>共同</w:t>
      </w:r>
      <w:r>
        <w:rPr>
          <w:rFonts w:ascii="Times New Roman" w:hAnsi="Times New Roman" w:eastAsia="仿宋_GB2312"/>
          <w:sz w:val="32"/>
          <w:szCs w:val="32"/>
        </w:rPr>
        <w:t>建立煤炭运销企业转移定价指导机制，对于我市境内煤炭生产经营企业</w:t>
      </w:r>
      <w:r>
        <w:rPr>
          <w:rFonts w:hint="eastAsia" w:ascii="Times New Roman" w:hAnsi="Times New Roman" w:eastAsia="仿宋_GB2312"/>
          <w:sz w:val="32"/>
          <w:szCs w:val="32"/>
        </w:rPr>
        <w:t>及与之存在关联行为的其他涉煤企业</w:t>
      </w:r>
      <w:r>
        <w:rPr>
          <w:rFonts w:ascii="Times New Roman" w:hAnsi="Times New Roman" w:eastAsia="仿宋_GB2312"/>
          <w:sz w:val="32"/>
          <w:szCs w:val="32"/>
        </w:rPr>
        <w:t>，</w:t>
      </w:r>
      <w:r>
        <w:rPr>
          <w:rFonts w:hint="eastAsia" w:ascii="Times New Roman" w:hAnsi="Times New Roman" w:eastAsia="仿宋_GB2312"/>
          <w:sz w:val="32"/>
          <w:szCs w:val="32"/>
        </w:rPr>
        <w:t>根据</w:t>
      </w:r>
      <w:r>
        <w:rPr>
          <w:rFonts w:ascii="Times New Roman" w:hAnsi="Times New Roman" w:eastAsia="仿宋_GB2312"/>
          <w:sz w:val="32"/>
          <w:szCs w:val="32"/>
        </w:rPr>
        <w:t>《中华人民共和国税收征收管理法》第三十六条规定</w:t>
      </w:r>
      <w:r>
        <w:rPr>
          <w:rFonts w:hint="eastAsia" w:ascii="Times New Roman" w:hAnsi="Times New Roman" w:eastAsia="仿宋_GB2312"/>
          <w:sz w:val="32"/>
          <w:szCs w:val="32"/>
        </w:rPr>
        <w:t>，</w:t>
      </w:r>
      <w:r>
        <w:rPr>
          <w:rFonts w:ascii="Times New Roman" w:hAnsi="Times New Roman" w:eastAsia="仿宋_GB2312"/>
          <w:sz w:val="32"/>
          <w:szCs w:val="32"/>
        </w:rPr>
        <w:t>参照国能集团及部分大型民企办法，</w:t>
      </w:r>
      <w:r>
        <w:rPr>
          <w:rFonts w:hint="eastAsia" w:ascii="Times New Roman" w:hAnsi="Times New Roman" w:eastAsia="仿宋_GB2312"/>
          <w:sz w:val="32"/>
          <w:szCs w:val="32"/>
        </w:rPr>
        <w:t>计税销售额</w:t>
      </w:r>
      <w:r>
        <w:rPr>
          <w:rFonts w:ascii="Times New Roman" w:hAnsi="Times New Roman" w:eastAsia="仿宋_GB2312"/>
          <w:sz w:val="32"/>
          <w:szCs w:val="32"/>
        </w:rPr>
        <w:t>以</w:t>
      </w:r>
      <w:r>
        <w:rPr>
          <w:rFonts w:hint="eastAsia" w:ascii="Times New Roman" w:hAnsi="Times New Roman" w:eastAsia="仿宋_GB2312"/>
          <w:sz w:val="32"/>
          <w:szCs w:val="32"/>
        </w:rPr>
        <w:t>纳税人最终向非关联购买方收取的全部价款和价外费用（不包括增值税销项税额以及运杂费、港杂费等运输</w:t>
      </w:r>
      <w:r>
        <w:rPr>
          <w:rFonts w:ascii="Times New Roman" w:hAnsi="Times New Roman" w:eastAsia="仿宋_GB2312"/>
          <w:sz w:val="32"/>
          <w:szCs w:val="32"/>
        </w:rPr>
        <w:t>费用</w:t>
      </w:r>
      <w:r>
        <w:rPr>
          <w:rFonts w:hint="eastAsia" w:ascii="Times New Roman" w:hAnsi="Times New Roman" w:eastAsia="仿宋_GB2312"/>
          <w:sz w:val="32"/>
          <w:szCs w:val="32"/>
        </w:rPr>
        <w:t>），总计留取</w:t>
      </w:r>
      <w:r>
        <w:rPr>
          <w:rFonts w:hint="eastAsia" w:ascii="仿宋_GB2312" w:hAnsi="仿宋_GB2312" w:eastAsia="仿宋_GB2312" w:cs="仿宋_GB2312"/>
          <w:sz w:val="32"/>
          <w:szCs w:val="32"/>
        </w:rPr>
        <w:t>5元/吨</w:t>
      </w:r>
      <w:r>
        <w:rPr>
          <w:rFonts w:hint="eastAsia" w:ascii="Times New Roman" w:hAnsi="Times New Roman" w:eastAsia="仿宋_GB2312"/>
          <w:sz w:val="32"/>
          <w:szCs w:val="32"/>
        </w:rPr>
        <w:t>的</w:t>
      </w:r>
      <w:r>
        <w:rPr>
          <w:rFonts w:ascii="Times New Roman" w:hAnsi="Times New Roman" w:eastAsia="仿宋_GB2312"/>
          <w:sz w:val="32"/>
          <w:szCs w:val="32"/>
        </w:rPr>
        <w:t>固定差价</w:t>
      </w:r>
      <w:r>
        <w:rPr>
          <w:rFonts w:hint="eastAsia" w:ascii="Times New Roman" w:hAnsi="Times New Roman" w:eastAsia="仿宋_GB2312"/>
          <w:sz w:val="32"/>
          <w:szCs w:val="32"/>
        </w:rPr>
        <w:t>，作为计税依据。</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二十</w:t>
      </w:r>
      <w:r>
        <w:rPr>
          <w:rFonts w:hint="eastAsia" w:ascii="Times New Roman" w:hAnsi="Times New Roman" w:eastAsia="仿宋_GB2312"/>
          <w:b/>
          <w:bCs/>
          <w:sz w:val="32"/>
          <w:szCs w:val="32"/>
          <w:lang w:eastAsia="zh-CN"/>
        </w:rPr>
        <w:t>四</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建立</w:t>
      </w:r>
      <w:r>
        <w:rPr>
          <w:rFonts w:ascii="Times New Roman" w:hAnsi="Times New Roman" w:eastAsia="仿宋_GB2312"/>
          <w:sz w:val="32"/>
          <w:szCs w:val="32"/>
        </w:rPr>
        <w:t>价格跟踪机制</w:t>
      </w:r>
      <w:r>
        <w:rPr>
          <w:rFonts w:hint="eastAsia" w:ascii="Times New Roman" w:hAnsi="Times New Roman" w:eastAsia="仿宋_GB2312"/>
          <w:sz w:val="32"/>
          <w:szCs w:val="32"/>
        </w:rPr>
        <w:t>。</w:t>
      </w:r>
      <w:r>
        <w:rPr>
          <w:rFonts w:ascii="Times New Roman" w:hAnsi="Times New Roman" w:eastAsia="仿宋_GB2312"/>
          <w:sz w:val="32"/>
          <w:szCs w:val="32"/>
        </w:rPr>
        <w:t>对非关联运销企业的销售，</w:t>
      </w:r>
      <w:r>
        <w:rPr>
          <w:rFonts w:hint="eastAsia" w:ascii="Times New Roman" w:hAnsi="Times New Roman" w:eastAsia="仿宋_GB2312"/>
          <w:sz w:val="32"/>
          <w:szCs w:val="32"/>
          <w:lang w:eastAsia="zh-CN"/>
        </w:rPr>
        <w:t>承接单位</w:t>
      </w:r>
      <w:r>
        <w:rPr>
          <w:rFonts w:hint="eastAsia" w:ascii="Times New Roman" w:hAnsi="Times New Roman" w:eastAsia="仿宋_GB2312"/>
          <w:sz w:val="32"/>
          <w:szCs w:val="32"/>
        </w:rPr>
        <w:t>要依托</w:t>
      </w:r>
      <w:r>
        <w:rPr>
          <w:rFonts w:ascii="Times New Roman" w:hAnsi="Times New Roman" w:eastAsia="仿宋_GB2312"/>
          <w:sz w:val="32"/>
          <w:szCs w:val="32"/>
        </w:rPr>
        <w:t>产销服务平台</w:t>
      </w:r>
      <w:r>
        <w:rPr>
          <w:rFonts w:hint="eastAsia" w:ascii="Times New Roman" w:hAnsi="Times New Roman" w:eastAsia="仿宋_GB2312"/>
          <w:sz w:val="32"/>
          <w:szCs w:val="32"/>
        </w:rPr>
        <w:t>和数据共享中心，</w:t>
      </w:r>
      <w:r>
        <w:rPr>
          <w:rFonts w:ascii="Times New Roman" w:hAnsi="Times New Roman" w:eastAsia="仿宋_GB2312"/>
          <w:sz w:val="32"/>
          <w:szCs w:val="32"/>
        </w:rPr>
        <w:t>建立全流程价格跟踪机制，定期进行抽查，发现</w:t>
      </w:r>
      <w:r>
        <w:rPr>
          <w:rFonts w:hint="eastAsia" w:ascii="Times New Roman" w:hAnsi="Times New Roman" w:eastAsia="仿宋_GB2312"/>
          <w:sz w:val="32"/>
          <w:szCs w:val="32"/>
          <w:lang w:eastAsia="zh-CN"/>
        </w:rPr>
        <w:t>涉嫌</w:t>
      </w:r>
      <w:r>
        <w:rPr>
          <w:rFonts w:ascii="Times New Roman" w:hAnsi="Times New Roman" w:eastAsia="仿宋_GB2312"/>
          <w:sz w:val="32"/>
          <w:szCs w:val="32"/>
        </w:rPr>
        <w:t>偷税漏税</w:t>
      </w:r>
      <w:r>
        <w:rPr>
          <w:rFonts w:hint="eastAsia" w:ascii="Times New Roman" w:hAnsi="Times New Roman" w:eastAsia="仿宋_GB2312"/>
          <w:sz w:val="32"/>
          <w:szCs w:val="32"/>
        </w:rPr>
        <w:t>以及其他可疑交易行为</w:t>
      </w:r>
      <w:r>
        <w:rPr>
          <w:rFonts w:ascii="Times New Roman" w:hAnsi="Times New Roman" w:eastAsia="仿宋_GB2312"/>
          <w:sz w:val="32"/>
          <w:szCs w:val="32"/>
        </w:rPr>
        <w:t>的</w:t>
      </w:r>
      <w:r>
        <w:rPr>
          <w:rFonts w:hint="eastAsia" w:ascii="Times New Roman" w:hAnsi="Times New Roman" w:eastAsia="仿宋_GB2312"/>
          <w:sz w:val="32"/>
          <w:szCs w:val="32"/>
        </w:rPr>
        <w:t>，推送税务部门</w:t>
      </w:r>
      <w:r>
        <w:rPr>
          <w:rFonts w:ascii="Times New Roman" w:hAnsi="Times New Roman" w:eastAsia="仿宋_GB2312"/>
          <w:sz w:val="32"/>
          <w:szCs w:val="32"/>
        </w:rPr>
        <w:t>依法进行处理，维护公平有序市场环境。</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二十</w:t>
      </w:r>
      <w:r>
        <w:rPr>
          <w:rFonts w:hint="eastAsia" w:ascii="Times New Roman" w:hAnsi="Times New Roman" w:eastAsia="仿宋_GB2312"/>
          <w:b/>
          <w:bCs/>
          <w:sz w:val="32"/>
          <w:szCs w:val="32"/>
          <w:lang w:eastAsia="zh-CN"/>
        </w:rPr>
        <w:t>五</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建设煤炭交易平台。</w:t>
      </w:r>
      <w:r>
        <w:rPr>
          <w:rFonts w:hint="eastAsia" w:ascii="Times New Roman" w:hAnsi="Times New Roman" w:eastAsia="仿宋_GB2312"/>
          <w:sz w:val="32"/>
          <w:szCs w:val="32"/>
          <w:lang w:eastAsia="zh-CN"/>
        </w:rPr>
        <w:t>承接单位</w:t>
      </w:r>
      <w:r>
        <w:rPr>
          <w:rFonts w:hint="eastAsia" w:ascii="Times New Roman" w:hAnsi="Times New Roman" w:eastAsia="仿宋_GB2312"/>
          <w:sz w:val="32"/>
          <w:szCs w:val="32"/>
        </w:rPr>
        <w:t>积极筹建</w:t>
      </w:r>
      <w:r>
        <w:rPr>
          <w:rFonts w:ascii="Times New Roman" w:hAnsi="Times New Roman" w:eastAsia="仿宋_GB2312"/>
          <w:sz w:val="32"/>
          <w:szCs w:val="32"/>
        </w:rPr>
        <w:t>煤炭交易综合服务平台</w:t>
      </w:r>
      <w:r>
        <w:rPr>
          <w:rFonts w:hint="eastAsia" w:ascii="Times New Roman" w:hAnsi="Times New Roman" w:eastAsia="仿宋_GB2312"/>
          <w:sz w:val="32"/>
          <w:szCs w:val="32"/>
        </w:rPr>
        <w:t>，能源部门应</w:t>
      </w:r>
      <w:r>
        <w:rPr>
          <w:rFonts w:ascii="Times New Roman" w:hAnsi="Times New Roman" w:eastAsia="仿宋_GB2312"/>
          <w:sz w:val="32"/>
          <w:szCs w:val="32"/>
        </w:rPr>
        <w:t>引导</w:t>
      </w:r>
      <w:r>
        <w:rPr>
          <w:rFonts w:hint="eastAsia" w:ascii="Times New Roman" w:hAnsi="Times New Roman" w:eastAsia="仿宋_GB2312"/>
          <w:sz w:val="32"/>
          <w:szCs w:val="32"/>
        </w:rPr>
        <w:t>“市场煤”</w:t>
      </w:r>
      <w:r>
        <w:rPr>
          <w:rFonts w:ascii="Times New Roman" w:hAnsi="Times New Roman" w:eastAsia="仿宋_GB2312"/>
          <w:sz w:val="32"/>
          <w:szCs w:val="32"/>
        </w:rPr>
        <w:t>通过煤炭交易综合服务平台开展线上交易，</w:t>
      </w:r>
      <w:r>
        <w:rPr>
          <w:rFonts w:hint="eastAsia" w:ascii="Times New Roman" w:hAnsi="Times New Roman" w:eastAsia="仿宋_GB2312"/>
          <w:sz w:val="32"/>
          <w:szCs w:val="32"/>
        </w:rPr>
        <w:t>实现交易双方需求匹配和价格发现，</w:t>
      </w:r>
      <w:r>
        <w:rPr>
          <w:rFonts w:ascii="Times New Roman" w:hAnsi="Times New Roman" w:eastAsia="仿宋_GB2312"/>
          <w:sz w:val="32"/>
          <w:szCs w:val="32"/>
        </w:rPr>
        <w:t>全面增强煤炭交易和履约的公开化、透明化，遏制不正当竞争。</w:t>
      </w:r>
    </w:p>
    <w:p>
      <w:pPr>
        <w:pStyle w:val="4"/>
        <w:spacing w:beforeAutospacing="0" w:afterAutospacing="0" w:line="560" w:lineRule="exact"/>
        <w:ind w:firstLine="640" w:firstLineChars="200"/>
        <w:rPr>
          <w:rFonts w:ascii="Times New Roman" w:hAnsi="Times New Roman" w:eastAsia="仿宋_GB2312"/>
          <w:sz w:val="32"/>
          <w:szCs w:val="32"/>
        </w:rPr>
      </w:pPr>
    </w:p>
    <w:p>
      <w:pPr>
        <w:pStyle w:val="4"/>
        <w:spacing w:beforeAutospacing="0" w:afterAutospacing="0" w:line="560" w:lineRule="exact"/>
        <w:jc w:val="center"/>
        <w:rPr>
          <w:rStyle w:val="7"/>
          <w:rFonts w:ascii="黑体" w:hAnsi="黑体" w:eastAsia="黑体"/>
        </w:rPr>
      </w:pPr>
      <w:r>
        <w:rPr>
          <w:rStyle w:val="7"/>
          <w:rFonts w:ascii="黑体" w:hAnsi="黑体" w:eastAsia="黑体"/>
          <w:b w:val="0"/>
          <w:sz w:val="32"/>
          <w:szCs w:val="32"/>
        </w:rPr>
        <w:t>第</w:t>
      </w:r>
      <w:r>
        <w:rPr>
          <w:rStyle w:val="7"/>
          <w:rFonts w:hint="eastAsia" w:ascii="黑体" w:hAnsi="黑体" w:eastAsia="黑体"/>
          <w:b w:val="0"/>
          <w:sz w:val="32"/>
          <w:szCs w:val="32"/>
        </w:rPr>
        <w:t>四</w:t>
      </w:r>
      <w:r>
        <w:rPr>
          <w:rStyle w:val="7"/>
          <w:rFonts w:ascii="黑体" w:hAnsi="黑体" w:eastAsia="黑体"/>
          <w:b w:val="0"/>
          <w:sz w:val="32"/>
          <w:szCs w:val="32"/>
        </w:rPr>
        <w:t>章</w:t>
      </w:r>
      <w:r>
        <w:rPr>
          <w:rStyle w:val="7"/>
          <w:rFonts w:hint="eastAsia" w:ascii="黑体" w:hAnsi="黑体" w:eastAsia="黑体"/>
          <w:b w:val="0"/>
          <w:sz w:val="32"/>
          <w:szCs w:val="32"/>
        </w:rPr>
        <w:t xml:space="preserve"> </w:t>
      </w:r>
      <w:r>
        <w:rPr>
          <w:rStyle w:val="7"/>
          <w:rFonts w:ascii="黑体" w:hAnsi="黑体" w:eastAsia="黑体"/>
          <w:b w:val="0"/>
          <w:sz w:val="32"/>
          <w:szCs w:val="32"/>
        </w:rPr>
        <w:t>监督管理</w:t>
      </w:r>
    </w:p>
    <w:p>
      <w:pPr>
        <w:pStyle w:val="4"/>
        <w:spacing w:beforeAutospacing="0" w:afterAutospacing="0" w:line="560" w:lineRule="exact"/>
        <w:ind w:firstLine="640" w:firstLineChars="200"/>
        <w:rPr>
          <w:rFonts w:ascii="Times New Roman" w:hAnsi="Times New Roman" w:eastAsia="仿宋_GB2312"/>
          <w:sz w:val="32"/>
          <w:szCs w:val="32"/>
        </w:rPr>
      </w:pP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二十</w:t>
      </w:r>
      <w:r>
        <w:rPr>
          <w:rFonts w:hint="eastAsia" w:ascii="Times New Roman" w:hAnsi="Times New Roman" w:eastAsia="仿宋_GB2312"/>
          <w:b/>
          <w:bCs/>
          <w:sz w:val="32"/>
          <w:szCs w:val="32"/>
          <w:lang w:eastAsia="zh-CN"/>
        </w:rPr>
        <w:t>六</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w:t>
      </w:r>
      <w:r>
        <w:rPr>
          <w:rFonts w:ascii="Times New Roman" w:hAnsi="Times New Roman" w:eastAsia="仿宋_GB2312"/>
          <w:sz w:val="32"/>
          <w:szCs w:val="32"/>
        </w:rPr>
        <w:t>煤炭</w:t>
      </w:r>
      <w:r>
        <w:rPr>
          <w:rFonts w:hint="eastAsia" w:ascii="Times New Roman" w:hAnsi="Times New Roman" w:eastAsia="仿宋_GB2312"/>
          <w:sz w:val="32"/>
          <w:szCs w:val="32"/>
        </w:rPr>
        <w:t>生产</w:t>
      </w:r>
      <w:r>
        <w:rPr>
          <w:rFonts w:ascii="Times New Roman" w:hAnsi="Times New Roman" w:eastAsia="仿宋_GB2312"/>
          <w:sz w:val="32"/>
          <w:szCs w:val="32"/>
        </w:rPr>
        <w:t>经营企业应依法经营，公平竞争，禁止</w:t>
      </w:r>
      <w:r>
        <w:rPr>
          <w:rFonts w:hint="eastAsia" w:ascii="Times New Roman" w:hAnsi="Times New Roman" w:eastAsia="仿宋_GB2312"/>
          <w:sz w:val="32"/>
          <w:szCs w:val="32"/>
        </w:rPr>
        <w:t>出现下列税收违法行为</w:t>
      </w:r>
      <w:r>
        <w:rPr>
          <w:rFonts w:ascii="Times New Roman" w:hAnsi="Times New Roman" w:eastAsia="仿宋_GB2312"/>
          <w:sz w:val="32"/>
          <w:szCs w:val="32"/>
        </w:rPr>
        <w:t>：</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（一）虚开运输费用发票；</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二</w:t>
      </w:r>
      <w:r>
        <w:rPr>
          <w:rFonts w:ascii="Times New Roman" w:hAnsi="Times New Roman" w:eastAsia="仿宋_GB2312"/>
          <w:sz w:val="32"/>
          <w:szCs w:val="32"/>
        </w:rPr>
        <w:t>）虚构采矿及挖掘成本；</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三</w:t>
      </w:r>
      <w:r>
        <w:rPr>
          <w:rFonts w:ascii="Times New Roman" w:hAnsi="Times New Roman" w:eastAsia="仿宋_GB2312"/>
          <w:sz w:val="32"/>
          <w:szCs w:val="32"/>
        </w:rPr>
        <w:t>）</w:t>
      </w:r>
      <w:r>
        <w:rPr>
          <w:rFonts w:hint="eastAsia" w:ascii="Times New Roman" w:hAnsi="Times New Roman" w:eastAsia="仿宋_GB2312"/>
          <w:sz w:val="32"/>
          <w:szCs w:val="32"/>
        </w:rPr>
        <w:t>隐匿</w:t>
      </w:r>
      <w:r>
        <w:rPr>
          <w:rFonts w:ascii="Times New Roman" w:hAnsi="Times New Roman" w:eastAsia="仿宋_GB2312"/>
          <w:sz w:val="32"/>
          <w:szCs w:val="32"/>
        </w:rPr>
        <w:t>销售</w:t>
      </w:r>
      <w:r>
        <w:rPr>
          <w:rFonts w:hint="eastAsia" w:ascii="Times New Roman" w:hAnsi="Times New Roman" w:eastAsia="仿宋_GB2312"/>
          <w:sz w:val="32"/>
          <w:szCs w:val="32"/>
        </w:rPr>
        <w:t>收入</w:t>
      </w:r>
      <w:r>
        <w:rPr>
          <w:rFonts w:ascii="Times New Roman" w:hAnsi="Times New Roman" w:eastAsia="仿宋_GB2312"/>
          <w:sz w:val="32"/>
          <w:szCs w:val="32"/>
        </w:rPr>
        <w:t>；</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四</w:t>
      </w:r>
      <w:r>
        <w:rPr>
          <w:rFonts w:ascii="Times New Roman" w:hAnsi="Times New Roman" w:eastAsia="仿宋_GB2312"/>
          <w:sz w:val="32"/>
          <w:szCs w:val="32"/>
        </w:rPr>
        <w:t>）</w:t>
      </w:r>
      <w:r>
        <w:rPr>
          <w:rFonts w:hint="eastAsia" w:ascii="Times New Roman" w:hAnsi="Times New Roman" w:eastAsia="仿宋_GB2312"/>
          <w:sz w:val="32"/>
          <w:szCs w:val="32"/>
        </w:rPr>
        <w:t>设立市外关联公司转移税收</w:t>
      </w:r>
      <w:r>
        <w:rPr>
          <w:rFonts w:ascii="Times New Roman" w:hAnsi="Times New Roman" w:eastAsia="仿宋_GB2312"/>
          <w:sz w:val="32"/>
          <w:szCs w:val="32"/>
        </w:rPr>
        <w:t>；</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五</w:t>
      </w:r>
      <w:r>
        <w:rPr>
          <w:rFonts w:ascii="Times New Roman" w:hAnsi="Times New Roman" w:eastAsia="仿宋_GB2312"/>
          <w:sz w:val="32"/>
          <w:szCs w:val="32"/>
        </w:rPr>
        <w:t>）</w:t>
      </w:r>
      <w:r>
        <w:rPr>
          <w:rFonts w:hint="eastAsia" w:ascii="Times New Roman" w:hAnsi="Times New Roman" w:eastAsia="仿宋_GB2312"/>
          <w:sz w:val="32"/>
          <w:szCs w:val="32"/>
        </w:rPr>
        <w:t>通过保供方式低价销售煤炭，但终端用户最终未按保供价享受价格优惠</w:t>
      </w:r>
      <w:r>
        <w:rPr>
          <w:rFonts w:ascii="Times New Roman" w:hAnsi="Times New Roman" w:eastAsia="仿宋_GB2312"/>
          <w:sz w:val="32"/>
          <w:szCs w:val="32"/>
        </w:rPr>
        <w:t>；</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六</w:t>
      </w:r>
      <w:r>
        <w:rPr>
          <w:rFonts w:ascii="Times New Roman" w:hAnsi="Times New Roman" w:eastAsia="仿宋_GB2312"/>
          <w:sz w:val="32"/>
          <w:szCs w:val="32"/>
        </w:rPr>
        <w:t>）其他税收违法行为。</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二十</w:t>
      </w:r>
      <w:r>
        <w:rPr>
          <w:rFonts w:hint="eastAsia" w:ascii="Times New Roman" w:hAnsi="Times New Roman" w:eastAsia="仿宋_GB2312"/>
          <w:b/>
          <w:bCs/>
          <w:sz w:val="32"/>
          <w:szCs w:val="32"/>
          <w:lang w:eastAsia="zh-CN"/>
        </w:rPr>
        <w:t>七</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w:t>
      </w:r>
      <w:r>
        <w:rPr>
          <w:rFonts w:ascii="Times New Roman" w:hAnsi="Times New Roman" w:eastAsia="仿宋_GB2312"/>
          <w:sz w:val="32"/>
          <w:szCs w:val="32"/>
        </w:rPr>
        <w:t>煤炭</w:t>
      </w:r>
      <w:r>
        <w:rPr>
          <w:rFonts w:hint="eastAsia" w:ascii="Times New Roman" w:hAnsi="Times New Roman" w:eastAsia="仿宋_GB2312"/>
          <w:sz w:val="32"/>
          <w:szCs w:val="32"/>
        </w:rPr>
        <w:t>生产</w:t>
      </w:r>
      <w:r>
        <w:rPr>
          <w:rFonts w:ascii="Times New Roman" w:hAnsi="Times New Roman" w:eastAsia="仿宋_GB2312"/>
          <w:sz w:val="32"/>
          <w:szCs w:val="32"/>
        </w:rPr>
        <w:t>经营企业</w:t>
      </w:r>
      <w:r>
        <w:rPr>
          <w:rFonts w:hint="eastAsia" w:ascii="Times New Roman" w:hAnsi="Times New Roman" w:eastAsia="仿宋_GB2312"/>
          <w:sz w:val="32"/>
          <w:szCs w:val="32"/>
        </w:rPr>
        <w:t>应严格</w:t>
      </w:r>
      <w:r>
        <w:rPr>
          <w:rFonts w:ascii="Times New Roman" w:hAnsi="Times New Roman" w:eastAsia="仿宋_GB2312"/>
          <w:sz w:val="32"/>
          <w:szCs w:val="32"/>
        </w:rPr>
        <w:t>执行产销服务平台有关规范</w:t>
      </w:r>
      <w:r>
        <w:rPr>
          <w:rFonts w:hint="eastAsia" w:ascii="Times New Roman" w:hAnsi="Times New Roman" w:eastAsia="仿宋_GB2312"/>
          <w:sz w:val="32"/>
          <w:szCs w:val="32"/>
        </w:rPr>
        <w:t>，</w:t>
      </w:r>
      <w:r>
        <w:rPr>
          <w:rFonts w:ascii="Times New Roman" w:hAnsi="Times New Roman" w:eastAsia="仿宋_GB2312"/>
          <w:sz w:val="32"/>
          <w:szCs w:val="32"/>
        </w:rPr>
        <w:t>禁止</w:t>
      </w:r>
      <w:r>
        <w:rPr>
          <w:rFonts w:hint="eastAsia" w:ascii="Times New Roman" w:hAnsi="Times New Roman" w:eastAsia="仿宋_GB2312"/>
          <w:sz w:val="32"/>
          <w:szCs w:val="32"/>
        </w:rPr>
        <w:t>出现如下</w:t>
      </w:r>
      <w:r>
        <w:rPr>
          <w:rFonts w:ascii="Times New Roman" w:hAnsi="Times New Roman" w:eastAsia="仿宋_GB2312"/>
          <w:sz w:val="32"/>
          <w:szCs w:val="32"/>
        </w:rPr>
        <w:t>违规行为：</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（一）未固定煤炭销售出入口</w:t>
      </w:r>
      <w:r>
        <w:rPr>
          <w:rFonts w:hint="eastAsia" w:ascii="Times New Roman" w:hAnsi="Times New Roman" w:eastAsia="仿宋_GB2312"/>
          <w:sz w:val="32"/>
          <w:szCs w:val="32"/>
        </w:rPr>
        <w:t>，</w:t>
      </w:r>
      <w:r>
        <w:rPr>
          <w:rFonts w:ascii="Times New Roman" w:hAnsi="Times New Roman" w:eastAsia="仿宋_GB2312"/>
          <w:sz w:val="32"/>
          <w:szCs w:val="32"/>
        </w:rPr>
        <w:t>出口与入口未实现物理隔离或分离卡控；</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二</w:t>
      </w:r>
      <w:r>
        <w:rPr>
          <w:rFonts w:ascii="Times New Roman" w:hAnsi="Times New Roman" w:eastAsia="仿宋_GB2312"/>
          <w:sz w:val="32"/>
          <w:szCs w:val="32"/>
        </w:rPr>
        <w:t>）</w:t>
      </w:r>
      <w:r>
        <w:rPr>
          <w:rFonts w:hint="eastAsia" w:ascii="Times New Roman" w:hAnsi="Times New Roman" w:eastAsia="仿宋_GB2312"/>
          <w:sz w:val="32"/>
          <w:szCs w:val="32"/>
        </w:rPr>
        <w:t>不使用</w:t>
      </w:r>
      <w:r>
        <w:rPr>
          <w:rFonts w:ascii="Times New Roman" w:hAnsi="Times New Roman" w:eastAsia="仿宋_GB2312"/>
          <w:sz w:val="32"/>
          <w:szCs w:val="32"/>
        </w:rPr>
        <w:t>无人值守销售系统直接拉运煤炭；</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三</w:t>
      </w:r>
      <w:r>
        <w:rPr>
          <w:rFonts w:ascii="Times New Roman" w:hAnsi="Times New Roman" w:eastAsia="仿宋_GB2312"/>
          <w:sz w:val="32"/>
          <w:szCs w:val="32"/>
        </w:rPr>
        <w:t>）</w:t>
      </w:r>
      <w:r>
        <w:rPr>
          <w:rFonts w:hint="eastAsia" w:ascii="Times New Roman" w:hAnsi="Times New Roman" w:eastAsia="仿宋_GB2312"/>
          <w:sz w:val="32"/>
          <w:szCs w:val="32"/>
        </w:rPr>
        <w:t>未持有电子磅单进行</w:t>
      </w:r>
      <w:r>
        <w:rPr>
          <w:rFonts w:ascii="Times New Roman" w:hAnsi="Times New Roman" w:eastAsia="仿宋_GB2312"/>
          <w:sz w:val="32"/>
          <w:szCs w:val="32"/>
        </w:rPr>
        <w:t>销售；</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四</w:t>
      </w:r>
      <w:r>
        <w:rPr>
          <w:rFonts w:ascii="Times New Roman" w:hAnsi="Times New Roman" w:eastAsia="仿宋_GB2312"/>
          <w:sz w:val="32"/>
          <w:szCs w:val="32"/>
        </w:rPr>
        <w:t>）</w:t>
      </w:r>
      <w:r>
        <w:rPr>
          <w:rFonts w:hint="eastAsia" w:ascii="Times New Roman" w:hAnsi="Times New Roman" w:eastAsia="仿宋_GB2312"/>
          <w:sz w:val="32"/>
          <w:szCs w:val="32"/>
        </w:rPr>
        <w:t>伪造电子提煤单、电子磅单、各类销售合同；</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五</w:t>
      </w:r>
      <w:r>
        <w:rPr>
          <w:rFonts w:ascii="Times New Roman" w:hAnsi="Times New Roman" w:eastAsia="仿宋_GB2312"/>
          <w:sz w:val="32"/>
          <w:szCs w:val="32"/>
        </w:rPr>
        <w:t>）</w:t>
      </w:r>
      <w:r>
        <w:rPr>
          <w:rFonts w:hint="eastAsia" w:ascii="Times New Roman" w:hAnsi="Times New Roman" w:eastAsia="仿宋_GB2312"/>
          <w:sz w:val="32"/>
          <w:szCs w:val="32"/>
        </w:rPr>
        <w:t>恶意屏蔽车载卫星定位等设备；</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六</w:t>
      </w:r>
      <w:r>
        <w:rPr>
          <w:rFonts w:ascii="Times New Roman" w:hAnsi="Times New Roman" w:eastAsia="仿宋_GB2312"/>
          <w:sz w:val="32"/>
          <w:szCs w:val="32"/>
        </w:rPr>
        <w:t>）未</w:t>
      </w:r>
      <w:r>
        <w:rPr>
          <w:rFonts w:hint="eastAsia" w:ascii="Times New Roman" w:hAnsi="Times New Roman" w:eastAsia="仿宋_GB2312"/>
          <w:sz w:val="32"/>
          <w:szCs w:val="32"/>
        </w:rPr>
        <w:t>按数据传输规范、接口标准上传数据；</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七</w:t>
      </w:r>
      <w:r>
        <w:rPr>
          <w:rFonts w:ascii="Times New Roman" w:hAnsi="Times New Roman" w:eastAsia="仿宋_GB2312"/>
          <w:sz w:val="32"/>
          <w:szCs w:val="32"/>
        </w:rPr>
        <w:t>）未按规定采集上传产销服务平台相关数据</w:t>
      </w:r>
      <w:r>
        <w:rPr>
          <w:rFonts w:hint="eastAsia" w:ascii="Times New Roman" w:hAnsi="Times New Roman" w:eastAsia="仿宋_GB2312"/>
          <w:sz w:val="32"/>
          <w:szCs w:val="32"/>
        </w:rPr>
        <w:t>；</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八</w:t>
      </w:r>
      <w:r>
        <w:rPr>
          <w:rFonts w:ascii="Times New Roman" w:hAnsi="Times New Roman" w:eastAsia="仿宋_GB2312"/>
          <w:sz w:val="32"/>
          <w:szCs w:val="32"/>
        </w:rPr>
        <w:t>）</w:t>
      </w:r>
      <w:r>
        <w:rPr>
          <w:rFonts w:hint="eastAsia" w:ascii="Times New Roman" w:hAnsi="Times New Roman" w:eastAsia="仿宋_GB2312"/>
          <w:sz w:val="32"/>
          <w:szCs w:val="32"/>
        </w:rPr>
        <w:t>相关规定期限内未按照标准完成建设工作并接入</w:t>
      </w:r>
      <w:r>
        <w:rPr>
          <w:rFonts w:ascii="Times New Roman" w:hAnsi="Times New Roman" w:eastAsia="仿宋_GB2312"/>
          <w:sz w:val="32"/>
          <w:szCs w:val="32"/>
        </w:rPr>
        <w:t>产销服务平台</w:t>
      </w:r>
      <w:r>
        <w:rPr>
          <w:rFonts w:hint="eastAsia" w:ascii="Times New Roman" w:hAnsi="Times New Roman" w:eastAsia="仿宋_GB2312"/>
          <w:sz w:val="32"/>
          <w:szCs w:val="32"/>
        </w:rPr>
        <w:t>；</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九</w:t>
      </w:r>
      <w:r>
        <w:rPr>
          <w:rFonts w:ascii="Times New Roman" w:hAnsi="Times New Roman" w:eastAsia="仿宋_GB2312"/>
          <w:sz w:val="32"/>
          <w:szCs w:val="32"/>
        </w:rPr>
        <w:t>）</w:t>
      </w:r>
      <w:r>
        <w:rPr>
          <w:rFonts w:hint="eastAsia" w:ascii="Times New Roman" w:hAnsi="Times New Roman" w:eastAsia="仿宋_GB2312"/>
          <w:sz w:val="32"/>
          <w:szCs w:val="32"/>
        </w:rPr>
        <w:t>为煤炭生产</w:t>
      </w:r>
      <w:r>
        <w:rPr>
          <w:rFonts w:ascii="Times New Roman" w:hAnsi="Times New Roman" w:eastAsia="仿宋_GB2312"/>
          <w:sz w:val="32"/>
          <w:szCs w:val="32"/>
        </w:rPr>
        <w:t>经营企业</w:t>
      </w:r>
      <w:r>
        <w:rPr>
          <w:rFonts w:hint="eastAsia" w:ascii="Times New Roman" w:hAnsi="Times New Roman" w:eastAsia="仿宋_GB2312"/>
          <w:sz w:val="32"/>
          <w:szCs w:val="32"/>
        </w:rPr>
        <w:t>提供服务的第三方科技企业，伙同煤炭生产</w:t>
      </w:r>
      <w:r>
        <w:rPr>
          <w:rFonts w:ascii="Times New Roman" w:hAnsi="Times New Roman" w:eastAsia="仿宋_GB2312"/>
          <w:sz w:val="32"/>
          <w:szCs w:val="32"/>
        </w:rPr>
        <w:t>经营企业</w:t>
      </w:r>
      <w:r>
        <w:rPr>
          <w:rFonts w:hint="eastAsia" w:ascii="Times New Roman" w:hAnsi="Times New Roman" w:eastAsia="仿宋_GB2312"/>
          <w:sz w:val="32"/>
          <w:szCs w:val="32"/>
        </w:rPr>
        <w:t>恶意违反</w:t>
      </w:r>
      <w:r>
        <w:rPr>
          <w:rFonts w:ascii="Times New Roman" w:hAnsi="Times New Roman" w:eastAsia="仿宋_GB2312"/>
          <w:sz w:val="32"/>
          <w:szCs w:val="32"/>
        </w:rPr>
        <w:t>产销服务平台</w:t>
      </w:r>
      <w:r>
        <w:rPr>
          <w:rFonts w:hint="eastAsia" w:ascii="Times New Roman" w:hAnsi="Times New Roman" w:eastAsia="仿宋_GB2312"/>
          <w:sz w:val="32"/>
          <w:szCs w:val="32"/>
        </w:rPr>
        <w:t>有关规范的行为；</w:t>
      </w:r>
    </w:p>
    <w:p>
      <w:pPr>
        <w:pStyle w:val="4"/>
        <w:spacing w:beforeAutospacing="0" w:afterAutospacing="0" w:line="560" w:lineRule="exact"/>
        <w:ind w:firstLine="640" w:firstLineChars="200"/>
        <w:jc w:val="both"/>
        <w:rPr>
          <w:rFonts w:ascii="Times New Roman" w:hAnsi="Times New Roman" w:eastAsia="仿宋_GB2312"/>
          <w:sz w:val="32"/>
          <w:szCs w:val="32"/>
        </w:rPr>
      </w:pPr>
      <w:r>
        <w:rPr>
          <w:rFonts w:ascii="Times New Roman" w:hAnsi="Times New Roman" w:eastAsia="仿宋_GB2312"/>
          <w:sz w:val="32"/>
          <w:szCs w:val="32"/>
        </w:rPr>
        <w:t>（</w:t>
      </w:r>
      <w:r>
        <w:rPr>
          <w:rFonts w:hint="eastAsia" w:ascii="Times New Roman" w:hAnsi="Times New Roman" w:eastAsia="仿宋_GB2312"/>
          <w:sz w:val="32"/>
          <w:szCs w:val="32"/>
        </w:rPr>
        <w:t>十</w:t>
      </w:r>
      <w:r>
        <w:rPr>
          <w:rFonts w:ascii="Times New Roman" w:hAnsi="Times New Roman" w:eastAsia="仿宋_GB2312"/>
          <w:sz w:val="32"/>
          <w:szCs w:val="32"/>
        </w:rPr>
        <w:t>）其他</w:t>
      </w:r>
      <w:r>
        <w:rPr>
          <w:rFonts w:hint="eastAsia" w:ascii="Times New Roman" w:hAnsi="Times New Roman" w:eastAsia="仿宋_GB2312"/>
          <w:sz w:val="32"/>
          <w:szCs w:val="32"/>
        </w:rPr>
        <w:t>违规</w:t>
      </w:r>
      <w:r>
        <w:rPr>
          <w:rFonts w:ascii="Times New Roman" w:hAnsi="Times New Roman" w:eastAsia="仿宋_GB2312"/>
          <w:sz w:val="32"/>
          <w:szCs w:val="32"/>
        </w:rPr>
        <w:t>行为。</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二十</w:t>
      </w:r>
      <w:r>
        <w:rPr>
          <w:rFonts w:hint="eastAsia" w:ascii="Times New Roman" w:hAnsi="Times New Roman" w:eastAsia="仿宋_GB2312"/>
          <w:b/>
          <w:bCs/>
          <w:sz w:val="32"/>
          <w:szCs w:val="32"/>
          <w:lang w:eastAsia="zh-CN"/>
        </w:rPr>
        <w:t>八</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能源</w:t>
      </w:r>
      <w:r>
        <w:rPr>
          <w:rFonts w:ascii="Times New Roman" w:hAnsi="Times New Roman" w:eastAsia="仿宋_GB2312"/>
          <w:sz w:val="32"/>
          <w:szCs w:val="32"/>
        </w:rPr>
        <w:t>部门应加强与</w:t>
      </w:r>
      <w:r>
        <w:rPr>
          <w:rFonts w:hint="eastAsia" w:ascii="Times New Roman" w:hAnsi="Times New Roman" w:eastAsia="仿宋_GB2312"/>
          <w:sz w:val="32"/>
          <w:szCs w:val="32"/>
        </w:rPr>
        <w:t>市场监管</w:t>
      </w:r>
      <w:r>
        <w:rPr>
          <w:rFonts w:ascii="Times New Roman" w:hAnsi="Times New Roman" w:eastAsia="仿宋_GB2312"/>
          <w:sz w:val="32"/>
          <w:szCs w:val="32"/>
        </w:rPr>
        <w:t>、</w:t>
      </w:r>
      <w:r>
        <w:rPr>
          <w:rFonts w:hint="eastAsia" w:ascii="Times New Roman" w:hAnsi="Times New Roman" w:eastAsia="仿宋_GB2312"/>
          <w:sz w:val="32"/>
          <w:szCs w:val="32"/>
        </w:rPr>
        <w:t>自然资源、环境保护</w:t>
      </w:r>
      <w:r>
        <w:rPr>
          <w:rFonts w:ascii="Times New Roman" w:hAnsi="Times New Roman" w:eastAsia="仿宋_GB2312"/>
          <w:sz w:val="32"/>
          <w:szCs w:val="32"/>
        </w:rPr>
        <w:t>等部门的协调配合，进一步加大督查检查力度，采取不定时、不定点等多种方式，对</w:t>
      </w:r>
      <w:r>
        <w:rPr>
          <w:rFonts w:hint="eastAsia" w:ascii="Times New Roman" w:hAnsi="Times New Roman" w:eastAsia="仿宋_GB2312"/>
          <w:sz w:val="32"/>
          <w:szCs w:val="32"/>
        </w:rPr>
        <w:t>煤矿</w:t>
      </w:r>
      <w:r>
        <w:rPr>
          <w:rFonts w:ascii="Times New Roman" w:hAnsi="Times New Roman" w:eastAsia="仿宋_GB2312"/>
          <w:sz w:val="32"/>
          <w:szCs w:val="32"/>
        </w:rPr>
        <w:t>、洗选煤场、铁路集装站等</w:t>
      </w:r>
      <w:r>
        <w:rPr>
          <w:rFonts w:hint="eastAsia" w:ascii="Times New Roman" w:hAnsi="Times New Roman" w:eastAsia="仿宋_GB2312"/>
          <w:sz w:val="32"/>
          <w:szCs w:val="32"/>
        </w:rPr>
        <w:t>煤炭生产经营企业进行联合</w:t>
      </w:r>
      <w:r>
        <w:rPr>
          <w:rFonts w:ascii="Times New Roman" w:hAnsi="Times New Roman" w:eastAsia="仿宋_GB2312"/>
          <w:sz w:val="32"/>
          <w:szCs w:val="32"/>
        </w:rPr>
        <w:t>督查检查，维护市场良好秩序。</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lang w:eastAsia="zh-CN"/>
        </w:rPr>
        <w:t>二十九</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能源</w:t>
      </w:r>
      <w:r>
        <w:rPr>
          <w:rFonts w:ascii="Times New Roman" w:hAnsi="Times New Roman" w:eastAsia="仿宋_GB2312"/>
          <w:sz w:val="32"/>
          <w:szCs w:val="32"/>
        </w:rPr>
        <w:t>部门</w:t>
      </w:r>
      <w:r>
        <w:rPr>
          <w:rFonts w:hint="eastAsia" w:ascii="Times New Roman" w:hAnsi="Times New Roman" w:eastAsia="仿宋_GB2312"/>
          <w:sz w:val="32"/>
          <w:szCs w:val="32"/>
        </w:rPr>
        <w:t>要建立产销服务平台报警分级推送和处置制度，明确报警处置的全流程工作责任，根据严重程度和处置时效等情形分级推送煤炭生产经营企业、旗区能源部门和市能源部门进行处置。煤炭生产经营企业要安排专人登录产销平台系统及时处置报警信息；市旗能源部门要定期组织分析风险动态、变化趋势，及时排查解决风险和问题。</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三十</w:t>
      </w:r>
      <w:r>
        <w:rPr>
          <w:rFonts w:ascii="Times New Roman" w:hAnsi="Times New Roman" w:eastAsia="仿宋_GB2312"/>
          <w:b/>
          <w:bCs/>
          <w:sz w:val="32"/>
          <w:szCs w:val="32"/>
        </w:rPr>
        <w:t>条</w:t>
      </w:r>
      <w:r>
        <w:rPr>
          <w:rFonts w:hint="eastAsia" w:ascii="Times New Roman" w:hAnsi="Times New Roman" w:eastAsia="仿宋_GB2312"/>
          <w:b/>
          <w:bCs/>
          <w:sz w:val="32"/>
          <w:szCs w:val="32"/>
        </w:rPr>
        <w:t xml:space="preserve"> </w:t>
      </w:r>
      <w:r>
        <w:rPr>
          <w:rFonts w:hint="eastAsia" w:ascii="Times New Roman" w:hAnsi="Times New Roman" w:eastAsia="仿宋_GB2312"/>
          <w:sz w:val="32"/>
          <w:szCs w:val="32"/>
          <w:lang w:eastAsia="zh-CN"/>
        </w:rPr>
        <w:t>平台承接单位</w:t>
      </w:r>
      <w:r>
        <w:rPr>
          <w:rFonts w:hint="eastAsia" w:ascii="Times New Roman" w:hAnsi="Times New Roman" w:eastAsia="仿宋_GB2312"/>
          <w:sz w:val="32"/>
          <w:szCs w:val="32"/>
        </w:rPr>
        <w:t>要配合相关职能部门，</w:t>
      </w:r>
      <w:r>
        <w:rPr>
          <w:rFonts w:hint="eastAsia" w:ascii="Times New Roman" w:hAnsi="Times New Roman" w:eastAsia="仿宋_GB2312"/>
          <w:spacing w:val="4"/>
          <w:sz w:val="32"/>
          <w:szCs w:val="32"/>
        </w:rPr>
        <w:t>以跨部门数据为基础、大数据挖掘为手段，</w:t>
      </w:r>
      <w:r>
        <w:rPr>
          <w:rFonts w:hint="eastAsia" w:ascii="Times New Roman" w:hAnsi="Times New Roman" w:eastAsia="仿宋_GB2312"/>
          <w:sz w:val="32"/>
          <w:szCs w:val="32"/>
        </w:rPr>
        <w:t>建立煤炭产销、关联交易等数据分析模型，通过数据分析比对、疑点推送等功能，为各行业管理部门的产能监督、运销监管、税费征收等提供依据。</w:t>
      </w:r>
    </w:p>
    <w:p>
      <w:pPr>
        <w:pStyle w:val="4"/>
        <w:spacing w:beforeAutospacing="0" w:afterAutospacing="0" w:line="560" w:lineRule="exact"/>
        <w:jc w:val="center"/>
        <w:rPr>
          <w:rStyle w:val="7"/>
          <w:rFonts w:ascii="Times New Roman" w:hAnsi="Times New Roman" w:eastAsia="仿宋_GB2312"/>
          <w:bCs/>
          <w:sz w:val="32"/>
          <w:szCs w:val="32"/>
        </w:rPr>
      </w:pPr>
    </w:p>
    <w:p>
      <w:pPr>
        <w:pStyle w:val="4"/>
        <w:spacing w:beforeAutospacing="0" w:afterAutospacing="0" w:line="560" w:lineRule="exact"/>
        <w:jc w:val="center"/>
        <w:rPr>
          <w:rStyle w:val="7"/>
          <w:rFonts w:ascii="黑体" w:hAnsi="黑体" w:eastAsia="黑体"/>
          <w:b w:val="0"/>
          <w:sz w:val="32"/>
          <w:szCs w:val="32"/>
        </w:rPr>
      </w:pPr>
      <w:r>
        <w:rPr>
          <w:rStyle w:val="7"/>
          <w:rFonts w:ascii="黑体" w:hAnsi="黑体" w:eastAsia="黑体"/>
          <w:b w:val="0"/>
          <w:sz w:val="32"/>
          <w:szCs w:val="32"/>
        </w:rPr>
        <w:t>第</w:t>
      </w:r>
      <w:r>
        <w:rPr>
          <w:rStyle w:val="7"/>
          <w:rFonts w:hint="eastAsia" w:ascii="黑体" w:hAnsi="黑体" w:eastAsia="黑体"/>
          <w:b w:val="0"/>
          <w:sz w:val="32"/>
          <w:szCs w:val="32"/>
        </w:rPr>
        <w:t>五</w:t>
      </w:r>
      <w:r>
        <w:rPr>
          <w:rStyle w:val="7"/>
          <w:rFonts w:ascii="黑体" w:hAnsi="黑体" w:eastAsia="黑体"/>
          <w:b w:val="0"/>
          <w:sz w:val="32"/>
          <w:szCs w:val="32"/>
        </w:rPr>
        <w:t>章</w:t>
      </w:r>
      <w:r>
        <w:rPr>
          <w:rStyle w:val="7"/>
          <w:rFonts w:hint="eastAsia" w:ascii="黑体" w:hAnsi="黑体" w:eastAsia="黑体"/>
          <w:b w:val="0"/>
          <w:sz w:val="32"/>
          <w:szCs w:val="32"/>
        </w:rPr>
        <w:t xml:space="preserve"> 惩戒措施</w:t>
      </w:r>
    </w:p>
    <w:p>
      <w:pPr>
        <w:pStyle w:val="4"/>
        <w:spacing w:beforeAutospacing="0" w:afterAutospacing="0" w:line="560" w:lineRule="exact"/>
        <w:ind w:firstLine="640" w:firstLineChars="200"/>
        <w:jc w:val="both"/>
        <w:rPr>
          <w:rFonts w:ascii="Times New Roman" w:hAnsi="Times New Roman" w:eastAsia="仿宋_GB2312"/>
          <w:sz w:val="32"/>
          <w:szCs w:val="32"/>
        </w:rPr>
      </w:pPr>
    </w:p>
    <w:p>
      <w:pPr>
        <w:pStyle w:val="4"/>
        <w:spacing w:beforeAutospacing="0" w:afterAutospacing="0" w:line="560" w:lineRule="exact"/>
        <w:ind w:firstLine="642" w:firstLineChars="200"/>
        <w:jc w:val="both"/>
        <w:rPr>
          <w:rFonts w:ascii="Times New Roman" w:hAnsi="Times New Roman" w:eastAsia="仿宋_GB2312"/>
          <w:sz w:val="32"/>
          <w:szCs w:val="32"/>
          <w:u w:val="single"/>
        </w:rPr>
      </w:pPr>
      <w:r>
        <w:rPr>
          <w:rFonts w:ascii="Times New Roman" w:hAnsi="Times New Roman" w:eastAsia="仿宋_GB2312"/>
          <w:b/>
          <w:bCs/>
          <w:sz w:val="32"/>
          <w:szCs w:val="32"/>
        </w:rPr>
        <w:t>第</w:t>
      </w:r>
      <w:r>
        <w:rPr>
          <w:rFonts w:hint="eastAsia" w:ascii="Times New Roman" w:hAnsi="Times New Roman" w:eastAsia="仿宋_GB2312"/>
          <w:b/>
          <w:bCs/>
          <w:sz w:val="32"/>
          <w:szCs w:val="32"/>
        </w:rPr>
        <w:t>三十</w:t>
      </w:r>
      <w:r>
        <w:rPr>
          <w:rFonts w:hint="eastAsia" w:ascii="Times New Roman" w:hAnsi="Times New Roman" w:eastAsia="仿宋_GB2312"/>
          <w:b/>
          <w:bCs/>
          <w:sz w:val="32"/>
          <w:szCs w:val="32"/>
          <w:lang w:eastAsia="zh-CN"/>
        </w:rPr>
        <w:t>一</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w:t>
      </w:r>
      <w:r>
        <w:rPr>
          <w:rFonts w:ascii="Times New Roman" w:hAnsi="Times New Roman" w:eastAsia="仿宋_GB2312"/>
          <w:sz w:val="32"/>
          <w:szCs w:val="32"/>
        </w:rPr>
        <w:t>对</w:t>
      </w:r>
      <w:r>
        <w:rPr>
          <w:rFonts w:hint="eastAsia" w:ascii="Times New Roman" w:hAnsi="Times New Roman" w:eastAsia="仿宋_GB2312"/>
          <w:sz w:val="32"/>
          <w:szCs w:val="32"/>
        </w:rPr>
        <w:t>于违反第二十七条、二十八条有关情形的煤炭经营企业以及第三方科技企业</w:t>
      </w:r>
      <w:r>
        <w:rPr>
          <w:rFonts w:ascii="Times New Roman" w:hAnsi="Times New Roman" w:eastAsia="仿宋_GB2312"/>
          <w:sz w:val="32"/>
          <w:szCs w:val="32"/>
        </w:rPr>
        <w:t>，由</w:t>
      </w:r>
      <w:r>
        <w:rPr>
          <w:rFonts w:hint="eastAsia" w:ascii="Times New Roman" w:hAnsi="Times New Roman" w:eastAsia="仿宋_GB2312"/>
          <w:sz w:val="32"/>
          <w:szCs w:val="32"/>
          <w:lang w:eastAsia="zh-CN"/>
        </w:rPr>
        <w:t>税务、</w:t>
      </w:r>
      <w:r>
        <w:rPr>
          <w:rFonts w:hint="eastAsia" w:ascii="Times New Roman" w:hAnsi="Times New Roman" w:eastAsia="仿宋_GB2312"/>
          <w:sz w:val="32"/>
          <w:szCs w:val="32"/>
        </w:rPr>
        <w:t>能源</w:t>
      </w:r>
      <w:r>
        <w:rPr>
          <w:rFonts w:hint="eastAsia" w:ascii="Times New Roman" w:hAnsi="Times New Roman" w:eastAsia="仿宋_GB2312"/>
          <w:sz w:val="32"/>
          <w:szCs w:val="32"/>
          <w:lang w:eastAsia="zh-CN"/>
        </w:rPr>
        <w:t>等</w:t>
      </w:r>
      <w:r>
        <w:rPr>
          <w:rFonts w:ascii="Times New Roman" w:hAnsi="Times New Roman" w:eastAsia="仿宋_GB2312"/>
          <w:sz w:val="32"/>
          <w:szCs w:val="32"/>
        </w:rPr>
        <w:t>部门</w:t>
      </w:r>
      <w:r>
        <w:rPr>
          <w:rFonts w:hint="eastAsia" w:ascii="Times New Roman" w:hAnsi="Times New Roman" w:eastAsia="仿宋_GB2312"/>
          <w:sz w:val="32"/>
          <w:szCs w:val="32"/>
          <w:lang w:eastAsia="zh-CN"/>
        </w:rPr>
        <w:t>约谈通报、</w:t>
      </w:r>
      <w:r>
        <w:rPr>
          <w:rFonts w:ascii="Times New Roman" w:hAnsi="Times New Roman" w:eastAsia="仿宋_GB2312"/>
          <w:sz w:val="32"/>
          <w:szCs w:val="32"/>
        </w:rPr>
        <w:t>限期改正，逾期不改的，按照有关法律法规，</w:t>
      </w:r>
      <w:r>
        <w:rPr>
          <w:rFonts w:hint="eastAsia" w:ascii="Times New Roman" w:hAnsi="Times New Roman" w:eastAsia="仿宋_GB2312"/>
          <w:sz w:val="32"/>
          <w:szCs w:val="32"/>
        </w:rPr>
        <w:t>综合运用市场监管、行业监管、信用监管等手段</w:t>
      </w:r>
      <w:r>
        <w:rPr>
          <w:rFonts w:ascii="Times New Roman" w:hAnsi="Times New Roman" w:eastAsia="仿宋_GB2312"/>
          <w:sz w:val="32"/>
          <w:szCs w:val="32"/>
        </w:rPr>
        <w:t>，</w:t>
      </w:r>
      <w:r>
        <w:rPr>
          <w:rFonts w:hint="eastAsia" w:ascii="Times New Roman" w:hAnsi="Times New Roman" w:eastAsia="仿宋_GB2312"/>
          <w:sz w:val="32"/>
          <w:szCs w:val="32"/>
          <w:lang w:eastAsia="zh-CN"/>
        </w:rPr>
        <w:t>加强监管，依法处理，实行多部门联合惩戒。</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三</w:t>
      </w:r>
      <w:r>
        <w:rPr>
          <w:rFonts w:ascii="Times New Roman" w:hAnsi="Times New Roman" w:eastAsia="仿宋_GB2312"/>
          <w:b/>
          <w:bCs/>
          <w:sz w:val="32"/>
          <w:szCs w:val="32"/>
        </w:rPr>
        <w:t>十</w:t>
      </w:r>
      <w:r>
        <w:rPr>
          <w:rFonts w:hint="eastAsia" w:ascii="Times New Roman" w:hAnsi="Times New Roman" w:eastAsia="仿宋_GB2312"/>
          <w:b/>
          <w:bCs/>
          <w:sz w:val="32"/>
          <w:szCs w:val="32"/>
          <w:lang w:eastAsia="zh-CN"/>
        </w:rPr>
        <w:t>二</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政府部门和国有企业</w:t>
      </w:r>
      <w:r>
        <w:rPr>
          <w:rFonts w:ascii="Times New Roman" w:hAnsi="Times New Roman" w:eastAsia="仿宋_GB2312"/>
          <w:sz w:val="32"/>
          <w:szCs w:val="32"/>
        </w:rPr>
        <w:t>工作人员滥用职权、玩忽职守或者徇私舞弊的，依法给予行政处分；构成犯罪的，由司法机关依法追究刑事责任。</w:t>
      </w: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w:t>
      </w:r>
      <w:r>
        <w:rPr>
          <w:rFonts w:hint="eastAsia" w:ascii="Times New Roman" w:hAnsi="Times New Roman" w:eastAsia="仿宋_GB2312"/>
          <w:b/>
          <w:bCs/>
          <w:sz w:val="32"/>
          <w:szCs w:val="32"/>
        </w:rPr>
        <w:t>三十</w:t>
      </w:r>
      <w:r>
        <w:rPr>
          <w:rFonts w:hint="eastAsia" w:ascii="Times New Roman" w:hAnsi="Times New Roman" w:eastAsia="仿宋_GB2312"/>
          <w:b/>
          <w:bCs/>
          <w:sz w:val="32"/>
          <w:szCs w:val="32"/>
          <w:lang w:eastAsia="zh-CN"/>
        </w:rPr>
        <w:t>三</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任何单位和个人发现我市范围内煤炭企业存在违法违规行为，可向属地能源部门举报。举报人可通过书信、电话、来访等形式提供被举报对象的违法违规事实、证据或线索。</w:t>
      </w:r>
    </w:p>
    <w:p>
      <w:pPr>
        <w:pStyle w:val="4"/>
        <w:spacing w:beforeAutospacing="0" w:afterAutospacing="0" w:line="560" w:lineRule="exact"/>
        <w:ind w:firstLine="640" w:firstLineChars="200"/>
        <w:jc w:val="both"/>
        <w:rPr>
          <w:rFonts w:ascii="Times New Roman" w:hAnsi="Times New Roman" w:eastAsia="仿宋_GB2312"/>
          <w:sz w:val="32"/>
          <w:szCs w:val="32"/>
        </w:rPr>
      </w:pPr>
    </w:p>
    <w:p>
      <w:pPr>
        <w:pStyle w:val="4"/>
        <w:spacing w:beforeAutospacing="0" w:afterAutospacing="0" w:line="560" w:lineRule="exact"/>
        <w:jc w:val="center"/>
        <w:rPr>
          <w:rStyle w:val="7"/>
          <w:rFonts w:ascii="黑体" w:hAnsi="黑体" w:eastAsia="黑体"/>
        </w:rPr>
      </w:pPr>
      <w:r>
        <w:rPr>
          <w:rStyle w:val="7"/>
          <w:rFonts w:ascii="黑体" w:hAnsi="黑体" w:eastAsia="黑体"/>
          <w:b w:val="0"/>
          <w:sz w:val="32"/>
          <w:szCs w:val="32"/>
        </w:rPr>
        <w:t>第</w:t>
      </w:r>
      <w:r>
        <w:rPr>
          <w:rStyle w:val="7"/>
          <w:rFonts w:hint="eastAsia" w:ascii="黑体" w:hAnsi="黑体" w:eastAsia="黑体"/>
          <w:b w:val="0"/>
          <w:sz w:val="32"/>
          <w:szCs w:val="32"/>
        </w:rPr>
        <w:t>六</w:t>
      </w:r>
      <w:r>
        <w:rPr>
          <w:rStyle w:val="7"/>
          <w:rFonts w:ascii="黑体" w:hAnsi="黑体" w:eastAsia="黑体"/>
          <w:b w:val="0"/>
          <w:sz w:val="32"/>
          <w:szCs w:val="32"/>
        </w:rPr>
        <w:t>章</w:t>
      </w:r>
      <w:r>
        <w:rPr>
          <w:rStyle w:val="7"/>
          <w:rFonts w:hint="eastAsia" w:ascii="黑体" w:hAnsi="黑体" w:eastAsia="黑体"/>
          <w:b w:val="0"/>
          <w:sz w:val="32"/>
          <w:szCs w:val="32"/>
        </w:rPr>
        <w:t xml:space="preserve"> </w:t>
      </w:r>
      <w:r>
        <w:rPr>
          <w:rStyle w:val="7"/>
          <w:rFonts w:ascii="黑体" w:hAnsi="黑体" w:eastAsia="黑体"/>
          <w:b w:val="0"/>
          <w:sz w:val="32"/>
          <w:szCs w:val="32"/>
        </w:rPr>
        <w:t>附</w:t>
      </w:r>
      <w:r>
        <w:rPr>
          <w:rStyle w:val="7"/>
          <w:rFonts w:hint="eastAsia" w:ascii="黑体" w:hAnsi="黑体" w:eastAsia="黑体"/>
          <w:b w:val="0"/>
          <w:sz w:val="32"/>
          <w:szCs w:val="32"/>
        </w:rPr>
        <w:t xml:space="preserve"> </w:t>
      </w:r>
      <w:r>
        <w:rPr>
          <w:rStyle w:val="7"/>
          <w:rFonts w:ascii="黑体" w:hAnsi="黑体" w:eastAsia="黑体"/>
          <w:b w:val="0"/>
          <w:sz w:val="32"/>
          <w:szCs w:val="32"/>
        </w:rPr>
        <w:t xml:space="preserve"> 则</w:t>
      </w:r>
    </w:p>
    <w:p>
      <w:pPr>
        <w:pStyle w:val="4"/>
        <w:spacing w:beforeAutospacing="0" w:afterAutospacing="0" w:line="560" w:lineRule="exact"/>
        <w:ind w:firstLine="640" w:firstLineChars="200"/>
        <w:rPr>
          <w:rFonts w:ascii="Times New Roman" w:hAnsi="Times New Roman" w:eastAsia="仿宋_GB2312"/>
          <w:sz w:val="32"/>
          <w:szCs w:val="32"/>
        </w:rPr>
      </w:pPr>
    </w:p>
    <w:p>
      <w:pPr>
        <w:pStyle w:val="4"/>
        <w:spacing w:beforeAutospacing="0" w:afterAutospacing="0" w:line="560" w:lineRule="exact"/>
        <w:ind w:firstLine="642" w:firstLineChars="200"/>
        <w:jc w:val="both"/>
        <w:rPr>
          <w:rFonts w:ascii="Times New Roman" w:hAnsi="Times New Roman" w:eastAsia="仿宋_GB2312"/>
          <w:sz w:val="32"/>
          <w:szCs w:val="32"/>
        </w:rPr>
      </w:pPr>
      <w:r>
        <w:rPr>
          <w:rFonts w:ascii="Times New Roman" w:hAnsi="Times New Roman" w:eastAsia="仿宋_GB2312"/>
          <w:b/>
          <w:bCs/>
          <w:sz w:val="32"/>
          <w:szCs w:val="32"/>
        </w:rPr>
        <w:t>第三十</w:t>
      </w:r>
      <w:r>
        <w:rPr>
          <w:rFonts w:hint="eastAsia" w:ascii="Times New Roman" w:hAnsi="Times New Roman" w:eastAsia="仿宋_GB2312"/>
          <w:b/>
          <w:bCs/>
          <w:sz w:val="32"/>
          <w:szCs w:val="32"/>
          <w:lang w:eastAsia="zh-CN"/>
        </w:rPr>
        <w:t>四</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w:t>
      </w:r>
      <w:r>
        <w:rPr>
          <w:rFonts w:ascii="Times New Roman" w:hAnsi="Times New Roman" w:eastAsia="仿宋_GB2312"/>
          <w:sz w:val="32"/>
          <w:szCs w:val="32"/>
        </w:rPr>
        <w:t>本细则由</w:t>
      </w:r>
      <w:r>
        <w:rPr>
          <w:rFonts w:hint="eastAsia" w:ascii="Times New Roman" w:hAnsi="Times New Roman" w:eastAsia="仿宋_GB2312"/>
          <w:sz w:val="32"/>
          <w:szCs w:val="32"/>
        </w:rPr>
        <w:t>市能源局、市税务局、</w:t>
      </w:r>
      <w:r>
        <w:rPr>
          <w:rFonts w:hint="eastAsia" w:ascii="Times New Roman" w:hAnsi="Times New Roman" w:eastAsia="仿宋_GB2312"/>
          <w:sz w:val="32"/>
          <w:szCs w:val="32"/>
          <w:lang w:eastAsia="zh-CN"/>
        </w:rPr>
        <w:t>市财政局、</w:t>
      </w:r>
      <w:r>
        <w:rPr>
          <w:rFonts w:hint="eastAsia" w:ascii="Times New Roman" w:hAnsi="Times New Roman" w:eastAsia="仿宋_GB2312"/>
          <w:sz w:val="32"/>
          <w:szCs w:val="32"/>
        </w:rPr>
        <w:t>市自然资源局、市交通运输局、市市场监督管理局按照职责</w:t>
      </w:r>
      <w:r>
        <w:rPr>
          <w:rFonts w:ascii="Times New Roman" w:hAnsi="Times New Roman" w:eastAsia="仿宋_GB2312"/>
          <w:sz w:val="32"/>
          <w:szCs w:val="32"/>
        </w:rPr>
        <w:t>负责解释。</w:t>
      </w:r>
    </w:p>
    <w:p>
      <w:pPr>
        <w:pStyle w:val="4"/>
        <w:spacing w:beforeAutospacing="0" w:afterAutospacing="0" w:line="560" w:lineRule="exact"/>
        <w:ind w:firstLine="642" w:firstLineChars="200"/>
        <w:jc w:val="both"/>
        <w:rPr>
          <w:rFonts w:ascii="Times New Roman" w:hAnsi="Times New Roman" w:eastAsia="仿宋_GB2312"/>
          <w:spacing w:val="4"/>
          <w:sz w:val="32"/>
          <w:szCs w:val="32"/>
        </w:rPr>
      </w:pPr>
      <w:r>
        <w:rPr>
          <w:rFonts w:ascii="Times New Roman" w:hAnsi="Times New Roman" w:eastAsia="仿宋_GB2312"/>
          <w:b/>
          <w:bCs/>
          <w:sz w:val="32"/>
          <w:szCs w:val="32"/>
        </w:rPr>
        <w:t>第三十</w:t>
      </w:r>
      <w:r>
        <w:rPr>
          <w:rFonts w:hint="eastAsia" w:ascii="Times New Roman" w:hAnsi="Times New Roman" w:eastAsia="仿宋_GB2312"/>
          <w:b/>
          <w:bCs/>
          <w:sz w:val="32"/>
          <w:szCs w:val="32"/>
          <w:lang w:eastAsia="zh-CN"/>
        </w:rPr>
        <w:t>五</w:t>
      </w:r>
      <w:r>
        <w:rPr>
          <w:rFonts w:ascii="Times New Roman" w:hAnsi="Times New Roman" w:eastAsia="仿宋_GB2312"/>
          <w:b/>
          <w:bCs/>
          <w:sz w:val="32"/>
          <w:szCs w:val="32"/>
        </w:rPr>
        <w:t>条</w:t>
      </w:r>
      <w:r>
        <w:rPr>
          <w:rFonts w:hint="eastAsia" w:ascii="Times New Roman" w:hAnsi="Times New Roman" w:eastAsia="仿宋_GB2312"/>
          <w:sz w:val="32"/>
          <w:szCs w:val="32"/>
        </w:rPr>
        <w:t xml:space="preserve"> </w:t>
      </w:r>
      <w:r>
        <w:rPr>
          <w:rFonts w:ascii="Times New Roman" w:hAnsi="Times New Roman" w:eastAsia="仿宋_GB2312"/>
          <w:sz w:val="32"/>
          <w:szCs w:val="32"/>
        </w:rPr>
        <w:t>本细则自</w:t>
      </w:r>
      <w:r>
        <w:rPr>
          <w:rFonts w:hint="eastAsia" w:ascii="Times New Roman" w:hAnsi="Times New Roman" w:eastAsia="仿宋_GB2312"/>
          <w:sz w:val="32"/>
          <w:szCs w:val="32"/>
        </w:rPr>
        <w:t>印发之日</w:t>
      </w:r>
      <w:r>
        <w:rPr>
          <w:rFonts w:ascii="Times New Roman" w:hAnsi="Times New Roman" w:eastAsia="仿宋_GB2312"/>
          <w:sz w:val="32"/>
          <w:szCs w:val="32"/>
        </w:rPr>
        <w:t>起施行</w:t>
      </w:r>
      <w:r>
        <w:rPr>
          <w:rFonts w:hint="eastAsia" w:ascii="Times New Roman" w:hAnsi="Times New Roman" w:eastAsia="仿宋_GB2312"/>
          <w:sz w:val="32"/>
          <w:szCs w:val="32"/>
          <w:lang w:eastAsia="zh-CN"/>
        </w:rPr>
        <w:t>，</w:t>
      </w:r>
      <w:r>
        <w:rPr>
          <w:rFonts w:hint="eastAsia" w:ascii="仿宋_GB2312" w:hAnsi="仿宋_GB2312" w:eastAsia="仿宋_GB2312" w:cs="仿宋_GB2312"/>
          <w:b w:val="0"/>
          <w:bCs w:val="0"/>
          <w:kern w:val="2"/>
          <w:sz w:val="32"/>
          <w:szCs w:val="32"/>
          <w:lang w:val="en-US" w:eastAsia="zh-CN" w:bidi="ar-SA"/>
        </w:rPr>
        <w:t>原</w:t>
      </w:r>
      <w:r>
        <w:rPr>
          <w:rFonts w:hint="eastAsia" w:ascii="仿宋_GB2312" w:hAnsi="仿宋_GB2312" w:eastAsia="仿宋_GB2312" w:cs="仿宋_GB2312"/>
          <w:b w:val="0"/>
          <w:bCs w:val="0"/>
          <w:sz w:val="32"/>
          <w:szCs w:val="32"/>
          <w:lang w:val="en-US" w:eastAsia="zh-CN"/>
        </w:rPr>
        <w:t>《鄂尔多斯市数字煤炭产销管理实施细则（试行）》（鄂能局发〔2024〕65号）</w:t>
      </w:r>
      <w:r>
        <w:rPr>
          <w:rFonts w:hint="eastAsia" w:ascii="仿宋_GB2312" w:hAnsi="仿宋_GB2312" w:eastAsia="仿宋_GB2312" w:cs="仿宋_GB2312"/>
          <w:b w:val="0"/>
          <w:bCs w:val="0"/>
          <w:kern w:val="2"/>
          <w:sz w:val="32"/>
          <w:szCs w:val="32"/>
          <w:lang w:val="en-US" w:eastAsia="zh-CN" w:bidi="ar-SA"/>
        </w:rPr>
        <w:t>同时废止</w:t>
      </w:r>
      <w:r>
        <w:rPr>
          <w:rFonts w:ascii="Times New Roman" w:hAnsi="Times New Roman" w:eastAsia="仿宋_GB2312"/>
          <w:sz w:val="32"/>
          <w:szCs w:val="32"/>
        </w:rPr>
        <w:t>。</w:t>
      </w:r>
    </w:p>
    <w:sectPr>
      <w:footerReference r:id="rId3" w:type="default"/>
      <w:pgSz w:w="11906" w:h="16838"/>
      <w:pgMar w:top="1985" w:right="1474" w:bottom="1985" w:left="1474"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Nimbus Roman No9 L">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7003896"/>
    </w:sdtPr>
    <w:sdtEndPr>
      <w:rPr>
        <w:rFonts w:ascii="宋体" w:hAnsi="宋体" w:eastAsia="宋体"/>
        <w:sz w:val="28"/>
        <w:szCs w:val="28"/>
      </w:rPr>
    </w:sdtEndPr>
    <w:sdtContent>
      <w:p>
        <w:pPr>
          <w:pStyle w:val="2"/>
          <w:jc w:val="center"/>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2</w:t>
        </w:r>
        <w:r>
          <w:rPr>
            <w:rFonts w:ascii="宋体" w:hAnsi="宋体" w:eastAsia="宋体"/>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embedSystemFonts/>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mMTYyYmJiOWY3OTFhMWIwMWMyYTk4ZGM3ODEwYzkifQ=="/>
  </w:docVars>
  <w:rsids>
    <w:rsidRoot w:val="30070EA9"/>
    <w:rsid w:val="00000BD8"/>
    <w:rsid w:val="000117F9"/>
    <w:rsid w:val="00020AF2"/>
    <w:rsid w:val="00044C74"/>
    <w:rsid w:val="00046AF5"/>
    <w:rsid w:val="000564A5"/>
    <w:rsid w:val="00056A50"/>
    <w:rsid w:val="00057FE7"/>
    <w:rsid w:val="000A0B0D"/>
    <w:rsid w:val="000A6C21"/>
    <w:rsid w:val="000B2971"/>
    <w:rsid w:val="000E384D"/>
    <w:rsid w:val="00183057"/>
    <w:rsid w:val="001917D0"/>
    <w:rsid w:val="001F0FEB"/>
    <w:rsid w:val="002453A9"/>
    <w:rsid w:val="002B50D7"/>
    <w:rsid w:val="003559AD"/>
    <w:rsid w:val="00381A01"/>
    <w:rsid w:val="00392CBF"/>
    <w:rsid w:val="003E43AE"/>
    <w:rsid w:val="00435F79"/>
    <w:rsid w:val="00440CE0"/>
    <w:rsid w:val="00483F80"/>
    <w:rsid w:val="004D746B"/>
    <w:rsid w:val="00505F86"/>
    <w:rsid w:val="00522EEF"/>
    <w:rsid w:val="00536E9C"/>
    <w:rsid w:val="00552EC6"/>
    <w:rsid w:val="0057643F"/>
    <w:rsid w:val="005A2BC2"/>
    <w:rsid w:val="005B21A2"/>
    <w:rsid w:val="005C3A00"/>
    <w:rsid w:val="00604BDC"/>
    <w:rsid w:val="006246B6"/>
    <w:rsid w:val="0063039A"/>
    <w:rsid w:val="00645746"/>
    <w:rsid w:val="0067483C"/>
    <w:rsid w:val="006B481F"/>
    <w:rsid w:val="006C33B1"/>
    <w:rsid w:val="006E6D71"/>
    <w:rsid w:val="00705B35"/>
    <w:rsid w:val="00714ED7"/>
    <w:rsid w:val="0071777C"/>
    <w:rsid w:val="00722748"/>
    <w:rsid w:val="007360F2"/>
    <w:rsid w:val="00741835"/>
    <w:rsid w:val="0075084E"/>
    <w:rsid w:val="00765235"/>
    <w:rsid w:val="007D3D80"/>
    <w:rsid w:val="008109EE"/>
    <w:rsid w:val="008C2D4C"/>
    <w:rsid w:val="008C3B84"/>
    <w:rsid w:val="008D350E"/>
    <w:rsid w:val="008E3122"/>
    <w:rsid w:val="009506E0"/>
    <w:rsid w:val="00966253"/>
    <w:rsid w:val="00990742"/>
    <w:rsid w:val="009D4EC3"/>
    <w:rsid w:val="009E50C4"/>
    <w:rsid w:val="009F7539"/>
    <w:rsid w:val="00A00CF6"/>
    <w:rsid w:val="00A16325"/>
    <w:rsid w:val="00A315E5"/>
    <w:rsid w:val="00A74D78"/>
    <w:rsid w:val="00A91D89"/>
    <w:rsid w:val="00AA6EDE"/>
    <w:rsid w:val="00AB4A19"/>
    <w:rsid w:val="00AD08C9"/>
    <w:rsid w:val="00B04A53"/>
    <w:rsid w:val="00B21085"/>
    <w:rsid w:val="00B5706E"/>
    <w:rsid w:val="00BB28D5"/>
    <w:rsid w:val="00BD0E11"/>
    <w:rsid w:val="00BF5670"/>
    <w:rsid w:val="00C06A9F"/>
    <w:rsid w:val="00C21A58"/>
    <w:rsid w:val="00C222FA"/>
    <w:rsid w:val="00C40313"/>
    <w:rsid w:val="00CB174F"/>
    <w:rsid w:val="00CD40F0"/>
    <w:rsid w:val="00CD529D"/>
    <w:rsid w:val="00CE5916"/>
    <w:rsid w:val="00D134AA"/>
    <w:rsid w:val="00D259B4"/>
    <w:rsid w:val="00D6160E"/>
    <w:rsid w:val="00D7103C"/>
    <w:rsid w:val="00D76AAA"/>
    <w:rsid w:val="00D93B00"/>
    <w:rsid w:val="00DC0B32"/>
    <w:rsid w:val="00DF7A98"/>
    <w:rsid w:val="00E00B32"/>
    <w:rsid w:val="00E32CA8"/>
    <w:rsid w:val="00E43D34"/>
    <w:rsid w:val="00E540AF"/>
    <w:rsid w:val="00E74141"/>
    <w:rsid w:val="00E80109"/>
    <w:rsid w:val="00EA3199"/>
    <w:rsid w:val="00EA45C1"/>
    <w:rsid w:val="00ED1482"/>
    <w:rsid w:val="00ED1C01"/>
    <w:rsid w:val="00ED263C"/>
    <w:rsid w:val="00EF51D8"/>
    <w:rsid w:val="00F002D1"/>
    <w:rsid w:val="00F32361"/>
    <w:rsid w:val="00F361E7"/>
    <w:rsid w:val="00F36684"/>
    <w:rsid w:val="00F430F0"/>
    <w:rsid w:val="00F64406"/>
    <w:rsid w:val="00FB0CC6"/>
    <w:rsid w:val="00FD5E97"/>
    <w:rsid w:val="00FD6E80"/>
    <w:rsid w:val="00FE16CB"/>
    <w:rsid w:val="1E1963A6"/>
    <w:rsid w:val="20FFB642"/>
    <w:rsid w:val="2DFB3423"/>
    <w:rsid w:val="2FBBCCF4"/>
    <w:rsid w:val="30070EA9"/>
    <w:rsid w:val="30141BA0"/>
    <w:rsid w:val="37D102E8"/>
    <w:rsid w:val="4CF60A33"/>
    <w:rsid w:val="51184A11"/>
    <w:rsid w:val="52AF65AF"/>
    <w:rsid w:val="62E544B2"/>
    <w:rsid w:val="67FB0F43"/>
    <w:rsid w:val="73EBF0D8"/>
    <w:rsid w:val="75F86353"/>
    <w:rsid w:val="76CE72A2"/>
    <w:rsid w:val="7BF7ADFB"/>
    <w:rsid w:val="7EFF8129"/>
    <w:rsid w:val="9EEFA560"/>
    <w:rsid w:val="BF933AB6"/>
    <w:rsid w:val="D9D2093D"/>
    <w:rsid w:val="DFB8EF85"/>
    <w:rsid w:val="F0F61015"/>
    <w:rsid w:val="F2FB3045"/>
    <w:rsid w:val="FFFD4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jc w:val="left"/>
    </w:pPr>
    <w:rPr>
      <w:sz w:val="18"/>
      <w:szCs w:val="18"/>
    </w:rPr>
  </w:style>
  <w:style w:type="paragraph" w:styleId="3">
    <w:name w:val="header"/>
    <w:basedOn w:val="1"/>
    <w:link w:val="10"/>
    <w:qFormat/>
    <w:uiPriority w:val="0"/>
    <w:pP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 w:type="character" w:customStyle="1" w:styleId="10">
    <w:name w:val="页眉 字符"/>
    <w:basedOn w:val="6"/>
    <w:link w:val="3"/>
    <w:qFormat/>
    <w:uiPriority w:val="0"/>
    <w:rPr>
      <w:rFonts w:asciiTheme="minorHAnsi" w:hAnsiTheme="minorHAnsi" w:eastAsiaTheme="minorEastAsia" w:cstheme="minorBidi"/>
      <w:kern w:val="2"/>
      <w:sz w:val="18"/>
      <w:szCs w:val="18"/>
    </w:rPr>
  </w:style>
  <w:style w:type="character" w:customStyle="1" w:styleId="11">
    <w:name w:val="页脚 字符"/>
    <w:basedOn w:val="6"/>
    <w:link w:val="2"/>
    <w:qFormat/>
    <w:uiPriority w:val="99"/>
    <w:rPr>
      <w:rFonts w:asciiTheme="minorHAnsi" w:hAnsiTheme="minorHAnsi" w:eastAsiaTheme="minorEastAsia" w:cstheme="minorBidi"/>
      <w:kern w:val="2"/>
      <w:sz w:val="18"/>
      <w:szCs w:val="18"/>
    </w:rPr>
  </w:style>
  <w:style w:type="character" w:customStyle="1" w:styleId="12">
    <w:name w:val="NormalCharacter"/>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4788</Words>
  <Characters>151</Characters>
  <Lines>1</Lines>
  <Paragraphs>9</Paragraphs>
  <TotalTime>6</TotalTime>
  <ScaleCrop>false</ScaleCrop>
  <LinksUpToDate>false</LinksUpToDate>
  <CharactersWithSpaces>4930</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2023-12-30T06:07:00Z</dcterms:created>
  <dc:creator>蕾</dc:creator>
  <cp:lastModifiedBy>greatwall</cp:lastModifiedBy>
  <cp:lastPrinted>2025-09-24T10:26:00Z</cp:lastPrinted>
  <dcterms:modified xsi:type="dcterms:W3CDTF">2025-10-09T11:24:30Z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2BF4DC36ADA14F2290FDA094E8EC0E84_11</vt:lpwstr>
  </property>
</Properties>
</file>