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00" w:lineRule="exact"/>
        <w:rPr>
          <w:sz w:val="28"/>
        </w:rPr>
      </w:pPr>
    </w:p>
    <w:p>
      <w:pPr>
        <w:spacing w:line="560" w:lineRule="exact"/>
        <w:jc w:val="center"/>
        <w:rPr>
          <w:rFonts w:hint="eastAsia" w:ascii="方正小标宋简体" w:hAnsi="方正小标宋简体" w:eastAsia="方正小标宋简体" w:cs="方正小标宋简体"/>
          <w:color w:val="000000"/>
          <w:sz w:val="44"/>
          <w:szCs w:val="44"/>
        </w:rPr>
      </w:pPr>
      <w:r>
        <w:rPr>
          <w:rFonts w:hint="eastAsia" w:ascii="方正小标宋简体" w:hAnsi="方正小标宋简体" w:eastAsia="方正小标宋简体" w:cs="方正小标宋简体"/>
          <w:color w:val="000000"/>
          <w:sz w:val="44"/>
          <w:szCs w:val="44"/>
        </w:rPr>
        <w:t>鄂尔多斯市发展和改革委员会关于</w:t>
      </w:r>
    </w:p>
    <w:p>
      <w:pPr>
        <w:spacing w:line="560" w:lineRule="exact"/>
        <w:jc w:val="center"/>
        <w:rPr>
          <w:rFonts w:hint="eastAsia" w:ascii="方正小标宋简体" w:hAnsi="方正小标宋简体" w:eastAsia="方正小标宋简体" w:cs="方正小标宋简体"/>
          <w:color w:val="000000"/>
          <w:kern w:val="0"/>
          <w:sz w:val="44"/>
          <w:szCs w:val="44"/>
          <w:lang w:val="en-US" w:eastAsia="zh-CN" w:bidi="ar"/>
        </w:rPr>
      </w:pPr>
      <w:r>
        <w:rPr>
          <w:rFonts w:hint="eastAsia" w:ascii="方正小标宋简体" w:hAnsi="方正小标宋简体" w:eastAsia="方正小标宋简体" w:cs="方正小标宋简体"/>
          <w:color w:val="000000"/>
          <w:kern w:val="0"/>
          <w:sz w:val="44"/>
          <w:szCs w:val="44"/>
          <w:lang w:eastAsia="zh-CN" w:bidi="ar"/>
        </w:rPr>
        <w:t>联动</w:t>
      </w:r>
      <w:r>
        <w:rPr>
          <w:rFonts w:hint="eastAsia" w:ascii="方正小标宋简体" w:hAnsi="方正小标宋简体" w:eastAsia="方正小标宋简体" w:cs="方正小标宋简体"/>
          <w:color w:val="000000"/>
          <w:kern w:val="0"/>
          <w:sz w:val="44"/>
          <w:szCs w:val="44"/>
          <w:lang w:bidi="ar"/>
        </w:rPr>
        <w:t>调整东胜区康巴什区202</w:t>
      </w:r>
      <w:r>
        <w:rPr>
          <w:rFonts w:hint="eastAsia" w:ascii="方正小标宋简体" w:hAnsi="方正小标宋简体" w:eastAsia="方正小标宋简体" w:cs="方正小标宋简体"/>
          <w:color w:val="000000"/>
          <w:kern w:val="0"/>
          <w:sz w:val="44"/>
          <w:szCs w:val="44"/>
          <w:lang w:val="en-US" w:eastAsia="zh-CN" w:bidi="ar"/>
        </w:rPr>
        <w:t>4年4月1日</w:t>
      </w:r>
    </w:p>
    <w:p>
      <w:pPr>
        <w:widowControl/>
        <w:spacing w:line="560" w:lineRule="exact"/>
        <w:jc w:val="center"/>
        <w:outlineLvl w:val="0"/>
        <w:rPr>
          <w:rFonts w:hint="eastAsia" w:ascii="方正小标宋简体" w:hAnsi="方正小标宋简体" w:eastAsia="方正小标宋简体" w:cs="方正小标宋简体"/>
          <w:color w:val="000000"/>
          <w:sz w:val="44"/>
          <w:szCs w:val="44"/>
        </w:rPr>
      </w:pPr>
      <w:r>
        <w:rPr>
          <w:rFonts w:hint="eastAsia" w:ascii="方正小标宋简体" w:hAnsi="方正小标宋简体" w:eastAsia="方正小标宋简体" w:cs="方正小标宋简体"/>
          <w:color w:val="000000"/>
          <w:spacing w:val="-20"/>
          <w:kern w:val="0"/>
          <w:sz w:val="44"/>
          <w:szCs w:val="44"/>
          <w:lang w:val="en-US" w:eastAsia="zh-CN" w:bidi="ar"/>
        </w:rPr>
        <w:t>至10月31日</w:t>
      </w:r>
      <w:r>
        <w:rPr>
          <w:rFonts w:hint="eastAsia" w:ascii="方正小标宋简体" w:hAnsi="方正小标宋简体" w:eastAsia="方正小标宋简体" w:cs="方正小标宋简体"/>
          <w:color w:val="000000"/>
          <w:spacing w:val="-20"/>
          <w:kern w:val="0"/>
          <w:sz w:val="44"/>
          <w:szCs w:val="44"/>
          <w:lang w:bidi="ar"/>
        </w:rPr>
        <w:t>非居民用管道天然气销售价格</w:t>
      </w:r>
      <w:r>
        <w:rPr>
          <w:rFonts w:hint="eastAsia" w:ascii="方正小标宋简体" w:hAnsi="方正小标宋简体" w:eastAsia="方正小标宋简体" w:cs="方正小标宋简体"/>
          <w:color w:val="000000"/>
          <w:spacing w:val="-20"/>
          <w:sz w:val="44"/>
          <w:szCs w:val="44"/>
        </w:rPr>
        <w:t>的通知</w:t>
      </w:r>
    </w:p>
    <w:p>
      <w:pPr>
        <w:spacing w:line="560" w:lineRule="exact"/>
        <w:jc w:val="center"/>
        <w:rPr>
          <w:rFonts w:hint="default"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eastAsia="zh-CN"/>
        </w:rPr>
        <w:t>鄂发改价费发〔</w:t>
      </w:r>
      <w:r>
        <w:rPr>
          <w:rFonts w:hint="eastAsia" w:ascii="仿宋_GB2312" w:hAnsi="仿宋_GB2312" w:eastAsia="仿宋_GB2312" w:cs="仿宋_GB2312"/>
          <w:color w:val="000000"/>
          <w:sz w:val="32"/>
          <w:szCs w:val="32"/>
          <w:lang w:val="en-US" w:eastAsia="zh-CN"/>
        </w:rPr>
        <w:t>2024</w:t>
      </w:r>
      <w:r>
        <w:rPr>
          <w:rFonts w:hint="eastAsia" w:ascii="仿宋_GB2312" w:hAnsi="仿宋_GB2312" w:eastAsia="仿宋_GB2312" w:cs="仿宋_GB2312"/>
          <w:color w:val="000000"/>
          <w:sz w:val="32"/>
          <w:szCs w:val="32"/>
          <w:lang w:eastAsia="zh-CN"/>
        </w:rPr>
        <w:t>〕</w:t>
      </w:r>
      <w:r>
        <w:rPr>
          <w:rFonts w:hint="eastAsia" w:ascii="仿宋_GB2312" w:hAnsi="仿宋_GB2312" w:eastAsia="仿宋_GB2312" w:cs="仿宋_GB2312"/>
          <w:color w:val="000000"/>
          <w:sz w:val="32"/>
          <w:szCs w:val="32"/>
          <w:lang w:val="en-US" w:eastAsia="zh-CN"/>
        </w:rPr>
        <w:t>94号</w:t>
      </w:r>
    </w:p>
    <w:p>
      <w:pPr>
        <w:spacing w:line="560" w:lineRule="exact"/>
        <w:rPr>
          <w:rFonts w:hint="eastAsia" w:ascii="仿宋_GB2312" w:hAnsi="仿宋_GB2312" w:eastAsia="仿宋_GB2312" w:cs="仿宋_GB2312"/>
          <w:color w:val="000000"/>
          <w:sz w:val="32"/>
          <w:szCs w:val="32"/>
        </w:rPr>
      </w:pPr>
    </w:p>
    <w:p>
      <w:pPr>
        <w:spacing w:line="560" w:lineRule="exact"/>
        <w:rPr>
          <w:rFonts w:hint="eastAsia" w:ascii="仿宋_GB2312" w:hAnsi="CESI仿宋-GB2312" w:eastAsia="仿宋_GB2312" w:cs="CESI仿宋-GB2312"/>
          <w:color w:val="000000"/>
          <w:kern w:val="0"/>
          <w:sz w:val="32"/>
          <w:szCs w:val="32"/>
          <w:lang w:bidi="ar"/>
        </w:rPr>
      </w:pPr>
      <w:bookmarkStart w:id="0" w:name="_GoBack"/>
      <w:bookmarkEnd w:id="0"/>
      <w:r>
        <w:rPr>
          <w:rFonts w:hint="eastAsia" w:ascii="仿宋_GB2312" w:hAnsi="仿宋_GB2312" w:eastAsia="仿宋_GB2312" w:cs="仿宋_GB2312"/>
          <w:color w:val="000000"/>
          <w:sz w:val="32"/>
          <w:szCs w:val="32"/>
        </w:rPr>
        <w:t>东胜区发展和改革委员会，康巴什区发展和改革委员会，有关城市燃气企业：</w:t>
      </w:r>
    </w:p>
    <w:p>
      <w:pPr>
        <w:spacing w:line="560" w:lineRule="exact"/>
        <w:ind w:firstLine="640" w:firstLineChars="200"/>
        <w:rPr>
          <w:rFonts w:hint="eastAsia" w:ascii="仿宋_GB2312" w:hAnsi="仿宋_GB2312" w:eastAsia="仿宋_GB2312" w:cs="仿宋_GB2312"/>
          <w:color w:val="000000"/>
          <w:sz w:val="32"/>
          <w:szCs w:val="32"/>
        </w:rPr>
      </w:pPr>
      <w:r>
        <w:rPr>
          <w:rFonts w:hint="eastAsia" w:ascii="仿宋_GB2312" w:hAnsi="CESI仿宋-GB2312" w:eastAsia="仿宋_GB2312" w:cs="CESI仿宋-GB2312"/>
          <w:color w:val="000000"/>
          <w:kern w:val="0"/>
          <w:sz w:val="32"/>
          <w:szCs w:val="32"/>
          <w:lang w:bidi="ar"/>
        </w:rPr>
        <w:t>为保障</w:t>
      </w:r>
      <w:r>
        <w:rPr>
          <w:rFonts w:hint="eastAsia" w:ascii="仿宋_GB2312" w:hAnsi="CESI仿宋-GB2312" w:eastAsia="仿宋_GB2312" w:cs="CESI仿宋-GB2312"/>
          <w:color w:val="000000"/>
          <w:kern w:val="0"/>
          <w:sz w:val="32"/>
          <w:szCs w:val="32"/>
          <w:lang w:eastAsia="zh-CN" w:bidi="ar"/>
        </w:rPr>
        <w:t>天然气供应，及时疏导天然气采购价格变动，依据</w:t>
      </w:r>
      <w:r>
        <w:rPr>
          <w:rFonts w:hint="eastAsia" w:ascii="仿宋_GB2312" w:hAnsi="CESI仿宋-GB2312" w:eastAsia="仿宋_GB2312" w:cs="CESI仿宋-GB2312"/>
          <w:color w:val="000000"/>
          <w:kern w:val="0"/>
          <w:sz w:val="32"/>
          <w:szCs w:val="32"/>
          <w:lang w:bidi="ar"/>
        </w:rPr>
        <w:t>中石油天然气销售内蒙古分公司向自治区</w:t>
      </w:r>
      <w:r>
        <w:rPr>
          <w:rFonts w:hint="eastAsia" w:ascii="仿宋_GB2312" w:hAnsi="CESI仿宋-GB2312" w:eastAsia="仿宋_GB2312" w:cs="CESI仿宋-GB2312"/>
          <w:color w:val="000000"/>
          <w:kern w:val="0"/>
          <w:sz w:val="32"/>
          <w:szCs w:val="32"/>
          <w:lang w:eastAsia="zh-CN" w:bidi="ar"/>
        </w:rPr>
        <w:t>发展改革</w:t>
      </w:r>
      <w:r>
        <w:rPr>
          <w:rFonts w:hint="eastAsia" w:ascii="仿宋_GB2312" w:hAnsi="CESI仿宋-GB2312" w:eastAsia="仿宋_GB2312" w:cs="CESI仿宋-GB2312"/>
          <w:color w:val="000000"/>
          <w:kern w:val="0"/>
          <w:sz w:val="32"/>
          <w:szCs w:val="32"/>
          <w:lang w:bidi="ar"/>
        </w:rPr>
        <w:t>委报送的</w:t>
      </w:r>
      <w:r>
        <w:rPr>
          <w:rFonts w:hint="eastAsia" w:ascii="仿宋_GB2312" w:hAnsi="CESI仿宋-GB2312" w:eastAsia="仿宋_GB2312" w:cs="CESI仿宋-GB2312"/>
          <w:color w:val="000000"/>
          <w:kern w:val="0"/>
          <w:sz w:val="32"/>
          <w:szCs w:val="32"/>
          <w:lang w:eastAsia="zh-CN" w:bidi="ar"/>
        </w:rPr>
        <w:t>《关于2024-2025年度天然气购销合同签订工作的报告》</w:t>
      </w:r>
      <w:r>
        <w:rPr>
          <w:rFonts w:hint="eastAsia" w:ascii="仿宋_GB2312" w:hAnsi="CESI仿宋-GB2312" w:eastAsia="仿宋_GB2312" w:cs="CESI仿宋-GB2312"/>
          <w:color w:val="000000"/>
          <w:kern w:val="0"/>
          <w:sz w:val="32"/>
          <w:szCs w:val="32"/>
          <w:lang w:val="en-US" w:eastAsia="zh-CN" w:bidi="ar"/>
        </w:rPr>
        <w:t>（气销蒙函〔2024〕16号）</w:t>
      </w:r>
      <w:r>
        <w:rPr>
          <w:rFonts w:hint="eastAsia" w:ascii="仿宋_GB2312" w:hAnsi="CESI仿宋-GB2312" w:eastAsia="仿宋_GB2312" w:cs="CESI仿宋-GB2312"/>
          <w:color w:val="000000"/>
          <w:kern w:val="0"/>
          <w:sz w:val="32"/>
          <w:szCs w:val="32"/>
          <w:lang w:eastAsia="zh-CN" w:bidi="ar"/>
        </w:rPr>
        <w:t>及</w:t>
      </w:r>
      <w:r>
        <w:rPr>
          <w:rFonts w:hint="eastAsia" w:ascii="仿宋_GB2312" w:hAnsi="CESI仿宋-GB2312" w:eastAsia="仿宋_GB2312" w:cs="CESI仿宋-GB2312"/>
          <w:color w:val="000000"/>
          <w:kern w:val="0"/>
          <w:sz w:val="32"/>
          <w:szCs w:val="32"/>
          <w:lang w:val="en-US" w:eastAsia="zh-CN" w:bidi="ar"/>
        </w:rPr>
        <w:t>“中石油2024-2025年天然气购销合同确认单”</w:t>
      </w:r>
      <w:r>
        <w:rPr>
          <w:rFonts w:hint="eastAsia" w:ascii="仿宋_GB2312" w:hAnsi="CESI仿宋-GB2312" w:eastAsia="仿宋_GB2312" w:cs="CESI仿宋-GB2312"/>
          <w:color w:val="000000"/>
          <w:kern w:val="0"/>
          <w:sz w:val="32"/>
          <w:szCs w:val="32"/>
          <w:lang w:bidi="ar"/>
        </w:rPr>
        <w:t>，我委</w:t>
      </w:r>
      <w:r>
        <w:rPr>
          <w:rFonts w:hint="eastAsia" w:ascii="仿宋_GB2312" w:hAnsi="CESI仿宋-GB2312" w:eastAsia="仿宋_GB2312" w:cs="CESI仿宋-GB2312"/>
          <w:color w:val="000000"/>
          <w:kern w:val="0"/>
          <w:sz w:val="32"/>
          <w:szCs w:val="32"/>
          <w:lang w:eastAsia="zh-CN" w:bidi="ar"/>
        </w:rPr>
        <w:t>按照</w:t>
      </w:r>
      <w:r>
        <w:rPr>
          <w:rFonts w:hint="eastAsia" w:ascii="仿宋_GB2312" w:hAnsi="CESI仿宋-GB2312" w:eastAsia="仿宋_GB2312" w:cs="CESI仿宋-GB2312"/>
          <w:color w:val="000000"/>
          <w:kern w:val="0"/>
          <w:sz w:val="32"/>
          <w:szCs w:val="32"/>
          <w:lang w:val="en-US" w:eastAsia="zh-CN" w:bidi="ar"/>
        </w:rPr>
        <w:t>国家和自治区天然气价格联动机制的工作要求，</w:t>
      </w:r>
      <w:r>
        <w:rPr>
          <w:rFonts w:hint="eastAsia" w:ascii="仿宋_GB2312" w:hAnsi="CESI仿宋-GB2312" w:eastAsia="仿宋_GB2312" w:cs="CESI仿宋-GB2312"/>
          <w:color w:val="000000"/>
          <w:kern w:val="0"/>
          <w:sz w:val="32"/>
          <w:szCs w:val="32"/>
          <w:lang w:bidi="ar"/>
        </w:rPr>
        <w:t>经</w:t>
      </w:r>
      <w:r>
        <w:rPr>
          <w:rFonts w:hint="eastAsia" w:ascii="仿宋_GB2312" w:hAnsi="CESI仿宋-GB2312" w:eastAsia="仿宋_GB2312" w:cs="CESI仿宋-GB2312"/>
          <w:color w:val="000000"/>
          <w:kern w:val="0"/>
          <w:sz w:val="32"/>
          <w:szCs w:val="32"/>
          <w:lang w:eastAsia="zh-CN" w:bidi="ar"/>
        </w:rPr>
        <w:t>市人民政府同意，</w:t>
      </w:r>
      <w:r>
        <w:rPr>
          <w:rFonts w:hint="eastAsia" w:ascii="仿宋_GB2312" w:hAnsi="仿宋_GB2312" w:eastAsia="仿宋_GB2312" w:cs="仿宋_GB2312"/>
          <w:color w:val="000000"/>
          <w:sz w:val="32"/>
          <w:szCs w:val="32"/>
        </w:rPr>
        <w:t>决定</w:t>
      </w:r>
      <w:r>
        <w:rPr>
          <w:rFonts w:hint="eastAsia" w:ascii="仿宋_GB2312" w:hAnsi="仿宋_GB2312" w:eastAsia="仿宋_GB2312" w:cs="仿宋_GB2312"/>
          <w:color w:val="000000"/>
          <w:sz w:val="32"/>
          <w:szCs w:val="32"/>
          <w:lang w:eastAsia="zh-CN"/>
        </w:rPr>
        <w:t>联动</w:t>
      </w:r>
      <w:r>
        <w:rPr>
          <w:rFonts w:hint="eastAsia" w:ascii="仿宋_GB2312" w:hAnsi="仿宋_GB2312" w:eastAsia="仿宋_GB2312" w:cs="仿宋_GB2312"/>
          <w:color w:val="000000"/>
          <w:sz w:val="32"/>
          <w:szCs w:val="32"/>
        </w:rPr>
        <w:t>调整非居民用管道天然气销售价格</w:t>
      </w:r>
      <w:r>
        <w:rPr>
          <w:rFonts w:hint="eastAsia" w:ascii="仿宋_GB2312" w:hAnsi="仿宋_GB2312" w:eastAsia="仿宋_GB2312" w:cs="仿宋_GB2312"/>
          <w:color w:val="000000"/>
          <w:sz w:val="32"/>
          <w:szCs w:val="32"/>
          <w:lang w:eastAsia="zh-CN"/>
        </w:rPr>
        <w:t>，</w:t>
      </w:r>
      <w:r>
        <w:rPr>
          <w:rFonts w:hint="eastAsia" w:ascii="仿宋_GB2312" w:hAnsi="仿宋_GB2312" w:eastAsia="仿宋_GB2312" w:cs="仿宋_GB2312"/>
          <w:color w:val="000000"/>
          <w:sz w:val="32"/>
          <w:szCs w:val="32"/>
        </w:rPr>
        <w:t>现将</w:t>
      </w:r>
      <w:r>
        <w:rPr>
          <w:rFonts w:hint="eastAsia" w:ascii="仿宋_GB2312" w:hAnsi="仿宋_GB2312" w:eastAsia="仿宋_GB2312" w:cs="仿宋_GB2312"/>
          <w:color w:val="000000"/>
          <w:sz w:val="32"/>
          <w:szCs w:val="32"/>
          <w:lang w:val="en-US" w:eastAsia="zh-CN"/>
        </w:rPr>
        <w:t>2024年4月1日至10月31日</w:t>
      </w:r>
      <w:r>
        <w:rPr>
          <w:rFonts w:hint="eastAsia" w:ascii="仿宋_GB2312" w:hAnsi="仿宋_GB2312" w:eastAsia="仿宋_GB2312" w:cs="仿宋_GB2312"/>
          <w:color w:val="000000"/>
          <w:sz w:val="32"/>
          <w:szCs w:val="32"/>
        </w:rPr>
        <w:t>非居民用</w:t>
      </w:r>
      <w:r>
        <w:rPr>
          <w:rFonts w:hint="eastAsia" w:ascii="仿宋_GB2312" w:hAnsi="仿宋_GB2312" w:eastAsia="仿宋_GB2312" w:cs="仿宋_GB2312"/>
          <w:color w:val="000000"/>
          <w:sz w:val="32"/>
          <w:szCs w:val="32"/>
          <w:lang w:eastAsia="zh-CN"/>
        </w:rPr>
        <w:t>和</w:t>
      </w:r>
      <w:r>
        <w:rPr>
          <w:rFonts w:hint="eastAsia" w:ascii="仿宋_GB2312" w:hAnsi="仿宋_GB2312" w:eastAsia="仿宋_GB2312" w:cs="仿宋_GB2312"/>
          <w:color w:val="000000"/>
          <w:sz w:val="32"/>
          <w:szCs w:val="32"/>
          <w:lang w:val="en-US" w:eastAsia="zh-CN"/>
        </w:rPr>
        <w:t>居民用</w:t>
      </w:r>
      <w:r>
        <w:rPr>
          <w:rFonts w:hint="eastAsia" w:ascii="仿宋_GB2312" w:hAnsi="仿宋_GB2312" w:eastAsia="仿宋_GB2312" w:cs="仿宋_GB2312"/>
          <w:color w:val="000000"/>
          <w:sz w:val="32"/>
          <w:szCs w:val="32"/>
        </w:rPr>
        <w:t>管道天然气销售价格有关事项通知如下：</w:t>
      </w:r>
    </w:p>
    <w:p>
      <w:pPr>
        <w:keepNext w:val="0"/>
        <w:keepLines w:val="0"/>
        <w:pageBreakBefore w:val="0"/>
        <w:widowControl w:val="0"/>
        <w:numPr>
          <w:ilvl w:val="0"/>
          <w:numId w:val="0"/>
        </w:numPr>
        <w:kinsoku/>
        <w:wordWrap/>
        <w:overflowPunct/>
        <w:topLinePunct w:val="0"/>
        <w:autoSpaceDE/>
        <w:autoSpaceDN/>
        <w:bidi w:val="0"/>
        <w:adjustRightInd/>
        <w:snapToGrid/>
        <w:ind w:firstLine="640" w:firstLineChars="200"/>
        <w:textAlignment w:val="auto"/>
        <w:rPr>
          <w:rFonts w:hint="eastAsia" w:ascii="仿宋_GB2312" w:hAnsi="CESI仿宋-GB2312" w:eastAsia="仿宋_GB2312" w:cs="CESI仿宋-GB2312"/>
          <w:color w:val="000000"/>
          <w:kern w:val="0"/>
          <w:sz w:val="32"/>
          <w:szCs w:val="32"/>
          <w:lang w:eastAsia="zh-CN" w:bidi="ar"/>
        </w:rPr>
      </w:pPr>
      <w:r>
        <w:rPr>
          <w:rFonts w:hint="eastAsia" w:ascii="仿宋_GB2312" w:hAnsi="CESI仿宋-GB2312" w:eastAsia="仿宋_GB2312" w:cs="CESI仿宋-GB2312"/>
          <w:color w:val="000000"/>
          <w:kern w:val="0"/>
          <w:sz w:val="32"/>
          <w:szCs w:val="32"/>
          <w:lang w:eastAsia="zh-CN" w:bidi="ar"/>
        </w:rPr>
        <w:t>一、</w:t>
      </w:r>
      <w:r>
        <w:rPr>
          <w:rFonts w:hint="eastAsia" w:ascii="仿宋_GB2312" w:hAnsi="CESI仿宋-GB2312" w:eastAsia="仿宋_GB2312" w:cs="CESI仿宋-GB2312"/>
          <w:color w:val="000000"/>
          <w:kern w:val="0"/>
          <w:sz w:val="32"/>
          <w:szCs w:val="32"/>
          <w:lang w:bidi="ar"/>
        </w:rPr>
        <w:t>东胜区、康巴什区通过区内短途管道供应的非居民用天然气终端销售价格为每立方米</w:t>
      </w:r>
      <w:r>
        <w:rPr>
          <w:rFonts w:hint="eastAsia" w:ascii="仿宋_GB2312" w:hAnsi="CESI仿宋-GB2312" w:eastAsia="仿宋_GB2312" w:cs="CESI仿宋-GB2312"/>
          <w:color w:val="000000"/>
          <w:kern w:val="0"/>
          <w:sz w:val="32"/>
          <w:szCs w:val="32"/>
          <w:highlight w:val="none"/>
          <w:lang w:val="en-US" w:eastAsia="zh-CN" w:bidi="ar"/>
        </w:rPr>
        <w:t>2.845</w:t>
      </w:r>
      <w:r>
        <w:rPr>
          <w:rFonts w:hint="eastAsia" w:ascii="仿宋_GB2312" w:hAnsi="CESI仿宋-GB2312" w:eastAsia="仿宋_GB2312" w:cs="CESI仿宋-GB2312"/>
          <w:color w:val="000000"/>
          <w:w w:val="98"/>
          <w:kern w:val="0"/>
          <w:sz w:val="32"/>
          <w:szCs w:val="32"/>
          <w:lang w:bidi="ar"/>
        </w:rPr>
        <w:t>元（其中东胜区罕台镇</w:t>
      </w:r>
      <w:r>
        <w:rPr>
          <w:rFonts w:hint="eastAsia" w:ascii="仿宋_GB2312" w:hAnsi="CESI仿宋-GB2312" w:eastAsia="仿宋_GB2312" w:cs="CESI仿宋-GB2312"/>
          <w:color w:val="000000"/>
          <w:kern w:val="0"/>
          <w:sz w:val="32"/>
          <w:szCs w:val="32"/>
          <w:lang w:bidi="ar"/>
        </w:rPr>
        <w:t>为每立方米</w:t>
      </w:r>
      <w:r>
        <w:rPr>
          <w:rFonts w:hint="eastAsia" w:ascii="仿宋_GB2312" w:hAnsi="CESI仿宋-GB2312" w:eastAsia="仿宋_GB2312" w:cs="CESI仿宋-GB2312"/>
          <w:color w:val="000000"/>
          <w:kern w:val="0"/>
          <w:sz w:val="32"/>
          <w:szCs w:val="32"/>
          <w:highlight w:val="none"/>
          <w:lang w:val="en-US" w:eastAsia="zh-CN" w:bidi="ar"/>
        </w:rPr>
        <w:t>3.035</w:t>
      </w:r>
      <w:r>
        <w:rPr>
          <w:rFonts w:hint="eastAsia" w:ascii="仿宋_GB2312" w:hAnsi="CESI仿宋-GB2312" w:eastAsia="仿宋_GB2312" w:cs="CESI仿宋-GB2312"/>
          <w:color w:val="000000"/>
          <w:kern w:val="0"/>
          <w:sz w:val="32"/>
          <w:szCs w:val="32"/>
          <w:lang w:bidi="ar"/>
        </w:rPr>
        <w:t>元）</w:t>
      </w:r>
      <w:r>
        <w:rPr>
          <w:rFonts w:hint="eastAsia" w:ascii="仿宋_GB2312" w:hAnsi="CESI仿宋-GB2312" w:eastAsia="仿宋_GB2312" w:cs="CESI仿宋-GB2312"/>
          <w:color w:val="000000"/>
          <w:kern w:val="0"/>
          <w:sz w:val="32"/>
          <w:szCs w:val="32"/>
          <w:lang w:eastAsia="zh-CN" w:bidi="ar"/>
        </w:rPr>
        <w:t>。</w:t>
      </w:r>
    </w:p>
    <w:p>
      <w:pPr>
        <w:keepNext w:val="0"/>
        <w:keepLines w:val="0"/>
        <w:pageBreakBefore w:val="0"/>
        <w:widowControl w:val="0"/>
        <w:numPr>
          <w:ilvl w:val="0"/>
          <w:numId w:val="0"/>
        </w:numPr>
        <w:kinsoku/>
        <w:wordWrap/>
        <w:overflowPunct/>
        <w:topLinePunct w:val="0"/>
        <w:autoSpaceDE/>
        <w:autoSpaceDN/>
        <w:bidi w:val="0"/>
        <w:adjustRightInd/>
        <w:snapToGrid/>
        <w:ind w:firstLine="640" w:firstLineChars="200"/>
        <w:textAlignment w:val="auto"/>
        <w:rPr>
          <w:rFonts w:hint="eastAsia" w:ascii="仿宋_GB2312" w:hAnsi="CESI仿宋-GB2312" w:eastAsia="仿宋_GB2312" w:cs="CESI仿宋-GB2312"/>
          <w:color w:val="000000"/>
          <w:kern w:val="0"/>
          <w:sz w:val="32"/>
          <w:szCs w:val="32"/>
          <w:lang w:val="en-US" w:eastAsia="zh-CN" w:bidi="ar"/>
        </w:rPr>
      </w:pPr>
      <w:r>
        <w:rPr>
          <w:rFonts w:hint="eastAsia" w:ascii="仿宋_GB2312" w:hAnsi="CESI仿宋-GB2312" w:eastAsia="仿宋_GB2312" w:cs="CESI仿宋-GB2312"/>
          <w:color w:val="000000"/>
          <w:kern w:val="0"/>
          <w:sz w:val="32"/>
          <w:szCs w:val="32"/>
          <w:lang w:eastAsia="zh-CN" w:bidi="ar"/>
        </w:rPr>
        <w:t>二、东胜区（含罕台镇）、康巴什区此次通过</w:t>
      </w:r>
      <w:r>
        <w:rPr>
          <w:rFonts w:hint="eastAsia" w:ascii="仿宋_GB2312" w:hAnsi="CESI仿宋-GB2312" w:eastAsia="仿宋_GB2312" w:cs="CESI仿宋-GB2312"/>
          <w:color w:val="000000"/>
          <w:kern w:val="0"/>
          <w:sz w:val="32"/>
          <w:szCs w:val="32"/>
          <w:lang w:bidi="ar"/>
        </w:rPr>
        <w:t>区内短途管道供应的居民用天然气</w:t>
      </w:r>
      <w:r>
        <w:rPr>
          <w:rFonts w:hint="eastAsia" w:ascii="仿宋_GB2312" w:hAnsi="CESI仿宋-GB2312" w:eastAsia="仿宋_GB2312" w:cs="CESI仿宋-GB2312"/>
          <w:color w:val="000000"/>
          <w:kern w:val="0"/>
          <w:sz w:val="32"/>
          <w:szCs w:val="32"/>
          <w:lang w:eastAsia="zh-CN" w:bidi="ar"/>
        </w:rPr>
        <w:t>终端销售价格继续执行当前价格</w:t>
      </w:r>
      <w:r>
        <w:rPr>
          <w:rFonts w:hint="eastAsia" w:ascii="仿宋_GB2312" w:hAnsi="CESI仿宋-GB2312" w:eastAsia="仿宋_GB2312" w:cs="CESI仿宋-GB2312"/>
          <w:color w:val="000000"/>
          <w:kern w:val="0"/>
          <w:sz w:val="32"/>
          <w:szCs w:val="32"/>
          <w:lang w:bidi="ar"/>
        </w:rPr>
        <w:t>。</w:t>
      </w:r>
      <w:r>
        <w:rPr>
          <w:rFonts w:hint="eastAsia" w:ascii="仿宋_GB2312" w:hAnsi="CESI仿宋-GB2312" w:eastAsia="仿宋_GB2312" w:cs="CESI仿宋-GB2312"/>
          <w:color w:val="000000"/>
          <w:kern w:val="0"/>
          <w:sz w:val="32"/>
          <w:szCs w:val="32"/>
          <w:lang w:eastAsia="zh-CN" w:bidi="ar"/>
        </w:rPr>
        <w:t>各阶梯天然气价格详见下表。</w:t>
      </w:r>
    </w:p>
    <w:p>
      <w:pPr>
        <w:spacing w:line="560" w:lineRule="exact"/>
        <w:jc w:val="center"/>
        <w:rPr>
          <w:rFonts w:hint="eastAsia" w:ascii="黑体" w:hAnsi="黑体" w:eastAsia="黑体" w:cs="黑体"/>
          <w:sz w:val="32"/>
          <w:szCs w:val="32"/>
        </w:rPr>
      </w:pPr>
    </w:p>
    <w:p>
      <w:pPr>
        <w:spacing w:line="560" w:lineRule="exact"/>
        <w:jc w:val="center"/>
        <w:rPr>
          <w:rFonts w:hint="eastAsia" w:ascii="黑体" w:hAnsi="黑体" w:eastAsia="黑体" w:cs="黑体"/>
          <w:sz w:val="32"/>
          <w:szCs w:val="32"/>
        </w:rPr>
      </w:pPr>
      <w:r>
        <w:rPr>
          <w:rFonts w:hint="eastAsia" w:ascii="黑体" w:hAnsi="黑体" w:eastAsia="黑体" w:cs="黑体"/>
          <w:sz w:val="32"/>
          <w:szCs w:val="32"/>
        </w:rPr>
        <w:t>东胜区</w:t>
      </w:r>
      <w:r>
        <w:rPr>
          <w:rFonts w:hint="eastAsia" w:ascii="黑体" w:hAnsi="黑体" w:eastAsia="黑体" w:cs="黑体"/>
          <w:sz w:val="32"/>
          <w:szCs w:val="32"/>
          <w:lang w:eastAsia="zh-CN"/>
        </w:rPr>
        <w:t>（含罕台镇）</w:t>
      </w:r>
      <w:r>
        <w:rPr>
          <w:rFonts w:hint="eastAsia" w:ascii="黑体" w:hAnsi="黑体" w:eastAsia="黑体" w:cs="黑体"/>
          <w:sz w:val="32"/>
          <w:szCs w:val="32"/>
        </w:rPr>
        <w:t>、康巴什区居民生活用气</w:t>
      </w:r>
    </w:p>
    <w:p>
      <w:pPr>
        <w:spacing w:line="560" w:lineRule="exact"/>
        <w:jc w:val="center"/>
        <w:rPr>
          <w:rFonts w:ascii="黑体" w:hAnsi="黑体" w:eastAsia="黑体" w:cs="黑体"/>
          <w:sz w:val="32"/>
          <w:szCs w:val="32"/>
        </w:rPr>
      </w:pPr>
      <w:r>
        <w:rPr>
          <w:rFonts w:hint="eastAsia" w:ascii="黑体" w:hAnsi="黑体" w:eastAsia="黑体" w:cs="黑体"/>
          <w:sz w:val="32"/>
          <w:szCs w:val="32"/>
        </w:rPr>
        <w:t>各阶梯天然气价格表</w:t>
      </w:r>
    </w:p>
    <w:p>
      <w:pPr>
        <w:spacing w:line="560" w:lineRule="exact"/>
        <w:jc w:val="center"/>
        <w:rPr>
          <w:rFonts w:hint="eastAsia" w:ascii="黑体" w:hAnsi="黑体" w:eastAsia="黑体" w:cs="黑体"/>
          <w:sz w:val="32"/>
          <w:szCs w:val="32"/>
        </w:rPr>
      </w:pPr>
      <w:r>
        <w:rPr>
          <w:rFonts w:hint="eastAsia" w:ascii="黑体" w:hAnsi="黑体" w:eastAsia="黑体" w:cs="黑体"/>
          <w:sz w:val="32"/>
          <w:szCs w:val="32"/>
        </w:rPr>
        <w:t>（2024.4.1—2024.10.31)</w:t>
      </w:r>
    </w:p>
    <w:p>
      <w:pPr>
        <w:spacing w:line="560" w:lineRule="exact"/>
        <w:jc w:val="center"/>
        <w:rPr>
          <w:rFonts w:hint="eastAsia" w:ascii="黑体" w:hAnsi="黑体" w:eastAsia="黑体" w:cs="黑体"/>
          <w:sz w:val="32"/>
          <w:szCs w:val="32"/>
        </w:rPr>
      </w:pPr>
    </w:p>
    <w:tbl>
      <w:tblPr>
        <w:tblStyle w:val="10"/>
        <w:tblW w:w="896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69"/>
        <w:gridCol w:w="2144"/>
        <w:gridCol w:w="1666"/>
        <w:gridCol w:w="722"/>
        <w:gridCol w:w="346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69" w:type="dxa"/>
            <w:vMerge w:val="restart"/>
            <w:vAlign w:val="center"/>
          </w:tcPr>
          <w:p>
            <w:pPr>
              <w:spacing w:line="320" w:lineRule="exact"/>
              <w:jc w:val="center"/>
              <w:rPr>
                <w:rFonts w:ascii="仿宋_GB2312" w:hAnsi="仿宋_GB2312" w:eastAsia="仿宋_GB2312" w:cs="仿宋_GB2312"/>
                <w:sz w:val="24"/>
              </w:rPr>
            </w:pPr>
            <w:r>
              <w:rPr>
                <w:rFonts w:hint="eastAsia" w:ascii="仿宋_GB2312" w:hAnsi="仿宋_GB2312" w:eastAsia="仿宋_GB2312" w:cs="仿宋_GB2312"/>
                <w:sz w:val="24"/>
              </w:rPr>
              <w:t>分档</w:t>
            </w:r>
          </w:p>
        </w:tc>
        <w:tc>
          <w:tcPr>
            <w:tcW w:w="3810" w:type="dxa"/>
            <w:gridSpan w:val="2"/>
            <w:vAlign w:val="center"/>
          </w:tcPr>
          <w:p>
            <w:pPr>
              <w:spacing w:line="320" w:lineRule="exact"/>
              <w:ind w:firstLine="100" w:firstLineChars="50"/>
              <w:jc w:val="center"/>
              <w:rPr>
                <w:rFonts w:ascii="仿宋_GB2312" w:hAnsi="仿宋_GB2312" w:eastAsia="仿宋_GB2312" w:cs="仿宋_GB2312"/>
                <w:spacing w:val="-20"/>
                <w:sz w:val="24"/>
              </w:rPr>
            </w:pPr>
            <w:r>
              <w:rPr>
                <w:rFonts w:hint="eastAsia" w:ascii="仿宋_GB2312" w:hAnsi="仿宋_GB2312" w:eastAsia="仿宋_GB2312" w:cs="仿宋_GB2312"/>
                <w:spacing w:val="-20"/>
                <w:sz w:val="24"/>
              </w:rPr>
              <w:t>户年用气量</w:t>
            </w:r>
          </w:p>
          <w:p>
            <w:pPr>
              <w:spacing w:line="320" w:lineRule="exact"/>
              <w:jc w:val="center"/>
              <w:rPr>
                <w:rFonts w:ascii="仿宋_GB2312" w:hAnsi="仿宋_GB2312" w:eastAsia="仿宋_GB2312" w:cs="仿宋_GB2312"/>
                <w:spacing w:val="-20"/>
                <w:sz w:val="24"/>
              </w:rPr>
            </w:pPr>
            <w:r>
              <w:rPr>
                <w:rFonts w:hint="eastAsia" w:ascii="仿宋_GB2312" w:hAnsi="仿宋_GB2312" w:eastAsia="仿宋_GB2312" w:cs="仿宋_GB2312"/>
                <w:spacing w:val="-20"/>
                <w:sz w:val="24"/>
              </w:rPr>
              <w:t>（立方米/年户）</w:t>
            </w:r>
          </w:p>
        </w:tc>
        <w:tc>
          <w:tcPr>
            <w:tcW w:w="722" w:type="dxa"/>
            <w:vMerge w:val="restart"/>
            <w:vAlign w:val="center"/>
          </w:tcPr>
          <w:p>
            <w:pPr>
              <w:spacing w:line="320" w:lineRule="exact"/>
              <w:jc w:val="center"/>
              <w:rPr>
                <w:rFonts w:ascii="仿宋_GB2312" w:hAnsi="仿宋_GB2312" w:eastAsia="仿宋_GB2312" w:cs="仿宋_GB2312"/>
                <w:sz w:val="24"/>
              </w:rPr>
            </w:pPr>
            <w:r>
              <w:rPr>
                <w:rFonts w:hint="eastAsia" w:ascii="仿宋_GB2312" w:hAnsi="仿宋_GB2312" w:eastAsia="仿宋_GB2312" w:cs="仿宋_GB2312"/>
                <w:sz w:val="24"/>
              </w:rPr>
              <w:t>级差</w:t>
            </w:r>
          </w:p>
        </w:tc>
        <w:tc>
          <w:tcPr>
            <w:tcW w:w="3462" w:type="dxa"/>
            <w:vMerge w:val="restart"/>
            <w:vAlign w:val="center"/>
          </w:tcPr>
          <w:p>
            <w:pPr>
              <w:spacing w:line="320" w:lineRule="exact"/>
              <w:ind w:firstLine="360" w:firstLineChars="150"/>
              <w:jc w:val="center"/>
              <w:rPr>
                <w:rFonts w:ascii="仿宋_GB2312" w:hAnsi="仿宋_GB2312" w:eastAsia="仿宋_GB2312" w:cs="仿宋_GB2312"/>
                <w:sz w:val="24"/>
              </w:rPr>
            </w:pPr>
            <w:r>
              <w:rPr>
                <w:rFonts w:hint="eastAsia" w:ascii="仿宋_GB2312" w:hAnsi="仿宋_GB2312" w:eastAsia="仿宋_GB2312" w:cs="仿宋_GB2312"/>
                <w:sz w:val="24"/>
              </w:rPr>
              <w:t>价格</w:t>
            </w:r>
          </w:p>
          <w:p>
            <w:pPr>
              <w:spacing w:line="320" w:lineRule="exact"/>
              <w:ind w:firstLine="360" w:firstLineChars="150"/>
              <w:jc w:val="center"/>
              <w:rPr>
                <w:rFonts w:ascii="仿宋_GB2312" w:hAnsi="仿宋_GB2312" w:eastAsia="仿宋_GB2312" w:cs="仿宋_GB2312"/>
                <w:sz w:val="24"/>
              </w:rPr>
            </w:pPr>
            <w:r>
              <w:rPr>
                <w:rFonts w:hint="eastAsia" w:ascii="仿宋_GB2312" w:hAnsi="仿宋_GB2312" w:eastAsia="仿宋_GB2312" w:cs="仿宋_GB2312"/>
                <w:sz w:val="24"/>
              </w:rPr>
              <w:t>（元/立方米 含税）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69" w:type="dxa"/>
            <w:vMerge w:val="continue"/>
            <w:vAlign w:val="center"/>
          </w:tcPr>
          <w:p>
            <w:pPr>
              <w:spacing w:line="320" w:lineRule="exact"/>
              <w:jc w:val="center"/>
              <w:rPr>
                <w:rFonts w:ascii="仿宋_GB2312" w:hAnsi="仿宋_GB2312" w:eastAsia="仿宋_GB2312" w:cs="仿宋_GB2312"/>
                <w:sz w:val="24"/>
              </w:rPr>
            </w:pPr>
          </w:p>
        </w:tc>
        <w:tc>
          <w:tcPr>
            <w:tcW w:w="2144" w:type="dxa"/>
            <w:vAlign w:val="center"/>
          </w:tcPr>
          <w:p>
            <w:pPr>
              <w:spacing w:line="320" w:lineRule="exact"/>
              <w:jc w:val="center"/>
              <w:rPr>
                <w:rFonts w:ascii="仿宋_GB2312" w:hAnsi="仿宋_GB2312" w:eastAsia="仿宋_GB2312" w:cs="仿宋_GB2312"/>
                <w:spacing w:val="-20"/>
                <w:sz w:val="24"/>
              </w:rPr>
            </w:pPr>
            <w:r>
              <w:rPr>
                <w:rFonts w:hint="eastAsia" w:ascii="仿宋_GB2312" w:hAnsi="仿宋_GB2312" w:eastAsia="仿宋_GB2312" w:cs="仿宋_GB2312"/>
                <w:spacing w:val="-20"/>
                <w:sz w:val="24"/>
              </w:rPr>
              <w:t>居民</w:t>
            </w:r>
          </w:p>
        </w:tc>
        <w:tc>
          <w:tcPr>
            <w:tcW w:w="1666" w:type="dxa"/>
            <w:vAlign w:val="center"/>
          </w:tcPr>
          <w:p>
            <w:pPr>
              <w:spacing w:line="320" w:lineRule="exact"/>
              <w:jc w:val="center"/>
              <w:rPr>
                <w:rFonts w:ascii="仿宋_GB2312" w:hAnsi="仿宋_GB2312" w:eastAsia="仿宋_GB2312" w:cs="仿宋_GB2312"/>
                <w:spacing w:val="-20"/>
                <w:sz w:val="24"/>
              </w:rPr>
            </w:pPr>
            <w:r>
              <w:rPr>
                <w:rFonts w:hint="eastAsia" w:ascii="仿宋_GB2312" w:hAnsi="仿宋_GB2312" w:eastAsia="仿宋_GB2312" w:cs="仿宋_GB2312"/>
                <w:spacing w:val="-20"/>
                <w:sz w:val="24"/>
              </w:rPr>
              <w:t>壁挂炉</w:t>
            </w:r>
          </w:p>
        </w:tc>
        <w:tc>
          <w:tcPr>
            <w:tcW w:w="722" w:type="dxa"/>
            <w:vMerge w:val="continue"/>
            <w:vAlign w:val="center"/>
          </w:tcPr>
          <w:p>
            <w:pPr>
              <w:spacing w:line="320" w:lineRule="exact"/>
              <w:jc w:val="center"/>
              <w:rPr>
                <w:rFonts w:ascii="仿宋_GB2312" w:hAnsi="仿宋_GB2312" w:eastAsia="仿宋_GB2312" w:cs="仿宋_GB2312"/>
                <w:sz w:val="24"/>
              </w:rPr>
            </w:pPr>
          </w:p>
        </w:tc>
        <w:tc>
          <w:tcPr>
            <w:tcW w:w="3462" w:type="dxa"/>
            <w:vMerge w:val="continue"/>
            <w:vAlign w:val="center"/>
          </w:tcPr>
          <w:p>
            <w:pPr>
              <w:spacing w:line="280" w:lineRule="exact"/>
              <w:jc w:val="center"/>
              <w:rPr>
                <w:rFonts w:ascii="仿宋_GB2312" w:hAnsi="仿宋_GB2312" w:eastAsia="仿宋_GB2312" w:cs="仿宋_GB2312"/>
                <w:spacing w:val="6"/>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2" w:hRule="atLeast"/>
          <w:jc w:val="center"/>
        </w:trPr>
        <w:tc>
          <w:tcPr>
            <w:tcW w:w="969" w:type="dxa"/>
            <w:vAlign w:val="center"/>
          </w:tcPr>
          <w:p>
            <w:pPr>
              <w:spacing w:line="320" w:lineRule="exact"/>
              <w:jc w:val="center"/>
              <w:rPr>
                <w:rFonts w:ascii="仿宋_GB2312" w:hAnsi="仿宋_GB2312" w:eastAsia="仿宋_GB2312" w:cs="仿宋_GB2312"/>
                <w:sz w:val="24"/>
              </w:rPr>
            </w:pPr>
            <w:r>
              <w:rPr>
                <w:rFonts w:hint="eastAsia" w:ascii="仿宋_GB2312" w:hAnsi="仿宋_GB2312" w:eastAsia="仿宋_GB2312" w:cs="仿宋_GB2312"/>
                <w:sz w:val="24"/>
              </w:rPr>
              <w:t>第一档</w:t>
            </w:r>
          </w:p>
        </w:tc>
        <w:tc>
          <w:tcPr>
            <w:tcW w:w="2144" w:type="dxa"/>
            <w:vAlign w:val="center"/>
          </w:tcPr>
          <w:p>
            <w:pPr>
              <w:spacing w:line="320" w:lineRule="exact"/>
              <w:jc w:val="center"/>
              <w:rPr>
                <w:rFonts w:ascii="仿宋_GB2312" w:hAnsi="仿宋_GB2312" w:eastAsia="仿宋_GB2312" w:cs="仿宋_GB2312"/>
                <w:spacing w:val="-20"/>
                <w:sz w:val="24"/>
              </w:rPr>
            </w:pPr>
            <w:r>
              <w:rPr>
                <w:rFonts w:hint="eastAsia" w:ascii="仿宋_GB2312" w:hAnsi="仿宋_GB2312" w:eastAsia="仿宋_GB2312" w:cs="仿宋_GB2312"/>
                <w:spacing w:val="-20"/>
                <w:sz w:val="24"/>
              </w:rPr>
              <w:t>0—365（含）立方米</w:t>
            </w:r>
          </w:p>
          <w:p>
            <w:pPr>
              <w:spacing w:line="320" w:lineRule="exact"/>
              <w:jc w:val="center"/>
              <w:rPr>
                <w:rFonts w:ascii="仿宋_GB2312" w:hAnsi="仿宋_GB2312" w:eastAsia="仿宋_GB2312" w:cs="仿宋_GB2312"/>
                <w:spacing w:val="-20"/>
                <w:sz w:val="24"/>
              </w:rPr>
            </w:pPr>
            <w:r>
              <w:rPr>
                <w:rFonts w:hint="eastAsia" w:ascii="仿宋_GB2312" w:hAnsi="仿宋_GB2312" w:eastAsia="仿宋_GB2312" w:cs="仿宋_GB2312"/>
                <w:spacing w:val="-20"/>
                <w:sz w:val="24"/>
              </w:rPr>
              <w:t>内的部分</w:t>
            </w:r>
          </w:p>
        </w:tc>
        <w:tc>
          <w:tcPr>
            <w:tcW w:w="1666" w:type="dxa"/>
            <w:vAlign w:val="center"/>
          </w:tcPr>
          <w:p>
            <w:pPr>
              <w:spacing w:line="320" w:lineRule="exact"/>
              <w:jc w:val="center"/>
              <w:rPr>
                <w:rFonts w:ascii="仿宋_GB2312" w:hAnsi="仿宋_GB2312" w:eastAsia="仿宋_GB2312" w:cs="仿宋_GB2312"/>
                <w:spacing w:val="-20"/>
                <w:sz w:val="24"/>
              </w:rPr>
            </w:pPr>
            <w:r>
              <w:rPr>
                <w:rFonts w:hint="eastAsia" w:ascii="仿宋_GB2312" w:hAnsi="仿宋_GB2312" w:eastAsia="仿宋_GB2312" w:cs="仿宋_GB2312"/>
                <w:spacing w:val="-20"/>
                <w:sz w:val="24"/>
              </w:rPr>
              <w:t>0—3000（含）立方米内的部分</w:t>
            </w:r>
          </w:p>
        </w:tc>
        <w:tc>
          <w:tcPr>
            <w:tcW w:w="722" w:type="dxa"/>
            <w:vAlign w:val="center"/>
          </w:tcPr>
          <w:p>
            <w:pPr>
              <w:spacing w:line="320" w:lineRule="exact"/>
              <w:jc w:val="center"/>
              <w:rPr>
                <w:rFonts w:ascii="仿宋_GB2312" w:hAnsi="仿宋_GB2312" w:eastAsia="仿宋_GB2312" w:cs="仿宋_GB2312"/>
                <w:sz w:val="24"/>
              </w:rPr>
            </w:pPr>
            <w:r>
              <w:rPr>
                <w:rFonts w:hint="eastAsia" w:ascii="仿宋_GB2312" w:hAnsi="仿宋_GB2312" w:eastAsia="仿宋_GB2312" w:cs="仿宋_GB2312"/>
                <w:sz w:val="24"/>
              </w:rPr>
              <w:t>1</w:t>
            </w:r>
          </w:p>
        </w:tc>
        <w:tc>
          <w:tcPr>
            <w:tcW w:w="3462" w:type="dxa"/>
            <w:vAlign w:val="center"/>
          </w:tcPr>
          <w:p>
            <w:pPr>
              <w:spacing w:line="320" w:lineRule="exact"/>
              <w:jc w:val="center"/>
              <w:rPr>
                <w:rFonts w:hint="default" w:ascii="仿宋_GB2312" w:hAnsi="仿宋_GB2312" w:eastAsia="仿宋_GB2312" w:cs="仿宋_GB2312"/>
                <w:sz w:val="24"/>
                <w:lang w:val="en-US" w:eastAsia="zh-CN"/>
              </w:rPr>
            </w:pPr>
            <w:r>
              <w:rPr>
                <w:rFonts w:hint="eastAsia" w:ascii="仿宋_GB2312" w:hAnsi="仿宋_GB2312" w:eastAsia="仿宋_GB2312" w:cs="仿宋_GB2312"/>
                <w:sz w:val="24"/>
              </w:rPr>
              <w:t>2.</w:t>
            </w:r>
            <w:r>
              <w:rPr>
                <w:rFonts w:hint="eastAsia" w:ascii="仿宋_GB2312" w:hAnsi="仿宋_GB2312" w:eastAsia="仿宋_GB2312" w:cs="仿宋_GB2312"/>
                <w:sz w:val="24"/>
                <w:lang w:val="en-US" w:eastAsia="zh-CN"/>
              </w:rPr>
              <w:t>192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3" w:hRule="atLeast"/>
          <w:jc w:val="center"/>
        </w:trPr>
        <w:tc>
          <w:tcPr>
            <w:tcW w:w="969" w:type="dxa"/>
            <w:vAlign w:val="center"/>
          </w:tcPr>
          <w:p>
            <w:pPr>
              <w:spacing w:line="320" w:lineRule="exact"/>
              <w:jc w:val="center"/>
              <w:rPr>
                <w:rFonts w:ascii="仿宋_GB2312" w:hAnsi="仿宋_GB2312" w:eastAsia="仿宋_GB2312" w:cs="仿宋_GB2312"/>
                <w:sz w:val="24"/>
              </w:rPr>
            </w:pPr>
            <w:r>
              <w:rPr>
                <w:rFonts w:hint="eastAsia" w:ascii="仿宋_GB2312" w:hAnsi="仿宋_GB2312" w:eastAsia="仿宋_GB2312" w:cs="仿宋_GB2312"/>
                <w:sz w:val="24"/>
              </w:rPr>
              <w:t>第二档</w:t>
            </w:r>
          </w:p>
        </w:tc>
        <w:tc>
          <w:tcPr>
            <w:tcW w:w="2144" w:type="dxa"/>
            <w:vAlign w:val="center"/>
          </w:tcPr>
          <w:p>
            <w:pPr>
              <w:spacing w:line="320" w:lineRule="exact"/>
              <w:jc w:val="center"/>
              <w:rPr>
                <w:rFonts w:ascii="仿宋_GB2312" w:hAnsi="仿宋_GB2312" w:eastAsia="仿宋_GB2312" w:cs="仿宋_GB2312"/>
                <w:spacing w:val="-20"/>
                <w:sz w:val="24"/>
              </w:rPr>
            </w:pPr>
            <w:r>
              <w:rPr>
                <w:rFonts w:hint="eastAsia" w:ascii="仿宋_GB2312" w:hAnsi="仿宋_GB2312" w:eastAsia="仿宋_GB2312" w:cs="仿宋_GB2312"/>
                <w:spacing w:val="-20"/>
                <w:sz w:val="24"/>
              </w:rPr>
              <w:t>365—600（含）立方米内的部分</w:t>
            </w:r>
          </w:p>
        </w:tc>
        <w:tc>
          <w:tcPr>
            <w:tcW w:w="1666" w:type="dxa"/>
            <w:vAlign w:val="center"/>
          </w:tcPr>
          <w:p>
            <w:pPr>
              <w:spacing w:line="320" w:lineRule="exact"/>
              <w:jc w:val="center"/>
              <w:rPr>
                <w:rFonts w:ascii="仿宋_GB2312" w:hAnsi="仿宋_GB2312" w:eastAsia="仿宋_GB2312" w:cs="仿宋_GB2312"/>
                <w:spacing w:val="-20"/>
                <w:sz w:val="24"/>
              </w:rPr>
            </w:pPr>
            <w:r>
              <w:rPr>
                <w:rFonts w:hint="eastAsia" w:ascii="仿宋_GB2312" w:hAnsi="仿宋_GB2312" w:eastAsia="仿宋_GB2312" w:cs="仿宋_GB2312"/>
                <w:spacing w:val="-20"/>
                <w:sz w:val="24"/>
              </w:rPr>
              <w:t>3000—3300（含）立方米内的部分</w:t>
            </w:r>
          </w:p>
        </w:tc>
        <w:tc>
          <w:tcPr>
            <w:tcW w:w="722" w:type="dxa"/>
            <w:vAlign w:val="center"/>
          </w:tcPr>
          <w:p>
            <w:pPr>
              <w:spacing w:line="320" w:lineRule="exact"/>
              <w:jc w:val="center"/>
              <w:rPr>
                <w:rFonts w:ascii="仿宋_GB2312" w:hAnsi="仿宋_GB2312" w:eastAsia="仿宋_GB2312" w:cs="仿宋_GB2312"/>
                <w:sz w:val="24"/>
              </w:rPr>
            </w:pPr>
            <w:r>
              <w:rPr>
                <w:rFonts w:hint="eastAsia" w:ascii="仿宋_GB2312" w:hAnsi="仿宋_GB2312" w:eastAsia="仿宋_GB2312" w:cs="仿宋_GB2312"/>
                <w:sz w:val="24"/>
              </w:rPr>
              <w:t>1.2</w:t>
            </w:r>
          </w:p>
        </w:tc>
        <w:tc>
          <w:tcPr>
            <w:tcW w:w="3462" w:type="dxa"/>
            <w:vAlign w:val="center"/>
          </w:tcPr>
          <w:p>
            <w:pPr>
              <w:spacing w:line="320" w:lineRule="exact"/>
              <w:jc w:val="center"/>
              <w:rPr>
                <w:rFonts w:hint="default" w:ascii="仿宋_GB2312" w:hAnsi="仿宋_GB2312" w:eastAsia="仿宋_GB2312" w:cs="仿宋_GB2312"/>
                <w:sz w:val="24"/>
                <w:lang w:val="en-US" w:eastAsia="zh-CN"/>
              </w:rPr>
            </w:pPr>
            <w:r>
              <w:rPr>
                <w:rFonts w:hint="eastAsia" w:ascii="仿宋_GB2312" w:hAnsi="仿宋_GB2312" w:eastAsia="仿宋_GB2312" w:cs="仿宋_GB2312"/>
                <w:sz w:val="24"/>
              </w:rPr>
              <w:t>2.6</w:t>
            </w:r>
            <w:r>
              <w:rPr>
                <w:rFonts w:hint="eastAsia" w:ascii="仿宋_GB2312" w:hAnsi="仿宋_GB2312" w:eastAsia="仿宋_GB2312" w:cs="仿宋_GB2312"/>
                <w:sz w:val="24"/>
                <w:lang w:val="en-US" w:eastAsia="zh-CN"/>
              </w:rPr>
              <w:t>30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6" w:hRule="atLeast"/>
          <w:jc w:val="center"/>
        </w:trPr>
        <w:tc>
          <w:tcPr>
            <w:tcW w:w="969" w:type="dxa"/>
            <w:vAlign w:val="center"/>
          </w:tcPr>
          <w:p>
            <w:pPr>
              <w:spacing w:line="320" w:lineRule="exact"/>
              <w:jc w:val="center"/>
              <w:rPr>
                <w:rFonts w:ascii="仿宋_GB2312" w:hAnsi="仿宋_GB2312" w:eastAsia="仿宋_GB2312" w:cs="仿宋_GB2312"/>
                <w:sz w:val="24"/>
              </w:rPr>
            </w:pPr>
            <w:r>
              <w:rPr>
                <w:rFonts w:hint="eastAsia" w:ascii="仿宋_GB2312" w:hAnsi="仿宋_GB2312" w:eastAsia="仿宋_GB2312" w:cs="仿宋_GB2312"/>
                <w:sz w:val="24"/>
              </w:rPr>
              <w:t>第三档</w:t>
            </w:r>
          </w:p>
        </w:tc>
        <w:tc>
          <w:tcPr>
            <w:tcW w:w="2144" w:type="dxa"/>
            <w:vAlign w:val="center"/>
          </w:tcPr>
          <w:p>
            <w:pPr>
              <w:spacing w:line="320" w:lineRule="exact"/>
              <w:jc w:val="center"/>
              <w:rPr>
                <w:rFonts w:ascii="仿宋_GB2312" w:hAnsi="仿宋_GB2312" w:eastAsia="仿宋_GB2312" w:cs="仿宋_GB2312"/>
                <w:spacing w:val="-20"/>
                <w:sz w:val="24"/>
              </w:rPr>
            </w:pPr>
            <w:r>
              <w:rPr>
                <w:rFonts w:hint="eastAsia" w:ascii="仿宋_GB2312" w:hAnsi="仿宋_GB2312" w:eastAsia="仿宋_GB2312" w:cs="仿宋_GB2312"/>
                <w:spacing w:val="-20"/>
                <w:sz w:val="24"/>
              </w:rPr>
              <w:t>600立方米以上</w:t>
            </w:r>
          </w:p>
        </w:tc>
        <w:tc>
          <w:tcPr>
            <w:tcW w:w="1666" w:type="dxa"/>
            <w:vAlign w:val="center"/>
          </w:tcPr>
          <w:p>
            <w:pPr>
              <w:spacing w:line="320" w:lineRule="exact"/>
              <w:jc w:val="center"/>
              <w:rPr>
                <w:rFonts w:ascii="仿宋_GB2312" w:hAnsi="仿宋_GB2312" w:eastAsia="仿宋_GB2312" w:cs="仿宋_GB2312"/>
                <w:spacing w:val="-20"/>
                <w:sz w:val="24"/>
              </w:rPr>
            </w:pPr>
            <w:r>
              <w:rPr>
                <w:rFonts w:hint="eastAsia" w:ascii="仿宋_GB2312" w:hAnsi="仿宋_GB2312" w:eastAsia="仿宋_GB2312" w:cs="仿宋_GB2312"/>
                <w:spacing w:val="-20"/>
                <w:sz w:val="24"/>
              </w:rPr>
              <w:t>3300立方米以上</w:t>
            </w:r>
          </w:p>
        </w:tc>
        <w:tc>
          <w:tcPr>
            <w:tcW w:w="722" w:type="dxa"/>
            <w:vAlign w:val="center"/>
          </w:tcPr>
          <w:p>
            <w:pPr>
              <w:spacing w:line="320" w:lineRule="exact"/>
              <w:jc w:val="center"/>
              <w:rPr>
                <w:rFonts w:ascii="仿宋_GB2312" w:hAnsi="仿宋_GB2312" w:eastAsia="仿宋_GB2312" w:cs="仿宋_GB2312"/>
                <w:sz w:val="24"/>
              </w:rPr>
            </w:pPr>
            <w:r>
              <w:rPr>
                <w:rFonts w:hint="eastAsia" w:ascii="仿宋_GB2312" w:hAnsi="仿宋_GB2312" w:eastAsia="仿宋_GB2312" w:cs="仿宋_GB2312"/>
                <w:sz w:val="24"/>
              </w:rPr>
              <w:t>1.5</w:t>
            </w:r>
          </w:p>
        </w:tc>
        <w:tc>
          <w:tcPr>
            <w:tcW w:w="3462" w:type="dxa"/>
            <w:vAlign w:val="center"/>
          </w:tcPr>
          <w:p>
            <w:pPr>
              <w:spacing w:line="320" w:lineRule="exact"/>
              <w:jc w:val="center"/>
              <w:rPr>
                <w:rFonts w:hint="default" w:ascii="仿宋_GB2312" w:hAnsi="仿宋_GB2312" w:eastAsia="仿宋_GB2312" w:cs="仿宋_GB2312"/>
                <w:sz w:val="24"/>
                <w:lang w:val="en-US" w:eastAsia="zh-CN"/>
              </w:rPr>
            </w:pPr>
            <w:r>
              <w:rPr>
                <w:rFonts w:hint="eastAsia" w:ascii="仿宋_GB2312" w:hAnsi="仿宋_GB2312" w:eastAsia="仿宋_GB2312" w:cs="仿宋_GB2312"/>
                <w:sz w:val="24"/>
              </w:rPr>
              <w:t>3.</w:t>
            </w:r>
            <w:r>
              <w:rPr>
                <w:rFonts w:hint="eastAsia" w:ascii="仿宋_GB2312" w:hAnsi="仿宋_GB2312" w:eastAsia="仿宋_GB2312" w:cs="仿宋_GB2312"/>
                <w:sz w:val="24"/>
                <w:lang w:val="en-US" w:eastAsia="zh-CN"/>
              </w:rPr>
              <w:t>288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2" w:hRule="atLeast"/>
          <w:jc w:val="center"/>
        </w:trPr>
        <w:tc>
          <w:tcPr>
            <w:tcW w:w="5501" w:type="dxa"/>
            <w:gridSpan w:val="4"/>
            <w:vAlign w:val="center"/>
          </w:tcPr>
          <w:p>
            <w:pPr>
              <w:spacing w:line="320" w:lineRule="exact"/>
              <w:jc w:val="center"/>
              <w:rPr>
                <w:rFonts w:ascii="仿宋_GB2312" w:hAnsi="仿宋_GB2312" w:eastAsia="仿宋_GB2312" w:cs="仿宋_GB2312"/>
                <w:sz w:val="24"/>
              </w:rPr>
            </w:pPr>
            <w:r>
              <w:rPr>
                <w:rFonts w:hint="eastAsia" w:ascii="仿宋_GB2312" w:hAnsi="仿宋_GB2312" w:eastAsia="仿宋_GB2312" w:cs="仿宋_GB2312"/>
                <w:sz w:val="24"/>
              </w:rPr>
              <w:t>执行居民用气的非居民用户</w:t>
            </w:r>
          </w:p>
        </w:tc>
        <w:tc>
          <w:tcPr>
            <w:tcW w:w="3462" w:type="dxa"/>
            <w:vAlign w:val="center"/>
          </w:tcPr>
          <w:p>
            <w:pPr>
              <w:spacing w:line="320" w:lineRule="exact"/>
              <w:jc w:val="center"/>
              <w:rPr>
                <w:rFonts w:hint="default" w:ascii="仿宋_GB2312" w:hAnsi="仿宋_GB2312" w:eastAsia="仿宋_GB2312" w:cs="仿宋_GB2312"/>
                <w:sz w:val="24"/>
                <w:lang w:val="en-US" w:eastAsia="zh-CN"/>
              </w:rPr>
            </w:pPr>
            <w:r>
              <w:rPr>
                <w:rFonts w:hint="eastAsia" w:ascii="仿宋_GB2312" w:hAnsi="仿宋_GB2312" w:eastAsia="仿宋_GB2312" w:cs="仿宋_GB2312"/>
                <w:sz w:val="24"/>
              </w:rPr>
              <w:t>2.4</w:t>
            </w:r>
            <w:r>
              <w:rPr>
                <w:rFonts w:hint="eastAsia" w:ascii="仿宋_GB2312" w:hAnsi="仿宋_GB2312" w:eastAsia="仿宋_GB2312" w:cs="仿宋_GB2312"/>
                <w:sz w:val="24"/>
                <w:lang w:val="en-US" w:eastAsia="zh-CN"/>
              </w:rPr>
              <w:t>11</w:t>
            </w:r>
          </w:p>
        </w:tc>
      </w:tr>
    </w:tbl>
    <w:p>
      <w:pPr>
        <w:spacing w:line="560" w:lineRule="exact"/>
        <w:rPr>
          <w:rFonts w:hint="eastAsia" w:ascii="仿宋_GB2312" w:hAnsi="CESI仿宋-GB2312" w:eastAsia="仿宋_GB2312" w:cs="CESI仿宋-GB2312"/>
          <w:color w:val="000000"/>
          <w:kern w:val="0"/>
          <w:sz w:val="32"/>
          <w:szCs w:val="32"/>
          <w:lang w:eastAsia="zh-CN" w:bidi="ar"/>
        </w:rPr>
      </w:pPr>
    </w:p>
    <w:p>
      <w:pPr>
        <w:spacing w:line="560" w:lineRule="exact"/>
        <w:ind w:firstLine="640" w:firstLineChars="200"/>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lang w:eastAsia="zh-CN"/>
        </w:rPr>
        <w:t>三</w:t>
      </w:r>
      <w:r>
        <w:rPr>
          <w:rFonts w:hint="eastAsia" w:ascii="仿宋_GB2312" w:hAnsi="仿宋_GB2312" w:eastAsia="仿宋_GB2312" w:cs="仿宋_GB2312"/>
          <w:color w:val="000000"/>
          <w:sz w:val="32"/>
          <w:szCs w:val="32"/>
        </w:rPr>
        <w:t>、东胜区、康巴什区各城燃企业要于每月5日前向市</w:t>
      </w:r>
      <w:r>
        <w:rPr>
          <w:rFonts w:hint="eastAsia" w:ascii="仿宋_GB2312" w:hAnsi="仿宋_GB2312" w:eastAsia="仿宋_GB2312" w:cs="仿宋_GB2312"/>
          <w:color w:val="000000"/>
          <w:sz w:val="32"/>
          <w:szCs w:val="32"/>
          <w:lang w:eastAsia="zh-CN"/>
        </w:rPr>
        <w:t>、区</w:t>
      </w:r>
      <w:r>
        <w:rPr>
          <w:rFonts w:hint="eastAsia" w:ascii="仿宋_GB2312" w:hAnsi="仿宋_GB2312" w:eastAsia="仿宋_GB2312" w:cs="仿宋_GB2312"/>
          <w:color w:val="000000"/>
          <w:sz w:val="32"/>
          <w:szCs w:val="32"/>
        </w:rPr>
        <w:t>发改委报送上一月采购和销售的所有天然气价格</w:t>
      </w:r>
      <w:r>
        <w:rPr>
          <w:rFonts w:hint="eastAsia" w:ascii="仿宋_GB2312" w:hAnsi="仿宋_GB2312" w:eastAsia="仿宋_GB2312" w:cs="仿宋_GB2312"/>
          <w:color w:val="000000"/>
          <w:sz w:val="32"/>
          <w:szCs w:val="32"/>
          <w:lang w:eastAsia="zh-CN"/>
        </w:rPr>
        <w:t>等</w:t>
      </w:r>
      <w:r>
        <w:rPr>
          <w:rFonts w:hint="eastAsia" w:ascii="仿宋_GB2312" w:hAnsi="仿宋_GB2312" w:eastAsia="仿宋_GB2312" w:cs="仿宋_GB2312"/>
          <w:color w:val="000000"/>
          <w:sz w:val="32"/>
          <w:szCs w:val="32"/>
        </w:rPr>
        <w:t>信息，包括购气来源、购气结构、购气数量</w:t>
      </w:r>
      <w:r>
        <w:rPr>
          <w:rFonts w:hint="eastAsia" w:ascii="仿宋_GB2312" w:hAnsi="仿宋_GB2312" w:eastAsia="仿宋_GB2312" w:cs="仿宋_GB2312"/>
          <w:color w:val="000000"/>
          <w:sz w:val="32"/>
          <w:szCs w:val="32"/>
          <w:lang w:eastAsia="zh-CN"/>
        </w:rPr>
        <w:t>、</w:t>
      </w:r>
      <w:r>
        <w:rPr>
          <w:rFonts w:hint="eastAsia" w:ascii="仿宋_GB2312" w:hAnsi="仿宋_GB2312" w:eastAsia="仿宋_GB2312" w:cs="仿宋_GB2312"/>
          <w:color w:val="000000"/>
          <w:sz w:val="32"/>
          <w:szCs w:val="32"/>
        </w:rPr>
        <w:t>采购价格</w:t>
      </w:r>
      <w:r>
        <w:rPr>
          <w:rFonts w:hint="eastAsia" w:ascii="仿宋_GB2312" w:hAnsi="仿宋_GB2312" w:eastAsia="仿宋_GB2312" w:cs="仿宋_GB2312"/>
          <w:color w:val="000000"/>
          <w:sz w:val="32"/>
          <w:szCs w:val="32"/>
          <w:lang w:eastAsia="zh-CN"/>
        </w:rPr>
        <w:t>和</w:t>
      </w:r>
      <w:r>
        <w:rPr>
          <w:rFonts w:hint="eastAsia" w:ascii="仿宋_GB2312" w:hAnsi="仿宋_GB2312" w:eastAsia="仿宋_GB2312" w:cs="仿宋_GB2312"/>
          <w:sz w:val="32"/>
          <w:szCs w:val="32"/>
          <w:highlight w:val="none"/>
          <w:lang w:eastAsia="zh-CN"/>
        </w:rPr>
        <w:t>结算票据</w:t>
      </w:r>
      <w:r>
        <w:rPr>
          <w:rFonts w:hint="eastAsia" w:ascii="仿宋_GB2312" w:hAnsi="仿宋_GB2312" w:eastAsia="仿宋_GB2312" w:cs="仿宋_GB2312"/>
          <w:color w:val="000000"/>
          <w:sz w:val="32"/>
          <w:szCs w:val="32"/>
        </w:rPr>
        <w:t>，天然气分类销售量、分类占比、用户数量、销售单价、销售数量</w:t>
      </w:r>
      <w:r>
        <w:rPr>
          <w:rFonts w:hint="eastAsia" w:ascii="仿宋_GB2312" w:hAnsi="仿宋_GB2312" w:eastAsia="仿宋_GB2312" w:cs="仿宋_GB2312"/>
          <w:color w:val="000000"/>
          <w:sz w:val="32"/>
          <w:szCs w:val="32"/>
          <w:lang w:eastAsia="zh-CN"/>
        </w:rPr>
        <w:t>（预售销售数量、抄表销售数量）</w:t>
      </w:r>
      <w:r>
        <w:rPr>
          <w:rFonts w:hint="eastAsia" w:ascii="仿宋_GB2312" w:hAnsi="仿宋_GB2312" w:eastAsia="仿宋_GB2312" w:cs="仿宋_GB2312"/>
          <w:color w:val="000000"/>
          <w:sz w:val="32"/>
          <w:szCs w:val="32"/>
        </w:rPr>
        <w:t>、销售金额等信息。并在企业门户网站（如无网站可在营业场所）公布购气来源、购气结构、购气数量和采购价格。信息要保证全面、完整、真实、准确，对拒不公开、虚假公开及瞒报信息的，可视</w:t>
      </w:r>
      <w:r>
        <w:rPr>
          <w:rFonts w:hint="eastAsia" w:ascii="仿宋_GB2312" w:hAnsi="仿宋_GB2312" w:eastAsia="仿宋_GB2312" w:cs="仿宋_GB2312"/>
          <w:color w:val="000000"/>
          <w:sz w:val="32"/>
          <w:szCs w:val="32"/>
          <w:lang w:eastAsia="zh-CN"/>
        </w:rPr>
        <w:t>情况</w:t>
      </w:r>
      <w:r>
        <w:rPr>
          <w:rFonts w:hint="eastAsia" w:ascii="仿宋_GB2312" w:hAnsi="仿宋_GB2312" w:eastAsia="仿宋_GB2312" w:cs="仿宋_GB2312"/>
          <w:color w:val="000000"/>
          <w:sz w:val="32"/>
          <w:szCs w:val="32"/>
        </w:rPr>
        <w:t xml:space="preserve">采取约谈、通报、减少价格上调或加大下调幅度等措施。       </w:t>
      </w:r>
    </w:p>
    <w:p>
      <w:pPr>
        <w:spacing w:line="560" w:lineRule="exact"/>
        <w:ind w:firstLine="640" w:firstLineChars="200"/>
        <w:rPr>
          <w:rFonts w:hint="eastAsia" w:ascii="仿宋_GB2312" w:hAnsi="仿宋_GB2312" w:eastAsia="仿宋_GB2312" w:cs="仿宋_GB2312"/>
          <w:color w:val="000000"/>
          <w:sz w:val="32"/>
          <w:szCs w:val="32"/>
          <w:highlight w:val="none"/>
        </w:rPr>
      </w:pPr>
      <w:r>
        <w:rPr>
          <w:rFonts w:hint="eastAsia" w:ascii="仿宋_GB2312" w:hAnsi="仿宋_GB2312" w:eastAsia="仿宋_GB2312" w:cs="仿宋_GB2312"/>
          <w:color w:val="000000"/>
          <w:sz w:val="32"/>
          <w:szCs w:val="32"/>
          <w:lang w:eastAsia="zh-CN"/>
        </w:rPr>
        <w:t>四</w:t>
      </w:r>
      <w:r>
        <w:rPr>
          <w:rFonts w:hint="eastAsia" w:ascii="仿宋_GB2312" w:hAnsi="仿宋_GB2312" w:eastAsia="仿宋_GB2312" w:cs="仿宋_GB2312"/>
          <w:color w:val="000000"/>
          <w:sz w:val="32"/>
          <w:szCs w:val="32"/>
        </w:rPr>
        <w:t>、</w:t>
      </w:r>
      <w:r>
        <w:rPr>
          <w:rFonts w:hint="eastAsia" w:ascii="仿宋_GB2312" w:hAnsi="仿宋_GB2312" w:eastAsia="仿宋_GB2312" w:cs="仿宋_GB2312"/>
          <w:color w:val="000000"/>
          <w:sz w:val="32"/>
          <w:szCs w:val="32"/>
          <w:highlight w:val="none"/>
          <w:lang w:eastAsia="zh-CN"/>
        </w:rPr>
        <w:t>各燃气企业要确保天然气市场供应和价格调整平稳运行，严格执行天然气价格政策</w:t>
      </w:r>
      <w:r>
        <w:rPr>
          <w:rFonts w:hint="eastAsia" w:ascii="仿宋_GB2312" w:hAnsi="仿宋_GB2312" w:eastAsia="仿宋_GB2312" w:cs="仿宋_GB2312"/>
          <w:color w:val="000000"/>
          <w:sz w:val="32"/>
          <w:szCs w:val="32"/>
          <w:highlight w:val="none"/>
        </w:rPr>
        <w:t>。</w:t>
      </w:r>
    </w:p>
    <w:p>
      <w:pPr>
        <w:spacing w:line="560" w:lineRule="exact"/>
        <w:ind w:firstLine="640" w:firstLineChars="200"/>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highlight w:val="none"/>
          <w:lang w:eastAsia="zh-CN"/>
        </w:rPr>
        <w:t>五</w:t>
      </w:r>
      <w:r>
        <w:rPr>
          <w:rFonts w:hint="eastAsia" w:ascii="仿宋_GB2312" w:hAnsi="仿宋_GB2312" w:eastAsia="仿宋_GB2312" w:cs="仿宋_GB2312"/>
          <w:color w:val="000000"/>
          <w:sz w:val="32"/>
          <w:szCs w:val="32"/>
          <w:highlight w:val="none"/>
        </w:rPr>
        <w:t>、东胜区、康巴什区</w:t>
      </w:r>
      <w:r>
        <w:rPr>
          <w:rFonts w:hint="eastAsia" w:ascii="仿宋_GB2312" w:hAnsi="仿宋_GB2312" w:eastAsia="仿宋_GB2312" w:cs="仿宋_GB2312"/>
          <w:color w:val="000000"/>
          <w:sz w:val="32"/>
          <w:szCs w:val="32"/>
          <w:highlight w:val="none"/>
          <w:lang w:eastAsia="zh-CN"/>
        </w:rPr>
        <w:t>发改</w:t>
      </w:r>
      <w:r>
        <w:rPr>
          <w:rFonts w:hint="eastAsia" w:ascii="仿宋_GB2312" w:hAnsi="仿宋_GB2312" w:eastAsia="仿宋_GB2312" w:cs="仿宋_GB2312"/>
          <w:color w:val="000000"/>
          <w:sz w:val="32"/>
          <w:szCs w:val="32"/>
          <w:highlight w:val="none"/>
        </w:rPr>
        <w:t>部门</w:t>
      </w:r>
      <w:r>
        <w:rPr>
          <w:rFonts w:hint="eastAsia" w:ascii="仿宋_GB2312" w:hAnsi="仿宋_GB2312" w:eastAsia="仿宋_GB2312" w:cs="仿宋_GB2312"/>
          <w:color w:val="000000"/>
          <w:sz w:val="32"/>
          <w:szCs w:val="32"/>
        </w:rPr>
        <w:t>要进一步加强天然气价格管理，积极做好政策宣传解释工作，正面引导社会舆论，加大天然气价格监测力度，及时与市场监管部门通报情况，查处天然气价格违法行为。</w:t>
      </w:r>
    </w:p>
    <w:p>
      <w:pPr>
        <w:spacing w:line="560" w:lineRule="exact"/>
        <w:rPr>
          <w:rFonts w:hint="eastAsia" w:ascii="仿宋_GB2312" w:hAnsi="仿宋_GB2312" w:eastAsia="仿宋_GB2312" w:cs="仿宋_GB2312"/>
          <w:color w:val="000000"/>
          <w:sz w:val="32"/>
          <w:szCs w:val="32"/>
        </w:rPr>
      </w:pPr>
    </w:p>
    <w:p>
      <w:pPr>
        <w:spacing w:line="560" w:lineRule="exact"/>
        <w:rPr>
          <w:rFonts w:hint="eastAsia" w:ascii="仿宋_GB2312" w:hAnsi="仿宋_GB2312" w:eastAsia="仿宋_GB2312" w:cs="仿宋_GB2312"/>
          <w:color w:val="000000"/>
          <w:sz w:val="32"/>
          <w:szCs w:val="32"/>
        </w:rPr>
      </w:pPr>
    </w:p>
    <w:p>
      <w:pPr>
        <w:spacing w:line="360" w:lineRule="auto"/>
        <w:ind w:firstLine="4016" w:firstLineChars="1255"/>
        <w:rPr>
          <w:rFonts w:hint="eastAsia" w:ascii="仿宋_GB2312" w:eastAsia="仿宋_GB2312"/>
          <w:sz w:val="32"/>
          <w:szCs w:val="32"/>
        </w:rPr>
      </w:pPr>
    </w:p>
    <w:p>
      <w:pPr>
        <w:spacing w:line="360" w:lineRule="auto"/>
        <w:ind w:firstLine="4016" w:firstLineChars="1255"/>
        <w:rPr>
          <w:rFonts w:hint="eastAsia" w:ascii="仿宋_GB2312" w:eastAsia="仿宋_GB2312"/>
          <w:sz w:val="32"/>
          <w:szCs w:val="32"/>
        </w:rPr>
      </w:pPr>
      <w:r>
        <w:rPr>
          <w:rFonts w:hint="eastAsia" w:ascii="仿宋_GB2312" w:eastAsia="仿宋_GB2312"/>
          <w:sz w:val="32"/>
          <w:szCs w:val="32"/>
        </w:rPr>
        <w:t>鄂尔多斯市发展和改革委员会</w:t>
      </w:r>
    </w:p>
    <w:p>
      <w:pPr>
        <w:spacing w:line="360" w:lineRule="auto"/>
        <w:ind w:firstLine="4820"/>
        <w:rPr>
          <w:rFonts w:hint="eastAsia" w:ascii="仿宋_GB2312" w:eastAsia="仿宋_GB2312"/>
          <w:sz w:val="32"/>
          <w:szCs w:val="32"/>
        </w:rPr>
      </w:pPr>
      <w:r>
        <w:rPr>
          <w:rFonts w:hint="eastAsia" w:ascii="仿宋_GB2312" w:eastAsia="仿宋_GB2312"/>
          <w:sz w:val="32"/>
          <w:szCs w:val="32"/>
        </w:rPr>
        <w:t>202</w:t>
      </w:r>
      <w:r>
        <w:rPr>
          <w:rFonts w:hint="eastAsia" w:ascii="仿宋_GB2312" w:eastAsia="仿宋_GB2312"/>
          <w:sz w:val="32"/>
          <w:szCs w:val="32"/>
          <w:lang w:val="en-US" w:eastAsia="zh-CN"/>
        </w:rPr>
        <w:t>4</w:t>
      </w:r>
      <w:r>
        <w:rPr>
          <w:rFonts w:hint="eastAsia" w:ascii="仿宋_GB2312" w:eastAsia="仿宋_GB2312"/>
          <w:sz w:val="32"/>
          <w:szCs w:val="32"/>
        </w:rPr>
        <w:t>年</w:t>
      </w:r>
      <w:r>
        <w:rPr>
          <w:rFonts w:hint="eastAsia" w:ascii="仿宋_GB2312" w:eastAsia="仿宋_GB2312"/>
          <w:sz w:val="32"/>
          <w:szCs w:val="32"/>
          <w:lang w:val="en-US" w:eastAsia="zh-CN"/>
        </w:rPr>
        <w:t>5</w:t>
      </w:r>
      <w:r>
        <w:rPr>
          <w:rFonts w:hint="eastAsia" w:ascii="仿宋_GB2312" w:eastAsia="仿宋_GB2312"/>
          <w:sz w:val="32"/>
          <w:szCs w:val="32"/>
        </w:rPr>
        <w:t>月</w:t>
      </w:r>
      <w:r>
        <w:rPr>
          <w:rFonts w:hint="eastAsia" w:ascii="仿宋_GB2312" w:eastAsia="仿宋_GB2312"/>
          <w:sz w:val="32"/>
          <w:szCs w:val="32"/>
          <w:lang w:val="en-US" w:eastAsia="zh-CN"/>
        </w:rPr>
        <w:t>8</w:t>
      </w:r>
      <w:r>
        <w:rPr>
          <w:rFonts w:hint="eastAsia" w:ascii="仿宋_GB2312" w:eastAsia="仿宋_GB2312"/>
          <w:sz w:val="32"/>
          <w:szCs w:val="32"/>
        </w:rPr>
        <w:t>日</w:t>
      </w:r>
    </w:p>
    <w:p>
      <w:pPr>
        <w:spacing w:line="360" w:lineRule="auto"/>
        <w:ind w:firstLine="640"/>
        <w:rPr>
          <w:rFonts w:ascii="仿宋_GB2312" w:eastAsia="仿宋_GB2312"/>
          <w:sz w:val="32"/>
          <w:szCs w:val="32"/>
        </w:rPr>
      </w:pPr>
    </w:p>
    <w:p>
      <w:pPr>
        <w:spacing w:line="360" w:lineRule="auto"/>
        <w:ind w:firstLine="640"/>
        <w:rPr>
          <w:rFonts w:ascii="仿宋_GB2312" w:eastAsia="仿宋_GB2312"/>
          <w:sz w:val="32"/>
          <w:szCs w:val="32"/>
        </w:rPr>
      </w:pPr>
    </w:p>
    <w:p>
      <w:pPr>
        <w:spacing w:line="360" w:lineRule="auto"/>
        <w:ind w:firstLine="640"/>
        <w:rPr>
          <w:rFonts w:ascii="仿宋_GB2312" w:eastAsia="仿宋_GB2312"/>
          <w:sz w:val="32"/>
          <w:szCs w:val="32"/>
        </w:rPr>
      </w:pPr>
    </w:p>
    <w:p>
      <w:pPr>
        <w:rPr>
          <w:rFonts w:ascii="仿宋_GB2312" w:hAnsi="仿宋" w:eastAsia="仿宋_GB2312"/>
          <w:bCs/>
          <w:sz w:val="32"/>
          <w:szCs w:val="32"/>
        </w:rPr>
      </w:pPr>
    </w:p>
    <w:sectPr>
      <w:footerReference r:id="rId3" w:type="default"/>
      <w:footerReference r:id="rId4" w:type="even"/>
      <w:pgSz w:w="11906" w:h="16838"/>
      <w:pgMar w:top="2098" w:right="1474" w:bottom="1985" w:left="1588" w:header="851" w:footer="1474"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panose1 w:val="020F0502020204030204"/>
    <w:charset w:val="00"/>
    <w:family w:val="swiss"/>
    <w:pitch w:val="default"/>
    <w:sig w:usb0="E10002FF" w:usb1="4000ACFF" w:usb2="00000009" w:usb3="00000000" w:csb0="2000019F" w:csb1="00000000"/>
  </w:font>
  <w:font w:name="仿宋_GB2312">
    <w:panose1 w:val="02010609030101010101"/>
    <w:charset w:val="86"/>
    <w:family w:val="auto"/>
    <w:pitch w:val="default"/>
    <w:sig w:usb0="00000001" w:usb1="080E0000" w:usb2="00000000" w:usb3="00000000" w:csb0="00040000" w:csb1="00000000"/>
  </w:font>
  <w:font w:name="Tahoma">
    <w:panose1 w:val="020B0604030504040204"/>
    <w:charset w:val="00"/>
    <w:family w:val="swiss"/>
    <w:pitch w:val="default"/>
    <w:sig w:usb0="E1002EFF" w:usb1="C000605B" w:usb2="00000029" w:usb3="00000000" w:csb0="200101FF" w:csb1="20280000"/>
  </w:font>
  <w:font w:name="方正小标宋简体">
    <w:panose1 w:val="03000509000000000000"/>
    <w:charset w:val="86"/>
    <w:family w:val="auto"/>
    <w:pitch w:val="default"/>
    <w:sig w:usb0="00000001" w:usb1="080E0000" w:usb2="00000000" w:usb3="00000000" w:csb0="00040000" w:csb1="00000000"/>
  </w:font>
  <w:font w:name="CESI仿宋-GB2312">
    <w:panose1 w:val="02000500000000000000"/>
    <w:charset w:val="86"/>
    <w:family w:val="auto"/>
    <w:pitch w:val="default"/>
    <w:sig w:usb0="800002AF" w:usb1="084F6CF8" w:usb2="00000010" w:usb3="00000000" w:csb0="0004000F" w:csb1="00000000"/>
  </w:font>
  <w:font w:name="仿宋">
    <w:panose1 w:val="02010609060101010101"/>
    <w:charset w:val="86"/>
    <w:family w:val="modern"/>
    <w:pitch w:val="default"/>
    <w:sig w:usb0="800002BF" w:usb1="38CF7CFA" w:usb2="00000016" w:usb3="00000000" w:csb0="00040001" w:csb1="00000000"/>
  </w:font>
  <w:font w:name="文泉驿微米黑">
    <w:panose1 w:val="020B0606030804020204"/>
    <w:charset w:val="86"/>
    <w:family w:val="auto"/>
    <w:pitch w:val="default"/>
    <w:sig w:usb0="E10002EF" w:usb1="6BDFFCFB" w:usb2="00800036" w:usb3="00000000" w:csb0="603E01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framePr w:w="1439" w:wrap="around" w:vAnchor="text" w:hAnchor="page" w:x="8789" w:y="-168"/>
      <w:rPr>
        <w:rStyle w:val="13"/>
        <w:rFonts w:ascii="宋体" w:hAnsi="宋体"/>
        <w:spacing w:val="16"/>
        <w:sz w:val="28"/>
        <w:szCs w:val="28"/>
      </w:rPr>
    </w:pPr>
    <w:r>
      <w:rPr>
        <w:rStyle w:val="13"/>
        <w:rFonts w:hint="eastAsia" w:ascii="宋体" w:hAnsi="宋体"/>
        <w:spacing w:val="16"/>
        <w:sz w:val="28"/>
        <w:szCs w:val="28"/>
      </w:rPr>
      <w:t xml:space="preserve">— </w:t>
    </w:r>
    <w:r>
      <w:rPr>
        <w:rStyle w:val="13"/>
        <w:rFonts w:ascii="宋体" w:hAnsi="宋体"/>
        <w:spacing w:val="16"/>
        <w:sz w:val="28"/>
        <w:szCs w:val="28"/>
      </w:rPr>
      <w:fldChar w:fldCharType="begin"/>
    </w:r>
    <w:r>
      <w:rPr>
        <w:rStyle w:val="13"/>
        <w:rFonts w:ascii="宋体" w:hAnsi="宋体"/>
        <w:spacing w:val="16"/>
        <w:sz w:val="28"/>
        <w:szCs w:val="28"/>
      </w:rPr>
      <w:instrText xml:space="preserve">PAGE  </w:instrText>
    </w:r>
    <w:r>
      <w:rPr>
        <w:rStyle w:val="13"/>
        <w:rFonts w:ascii="宋体" w:hAnsi="宋体"/>
        <w:spacing w:val="16"/>
        <w:sz w:val="28"/>
        <w:szCs w:val="28"/>
      </w:rPr>
      <w:fldChar w:fldCharType="separate"/>
    </w:r>
    <w:r>
      <w:rPr>
        <w:rStyle w:val="13"/>
        <w:rFonts w:ascii="宋体" w:hAnsi="宋体"/>
        <w:spacing w:val="16"/>
        <w:sz w:val="28"/>
        <w:szCs w:val="28"/>
      </w:rPr>
      <w:t>3</w:t>
    </w:r>
    <w:r>
      <w:rPr>
        <w:rStyle w:val="13"/>
        <w:rFonts w:ascii="宋体" w:hAnsi="宋体"/>
        <w:spacing w:val="16"/>
        <w:sz w:val="28"/>
        <w:szCs w:val="28"/>
      </w:rPr>
      <w:fldChar w:fldCharType="end"/>
    </w:r>
    <w:r>
      <w:rPr>
        <w:rStyle w:val="13"/>
        <w:rFonts w:hint="eastAsia" w:ascii="宋体" w:hAnsi="宋体"/>
        <w:spacing w:val="16"/>
        <w:sz w:val="28"/>
        <w:szCs w:val="28"/>
      </w:rPr>
      <w:t xml:space="preserve"> —  </w:t>
    </w:r>
  </w:p>
  <w:p>
    <w:pPr>
      <w:pStyle w:val="5"/>
      <w:framePr w:wrap="around" w:vAnchor="text" w:hAnchor="margin" w:xAlign="inside" w:y="1"/>
      <w:ind w:right="360" w:firstLine="360"/>
      <w:rPr>
        <w:sz w:val="28"/>
      </w:rPr>
    </w:pPr>
    <w:r>
      <w:rPr>
        <w:rFonts w:hint="eastAsia"/>
        <w:kern w:val="0"/>
        <w:sz w:val="28"/>
        <w:szCs w:val="21"/>
      </w:rP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framePr w:wrap="around" w:vAnchor="text" w:hAnchor="margin" w:xAlign="outside" w:y="1"/>
      <w:ind w:firstLine="312" w:firstLineChars="100"/>
      <w:rPr>
        <w:rStyle w:val="13"/>
        <w:rFonts w:ascii="宋体" w:hAnsi="宋体"/>
        <w:spacing w:val="16"/>
        <w:sz w:val="28"/>
        <w:szCs w:val="28"/>
      </w:rPr>
    </w:pPr>
    <w:r>
      <w:rPr>
        <w:rStyle w:val="13"/>
        <w:rFonts w:hint="eastAsia" w:ascii="宋体" w:hAnsi="宋体"/>
        <w:spacing w:val="16"/>
        <w:sz w:val="28"/>
        <w:szCs w:val="28"/>
      </w:rPr>
      <w:t xml:space="preserve">— </w:t>
    </w:r>
    <w:r>
      <w:rPr>
        <w:rStyle w:val="13"/>
        <w:rFonts w:ascii="宋体" w:hAnsi="宋体"/>
        <w:spacing w:val="16"/>
        <w:sz w:val="28"/>
        <w:szCs w:val="28"/>
      </w:rPr>
      <w:fldChar w:fldCharType="begin"/>
    </w:r>
    <w:r>
      <w:rPr>
        <w:rStyle w:val="13"/>
        <w:rFonts w:ascii="宋体" w:hAnsi="宋体"/>
        <w:spacing w:val="16"/>
        <w:sz w:val="28"/>
        <w:szCs w:val="28"/>
      </w:rPr>
      <w:instrText xml:space="preserve">PAGE  </w:instrText>
    </w:r>
    <w:r>
      <w:rPr>
        <w:rStyle w:val="13"/>
        <w:rFonts w:ascii="宋体" w:hAnsi="宋体"/>
        <w:spacing w:val="16"/>
        <w:sz w:val="28"/>
        <w:szCs w:val="28"/>
      </w:rPr>
      <w:fldChar w:fldCharType="separate"/>
    </w:r>
    <w:r>
      <w:rPr>
        <w:rStyle w:val="13"/>
        <w:rFonts w:ascii="宋体" w:hAnsi="宋体"/>
        <w:spacing w:val="16"/>
        <w:sz w:val="28"/>
        <w:szCs w:val="28"/>
      </w:rPr>
      <w:t>4</w:t>
    </w:r>
    <w:r>
      <w:rPr>
        <w:rStyle w:val="13"/>
        <w:rFonts w:ascii="宋体" w:hAnsi="宋体"/>
        <w:spacing w:val="16"/>
        <w:sz w:val="28"/>
        <w:szCs w:val="28"/>
      </w:rPr>
      <w:fldChar w:fldCharType="end"/>
    </w:r>
    <w:r>
      <w:rPr>
        <w:rStyle w:val="13"/>
        <w:rFonts w:hint="eastAsia" w:ascii="宋体" w:hAnsi="宋体"/>
        <w:spacing w:val="16"/>
        <w:sz w:val="28"/>
        <w:szCs w:val="28"/>
      </w:rPr>
      <w:t xml:space="preserve"> —</w:t>
    </w:r>
  </w:p>
  <w:p>
    <w:pPr>
      <w:pStyle w:val="5"/>
      <w:ind w:right="360"/>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true"/>
  <w:bordersDoNotSurroundFooter w:val="tru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attachedTemplate r:id="rId1"/>
  <w:documentProtection w:enforcement="0"/>
  <w:defaultTabStop w:val="420"/>
  <w:evenAndOddHeaders w:val="true"/>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applyBreaking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D6A59"/>
    <w:rsid w:val="00000FBF"/>
    <w:rsid w:val="00004B53"/>
    <w:rsid w:val="00030824"/>
    <w:rsid w:val="00035BE4"/>
    <w:rsid w:val="00083FF0"/>
    <w:rsid w:val="000C0474"/>
    <w:rsid w:val="000C2045"/>
    <w:rsid w:val="000C2726"/>
    <w:rsid w:val="000F445F"/>
    <w:rsid w:val="000F6815"/>
    <w:rsid w:val="00112B9F"/>
    <w:rsid w:val="00140466"/>
    <w:rsid w:val="00191088"/>
    <w:rsid w:val="00195FF9"/>
    <w:rsid w:val="001E260D"/>
    <w:rsid w:val="00214212"/>
    <w:rsid w:val="00237E93"/>
    <w:rsid w:val="00244099"/>
    <w:rsid w:val="002507CC"/>
    <w:rsid w:val="0025676F"/>
    <w:rsid w:val="002736E5"/>
    <w:rsid w:val="002A5081"/>
    <w:rsid w:val="002D4B5A"/>
    <w:rsid w:val="002F1FD5"/>
    <w:rsid w:val="002F5AD1"/>
    <w:rsid w:val="002F79F9"/>
    <w:rsid w:val="00303919"/>
    <w:rsid w:val="00305983"/>
    <w:rsid w:val="00330E87"/>
    <w:rsid w:val="003345B2"/>
    <w:rsid w:val="00347968"/>
    <w:rsid w:val="00355675"/>
    <w:rsid w:val="00376B3D"/>
    <w:rsid w:val="003A23F3"/>
    <w:rsid w:val="003A7F87"/>
    <w:rsid w:val="003B3B6E"/>
    <w:rsid w:val="003B5658"/>
    <w:rsid w:val="003C0EC8"/>
    <w:rsid w:val="003F0E5F"/>
    <w:rsid w:val="0040472B"/>
    <w:rsid w:val="00422F2D"/>
    <w:rsid w:val="0042661B"/>
    <w:rsid w:val="004731A5"/>
    <w:rsid w:val="00487496"/>
    <w:rsid w:val="00494344"/>
    <w:rsid w:val="004950C6"/>
    <w:rsid w:val="004C4A87"/>
    <w:rsid w:val="00530B4C"/>
    <w:rsid w:val="00532CA1"/>
    <w:rsid w:val="00535238"/>
    <w:rsid w:val="00554895"/>
    <w:rsid w:val="00555E12"/>
    <w:rsid w:val="00581906"/>
    <w:rsid w:val="0058646F"/>
    <w:rsid w:val="005A7BCB"/>
    <w:rsid w:val="005E077F"/>
    <w:rsid w:val="006013DE"/>
    <w:rsid w:val="0063186E"/>
    <w:rsid w:val="00651BD0"/>
    <w:rsid w:val="006579E3"/>
    <w:rsid w:val="0066082E"/>
    <w:rsid w:val="006B0A4F"/>
    <w:rsid w:val="006E5A1A"/>
    <w:rsid w:val="006F697A"/>
    <w:rsid w:val="007400A5"/>
    <w:rsid w:val="007469BE"/>
    <w:rsid w:val="00750B96"/>
    <w:rsid w:val="007531FF"/>
    <w:rsid w:val="00756826"/>
    <w:rsid w:val="007A5DB3"/>
    <w:rsid w:val="007D3FCE"/>
    <w:rsid w:val="007E0D65"/>
    <w:rsid w:val="007F12C3"/>
    <w:rsid w:val="00811170"/>
    <w:rsid w:val="0082198A"/>
    <w:rsid w:val="00830DD2"/>
    <w:rsid w:val="00851584"/>
    <w:rsid w:val="008529F3"/>
    <w:rsid w:val="00867D15"/>
    <w:rsid w:val="008950AB"/>
    <w:rsid w:val="008C3ABB"/>
    <w:rsid w:val="008E4992"/>
    <w:rsid w:val="008F7009"/>
    <w:rsid w:val="00925136"/>
    <w:rsid w:val="00930F6C"/>
    <w:rsid w:val="00954249"/>
    <w:rsid w:val="00982E00"/>
    <w:rsid w:val="009C67BA"/>
    <w:rsid w:val="00A030E4"/>
    <w:rsid w:val="00A2186A"/>
    <w:rsid w:val="00A30AC3"/>
    <w:rsid w:val="00A63220"/>
    <w:rsid w:val="00A70E37"/>
    <w:rsid w:val="00A770AE"/>
    <w:rsid w:val="00AA1074"/>
    <w:rsid w:val="00AD688A"/>
    <w:rsid w:val="00B0261B"/>
    <w:rsid w:val="00B72611"/>
    <w:rsid w:val="00B755C9"/>
    <w:rsid w:val="00B8091E"/>
    <w:rsid w:val="00B95EC9"/>
    <w:rsid w:val="00BD1D21"/>
    <w:rsid w:val="00BF1A49"/>
    <w:rsid w:val="00BF3DA4"/>
    <w:rsid w:val="00C23404"/>
    <w:rsid w:val="00C31395"/>
    <w:rsid w:val="00C3306B"/>
    <w:rsid w:val="00C47ADD"/>
    <w:rsid w:val="00C90E9B"/>
    <w:rsid w:val="00CA0F27"/>
    <w:rsid w:val="00CB1EEE"/>
    <w:rsid w:val="00CD15A0"/>
    <w:rsid w:val="00D01DD5"/>
    <w:rsid w:val="00D04F52"/>
    <w:rsid w:val="00D23454"/>
    <w:rsid w:val="00D41E1F"/>
    <w:rsid w:val="00D44185"/>
    <w:rsid w:val="00D442F7"/>
    <w:rsid w:val="00D471C1"/>
    <w:rsid w:val="00D94E3D"/>
    <w:rsid w:val="00DA2CEE"/>
    <w:rsid w:val="00E10EA3"/>
    <w:rsid w:val="00E13B1D"/>
    <w:rsid w:val="00E15BB6"/>
    <w:rsid w:val="00E837EE"/>
    <w:rsid w:val="00EA341C"/>
    <w:rsid w:val="00EA4312"/>
    <w:rsid w:val="00ED7C26"/>
    <w:rsid w:val="00F07F09"/>
    <w:rsid w:val="00F4067A"/>
    <w:rsid w:val="00F407A7"/>
    <w:rsid w:val="00F411C2"/>
    <w:rsid w:val="00F75486"/>
    <w:rsid w:val="00FA6C84"/>
    <w:rsid w:val="00FC6B2D"/>
    <w:rsid w:val="00FD6A59"/>
    <w:rsid w:val="00FE3038"/>
    <w:rsid w:val="1FF1813E"/>
    <w:rsid w:val="2F39C2C6"/>
    <w:rsid w:val="2FFD7272"/>
    <w:rsid w:val="307A1D05"/>
    <w:rsid w:val="333691A1"/>
    <w:rsid w:val="392733BF"/>
    <w:rsid w:val="3C0F52FC"/>
    <w:rsid w:val="3CF6C3C0"/>
    <w:rsid w:val="3EFC7440"/>
    <w:rsid w:val="3FCF4EE8"/>
    <w:rsid w:val="3FD380D9"/>
    <w:rsid w:val="458F2063"/>
    <w:rsid w:val="465F76E3"/>
    <w:rsid w:val="4DF2E7AD"/>
    <w:rsid w:val="51DD6865"/>
    <w:rsid w:val="57FF3113"/>
    <w:rsid w:val="5FEF72BA"/>
    <w:rsid w:val="5FFB81D0"/>
    <w:rsid w:val="5FFCD0B2"/>
    <w:rsid w:val="5FFDE73E"/>
    <w:rsid w:val="635F4002"/>
    <w:rsid w:val="657EC7AF"/>
    <w:rsid w:val="6DF73D02"/>
    <w:rsid w:val="6F7A0B8C"/>
    <w:rsid w:val="6FDD56DA"/>
    <w:rsid w:val="6FFB7E08"/>
    <w:rsid w:val="74DBABC4"/>
    <w:rsid w:val="75FDAECE"/>
    <w:rsid w:val="776F27A9"/>
    <w:rsid w:val="779DB5F5"/>
    <w:rsid w:val="779EFE53"/>
    <w:rsid w:val="77BF4566"/>
    <w:rsid w:val="79DB0CB7"/>
    <w:rsid w:val="7AFFD993"/>
    <w:rsid w:val="7BB75B4C"/>
    <w:rsid w:val="7DD293B2"/>
    <w:rsid w:val="7EFE802F"/>
    <w:rsid w:val="7F656A8C"/>
    <w:rsid w:val="7F7B0C33"/>
    <w:rsid w:val="7FB701A1"/>
    <w:rsid w:val="7FEC882D"/>
    <w:rsid w:val="7FF60FFB"/>
    <w:rsid w:val="7FFB4619"/>
    <w:rsid w:val="7FFF380E"/>
    <w:rsid w:val="9FBD14AD"/>
    <w:rsid w:val="ADEECD60"/>
    <w:rsid w:val="BE9FF7C9"/>
    <w:rsid w:val="BEC6E385"/>
    <w:rsid w:val="BFA77931"/>
    <w:rsid w:val="BFF7A399"/>
    <w:rsid w:val="BFFF1F59"/>
    <w:rsid w:val="DAFB3B47"/>
    <w:rsid w:val="DBFD374D"/>
    <w:rsid w:val="DEA25113"/>
    <w:rsid w:val="DFDC4E90"/>
    <w:rsid w:val="E76F5AB6"/>
    <w:rsid w:val="E77F78A3"/>
    <w:rsid w:val="E9E6CCFA"/>
    <w:rsid w:val="ED47FDCA"/>
    <w:rsid w:val="EDBCADB0"/>
    <w:rsid w:val="EF8F2261"/>
    <w:rsid w:val="EFBF1A9B"/>
    <w:rsid w:val="F0EF30DD"/>
    <w:rsid w:val="F55BF5D7"/>
    <w:rsid w:val="FBDF2CE4"/>
    <w:rsid w:val="FDAABFD5"/>
    <w:rsid w:val="FDB67FC2"/>
    <w:rsid w:val="FDBEDCBD"/>
    <w:rsid w:val="FDDB3BCA"/>
    <w:rsid w:val="FF9F8626"/>
    <w:rsid w:val="FFD32C00"/>
    <w:rsid w:val="FFF6790F"/>
    <w:rsid w:val="FFF70A0F"/>
    <w:rsid w:val="FFFE4773"/>
    <w:rsid w:val="FFFFC76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nhideWhenUsed="0" w:uiPriority="0" w:semiHidden="0" w:name="header"/>
    <w:lsdException w:qFormat="1" w:unhideWhenUsed="0"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uiPriority="99" w:name="Body Text First Indent"/>
    <w:lsdException w:uiPriority="99" w:name="Body Text First Indent 2"/>
    <w:lsdException w:uiPriority="99" w:name="Note Heading"/>
    <w:lsdException w:qFormat="1" w:unhideWhenUsed="0" w:uiPriority="0" w:semiHidden="0"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sdException w:qFormat="1" w:unhideWhenUsed="0" w:uiPriority="20" w:semiHidden="0" w:name="Emphasis"/>
    <w:lsdException w:qFormat="1" w:unhideWhenUsed="0" w:uiPriority="0"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nhideWhenUsed="0" w:uiPriority="0" w:semiHidden="0"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11">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2">
    <w:name w:val="Document Map"/>
    <w:basedOn w:val="1"/>
    <w:semiHidden/>
    <w:qFormat/>
    <w:uiPriority w:val="0"/>
    <w:pPr>
      <w:shd w:val="clear" w:color="auto" w:fill="000080"/>
    </w:pPr>
  </w:style>
  <w:style w:type="paragraph" w:styleId="3">
    <w:name w:val="Date"/>
    <w:basedOn w:val="1"/>
    <w:next w:val="1"/>
    <w:qFormat/>
    <w:uiPriority w:val="0"/>
    <w:pPr>
      <w:ind w:left="100" w:leftChars="2500"/>
    </w:pPr>
    <w:rPr>
      <w:rFonts w:eastAsia="仿宋_GB2312"/>
      <w:sz w:val="32"/>
    </w:rPr>
  </w:style>
  <w:style w:type="paragraph" w:styleId="4">
    <w:name w:val="Balloon Text"/>
    <w:basedOn w:val="1"/>
    <w:semiHidden/>
    <w:qFormat/>
    <w:uiPriority w:val="0"/>
    <w:rPr>
      <w:sz w:val="18"/>
      <w:szCs w:val="18"/>
    </w:rPr>
  </w:style>
  <w:style w:type="paragraph" w:styleId="5">
    <w:name w:val="footer"/>
    <w:basedOn w:val="1"/>
    <w:qFormat/>
    <w:uiPriority w:val="0"/>
    <w:pPr>
      <w:tabs>
        <w:tab w:val="center" w:pos="4153"/>
        <w:tab w:val="right" w:pos="8306"/>
      </w:tabs>
      <w:snapToGrid w:val="0"/>
      <w:jc w:val="left"/>
    </w:pPr>
    <w:rPr>
      <w:sz w:val="18"/>
      <w:szCs w:val="18"/>
    </w:rPr>
  </w:style>
  <w:style w:type="paragraph" w:styleId="6">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7">
    <w:name w:val="Body Text 2"/>
    <w:basedOn w:val="1"/>
    <w:qFormat/>
    <w:uiPriority w:val="0"/>
    <w:pPr>
      <w:jc w:val="left"/>
    </w:pPr>
    <w:rPr>
      <w:rFonts w:ascii="仿宋_GB2312" w:hAnsi="宋体" w:eastAsia="仿宋_GB2312"/>
    </w:rPr>
  </w:style>
  <w:style w:type="paragraph" w:styleId="8">
    <w:name w:val="HTML Preformatted"/>
    <w:basedOn w:val="1"/>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黑体" w:hAnsi="Courier New" w:eastAsia="黑体"/>
      <w:kern w:val="0"/>
      <w:sz w:val="20"/>
      <w:szCs w:val="20"/>
    </w:rPr>
  </w:style>
  <w:style w:type="paragraph" w:styleId="9">
    <w:name w:val="Normal (Web)"/>
    <w:basedOn w:val="1"/>
    <w:qFormat/>
    <w:uiPriority w:val="0"/>
    <w:rPr>
      <w:sz w:val="24"/>
    </w:rPr>
  </w:style>
  <w:style w:type="character" w:styleId="12">
    <w:name w:val="Strong"/>
    <w:qFormat/>
    <w:uiPriority w:val="0"/>
    <w:rPr>
      <w:b/>
      <w:bCs/>
    </w:rPr>
  </w:style>
  <w:style w:type="character" w:styleId="13">
    <w:name w:val="page number"/>
    <w:basedOn w:val="11"/>
    <w:qFormat/>
    <w:uiPriority w:val="0"/>
  </w:style>
  <w:style w:type="paragraph" w:customStyle="1" w:styleId="14">
    <w:name w:val="font03"/>
    <w:basedOn w:val="1"/>
    <w:qFormat/>
    <w:uiPriority w:val="0"/>
    <w:pPr>
      <w:widowControl/>
      <w:spacing w:before="100" w:beforeAutospacing="1" w:after="100" w:afterAutospacing="1"/>
      <w:jc w:val="left"/>
    </w:pPr>
    <w:rPr>
      <w:rFonts w:ascii="宋体" w:hAnsi="宋体"/>
      <w:color w:val="000000"/>
      <w:kern w:val="0"/>
      <w:sz w:val="28"/>
      <w:szCs w:val="28"/>
    </w:rPr>
  </w:style>
  <w:style w:type="paragraph" w:customStyle="1" w:styleId="15">
    <w:name w:val="_Style 9"/>
    <w:basedOn w:val="1"/>
    <w:next w:val="9"/>
    <w:qFormat/>
    <w:uiPriority w:val="0"/>
    <w:pPr>
      <w:widowControl/>
      <w:spacing w:before="100" w:beforeAutospacing="1" w:after="100" w:afterAutospacing="1"/>
      <w:jc w:val="left"/>
    </w:pPr>
    <w:rPr>
      <w:rFonts w:ascii="宋体" w:hAnsi="宋体"/>
      <w:kern w:val="0"/>
      <w:sz w:val="24"/>
    </w:rPr>
  </w:style>
  <w:style w:type="character" w:customStyle="1" w:styleId="16">
    <w:name w:val="font031"/>
    <w:qFormat/>
    <w:uiPriority w:val="0"/>
    <w:rPr>
      <w:color w:val="000000"/>
      <w:spacing w:val="240"/>
      <w:sz w:val="28"/>
      <w:szCs w:val="28"/>
      <w:u w:val="none"/>
    </w:rPr>
  </w:style>
  <w:style w:type="paragraph" w:customStyle="1" w:styleId="17">
    <w:name w:val="_Style 13"/>
    <w:basedOn w:val="2"/>
    <w:qFormat/>
    <w:uiPriority w:val="0"/>
    <w:pPr>
      <w:adjustRightInd w:val="0"/>
      <w:spacing w:line="436" w:lineRule="exact"/>
      <w:ind w:left="357"/>
      <w:jc w:val="left"/>
      <w:outlineLvl w:val="3"/>
    </w:pPr>
    <w:rPr>
      <w:rFonts w:ascii="Tahoma" w:hAnsi="Tahoma"/>
      <w:b/>
      <w:sz w:val="24"/>
      <w:szCs w:val="28"/>
    </w:rPr>
  </w:style>
  <w:style w:type="paragraph" w:customStyle="1" w:styleId="18">
    <w:name w:val="默认段落字体 Para Char"/>
    <w:basedOn w:val="1"/>
    <w:qFormat/>
    <w:uiPriority w:val="0"/>
    <w:pPr>
      <w:spacing w:line="360" w:lineRule="auto"/>
      <w:ind w:firstLine="200" w:firstLineChars="200"/>
    </w:pPr>
    <w:rPr>
      <w:rFonts w:ascii="宋体" w:hAnsi="宋体" w:cs="宋体"/>
      <w:sz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home/greatwall/C:\Users\fgw\AppData\Roaming\Microsoft\Templates\2023&#19979;&#34892;&#25991;&#27169;&#26495;.dot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2023下行文模板</Template>
  <Company>Legend (Beijing) Limited</Company>
  <Pages>4</Pages>
  <Words>169</Words>
  <Characters>966</Characters>
  <Lines>8</Lines>
  <Paragraphs>2</Paragraphs>
  <TotalTime>227</TotalTime>
  <ScaleCrop>false</ScaleCrop>
  <LinksUpToDate>false</LinksUpToDate>
  <CharactersWithSpaces>1133</CharactersWithSpaces>
  <Application>WPS Office_11.8.2.10386_F1E327BC-269C-435d-A152-05C5408002CA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2023-11-04T19:26:00Z</dcterms:created>
  <dc:creator>fgw</dc:creator>
  <cp:lastModifiedBy>greatwall</cp:lastModifiedBy>
  <cp:lastPrinted>2024-06-27T11:50:22Z</cp:lastPrinted>
  <dcterms:modified xsi:type="dcterms:W3CDTF">2024-06-27T15:30:46Z</dcterms:modified>
  <dc:title>鄂发改字〔2006〕号</dc:title>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2052-11.8.2.10386</vt:lpwstr>
  </property>
</Properties>
</file>