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36"/>
          <w:szCs w:val="36"/>
        </w:rPr>
      </w:pP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鄂发改审批</w:t>
      </w:r>
      <w:r>
        <w:rPr>
          <w:rFonts w:hint="eastAsia" w:ascii="仿宋_GB2312" w:hAnsi="仿宋_GB2312" w:cs="仿宋_GB2312"/>
          <w:sz w:val="32"/>
          <w:szCs w:val="32"/>
          <w:lang w:eastAsia="zh-CN"/>
        </w:rPr>
        <w:t>发</w:t>
      </w:r>
      <w:r>
        <w:rPr>
          <w:rFonts w:hint="eastAsia" w:ascii="仿宋_GB2312" w:hAnsi="仿宋_GB2312" w:eastAsia="仿宋_GB2312" w:cs="仿宋_GB2312"/>
          <w:sz w:val="32"/>
          <w:szCs w:val="32"/>
        </w:rPr>
        <w:t>〔202</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44</w:t>
      </w:r>
      <w:r>
        <w:rPr>
          <w:rFonts w:hint="eastAsia" w:ascii="仿宋_GB2312" w:hAnsi="仿宋_GB2312" w:eastAsia="仿宋_GB2312" w:cs="仿宋_GB2312"/>
          <w:sz w:val="32"/>
          <w:szCs w:val="32"/>
        </w:rPr>
        <w:t>号</w:t>
      </w:r>
    </w:p>
    <w:p>
      <w:pPr>
        <w:jc w:val="cente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鄂尔多斯市发展和改革委员会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鄂尔多斯应用技术学院办学条件提升项目可行性研究报告的批复</w:t>
      </w:r>
    </w:p>
    <w:p>
      <w:pPr>
        <w:jc w:val="center"/>
        <w:rPr>
          <w:rFonts w:hint="eastAsia" w:ascii="仿宋_GB2312" w:hAnsi="仿宋_GB2312" w:eastAsia="仿宋_GB2312" w:cs="仿宋_GB2312"/>
          <w:sz w:val="44"/>
          <w:szCs w:val="44"/>
        </w:rPr>
      </w:pPr>
    </w:p>
    <w:p>
      <w:pPr>
        <w:keepNext w:val="0"/>
        <w:keepLines w:val="0"/>
        <w:pageBreakBefore w:val="0"/>
        <w:widowControl w:val="0"/>
        <w:tabs>
          <w:tab w:val="left" w:pos="5383"/>
        </w:tabs>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eastAsia="zh-CN"/>
        </w:rPr>
        <w:t>鄂尔多斯应用技术学院</w:t>
      </w:r>
      <w:r>
        <w:rPr>
          <w:rFonts w:hint="eastAsia" w:ascii="仿宋_GB2312" w:hAnsi="仿宋_GB2312" w:eastAsia="仿宋_GB2312" w:cs="仿宋_GB2312"/>
          <w:sz w:val="32"/>
          <w:szCs w:val="32"/>
        </w:rPr>
        <w:t>：</w:t>
      </w:r>
      <w:r>
        <w:rPr>
          <w:rFonts w:hint="eastAsia" w:ascii="仿宋_GB2312" w:hAnsi="仿宋_GB2312" w:cs="仿宋_GB2312"/>
          <w:sz w:val="32"/>
          <w:szCs w:val="32"/>
          <w:lang w:eastAsia="zh-CN"/>
        </w:rPr>
        <w:tab/>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lang w:eastAsia="zh-CN"/>
        </w:rPr>
        <w:t>你单位《</w:t>
      </w:r>
      <w:r>
        <w:rPr>
          <w:rFonts w:hint="eastAsia" w:ascii="仿宋_GB2312" w:hAnsi="仿宋_GB2312" w:cs="仿宋_GB2312"/>
          <w:lang w:val="en-US" w:eastAsia="zh-CN"/>
        </w:rPr>
        <w:t>关于鄂尔多斯应用技术学院办学条件提升项目可行性研究报告审批的请示</w:t>
      </w:r>
      <w:r>
        <w:rPr>
          <w:rFonts w:hint="eastAsia" w:ascii="仿宋_GB2312" w:hAnsi="仿宋_GB2312" w:eastAsia="仿宋_GB2312" w:cs="仿宋_GB2312"/>
          <w:lang w:eastAsia="zh-CN"/>
        </w:rPr>
        <w:t>》</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鄂应院字</w:t>
      </w:r>
      <w:r>
        <w:rPr>
          <w:rFonts w:hint="eastAsia" w:ascii="仿宋_GB2312" w:hAnsi="仿宋_GB2312" w:eastAsia="仿宋_GB2312" w:cs="仿宋_GB2312"/>
          <w:b w:val="0"/>
          <w:bCs w:val="0"/>
          <w:sz w:val="32"/>
          <w:szCs w:val="32"/>
          <w:lang w:val="en-US" w:eastAsia="zh-CN"/>
        </w:rPr>
        <w:t>〔202</w:t>
      </w:r>
      <w:r>
        <w:rPr>
          <w:rFonts w:hint="eastAsia" w:ascii="仿宋_GB2312" w:hAnsi="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28</w:t>
      </w:r>
      <w:r>
        <w:rPr>
          <w:rFonts w:hint="eastAsia" w:ascii="仿宋_GB2312" w:hAnsi="仿宋_GB2312" w:eastAsia="仿宋_GB2312" w:cs="仿宋_GB2312"/>
          <w:b w:val="0"/>
          <w:bCs w:val="0"/>
          <w:sz w:val="32"/>
          <w:szCs w:val="32"/>
          <w:lang w:val="en-US" w:eastAsia="zh-CN"/>
        </w:rPr>
        <w:t>号）</w:t>
      </w:r>
      <w:r>
        <w:rPr>
          <w:rFonts w:hint="eastAsia" w:ascii="仿宋_GB2312" w:hAnsi="仿宋_GB2312" w:eastAsia="仿宋_GB2312" w:cs="仿宋_GB2312"/>
          <w:b w:val="0"/>
          <w:bCs/>
          <w:sz w:val="32"/>
          <w:szCs w:val="32"/>
          <w:lang w:eastAsia="zh-CN"/>
        </w:rPr>
        <w:t>及有关</w:t>
      </w:r>
      <w:r>
        <w:rPr>
          <w:rFonts w:hint="eastAsia" w:ascii="仿宋_GB2312" w:hAnsi="仿宋_GB2312" w:eastAsia="仿宋_GB2312" w:cs="仿宋_GB2312"/>
          <w:lang w:eastAsia="zh-CN"/>
        </w:rPr>
        <w:t>材料收悉</w:t>
      </w:r>
      <w:r>
        <w:rPr>
          <w:rFonts w:hint="eastAsia" w:ascii="仿宋_GB2312" w:hAnsi="仿宋_GB2312" w:cs="仿宋_GB2312"/>
          <w:lang w:eastAsia="zh-CN"/>
        </w:rPr>
        <w:t>，</w:t>
      </w:r>
      <w:r>
        <w:rPr>
          <w:rFonts w:hint="eastAsia" w:ascii="仿宋_GB2312" w:hAnsi="仿宋_GB2312" w:cs="仿宋_GB2312"/>
          <w:sz w:val="32"/>
          <w:szCs w:val="32"/>
          <w:lang w:eastAsia="zh-CN"/>
        </w:rPr>
        <w:t>我委及时组织专家评审，按照</w:t>
      </w:r>
      <w:r>
        <w:rPr>
          <w:rFonts w:hint="eastAsia" w:ascii="仿宋_GB2312" w:hAnsi="仿宋_GB2312" w:eastAsia="仿宋_GB2312" w:cs="仿宋_GB2312"/>
          <w:b w:val="0"/>
          <w:bCs w:val="0"/>
          <w:sz w:val="32"/>
          <w:szCs w:val="32"/>
          <w:lang w:val="en-US" w:eastAsia="zh-CN"/>
        </w:rPr>
        <w:t>《鄂尔多斯应用技术学院办学条件提升项目可行性研究报告专家组</w:t>
      </w:r>
      <w:r>
        <w:rPr>
          <w:rFonts w:hint="eastAsia" w:ascii="仿宋_GB2312" w:hAnsi="仿宋_GB2312" w:cs="仿宋_GB2312"/>
          <w:b w:val="0"/>
          <w:bCs w:val="0"/>
          <w:sz w:val="32"/>
          <w:szCs w:val="32"/>
          <w:lang w:val="en-US" w:eastAsia="zh-CN"/>
        </w:rPr>
        <w:t>复审</w:t>
      </w:r>
      <w:r>
        <w:rPr>
          <w:rFonts w:hint="eastAsia" w:ascii="仿宋_GB2312" w:hAnsi="仿宋_GB2312" w:eastAsia="仿宋_GB2312" w:cs="仿宋_GB2312"/>
          <w:b w:val="0"/>
          <w:bCs w:val="0"/>
          <w:sz w:val="32"/>
          <w:szCs w:val="32"/>
          <w:lang w:val="en-US" w:eastAsia="zh-CN"/>
        </w:rPr>
        <w:t>意见》(鄂宏研〔202</w:t>
      </w:r>
      <w:r>
        <w:rPr>
          <w:rFonts w:hint="eastAsia" w:ascii="仿宋_GB2312" w:hAnsi="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29</w:t>
      </w:r>
      <w:r>
        <w:rPr>
          <w:rFonts w:hint="eastAsia" w:ascii="仿宋_GB2312" w:hAnsi="仿宋_GB2312" w:eastAsia="仿宋_GB2312" w:cs="仿宋_GB2312"/>
          <w:b w:val="0"/>
          <w:bCs w:val="0"/>
          <w:sz w:val="32"/>
          <w:szCs w:val="32"/>
          <w:lang w:val="en-US" w:eastAsia="zh-CN"/>
        </w:rPr>
        <w:t>号)</w:t>
      </w:r>
      <w:r>
        <w:rPr>
          <w:rFonts w:hint="eastAsia" w:ascii="仿宋_GB2312" w:hAnsi="仿宋_GB2312" w:eastAsia="仿宋_GB2312" w:cs="仿宋_GB2312"/>
          <w:lang w:eastAsia="zh-CN"/>
        </w:rPr>
        <w:t>现批复如下：</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eastAsia="zh-CN"/>
        </w:rPr>
        <w:t>一、原则同意所报</w:t>
      </w:r>
      <w:r>
        <w:rPr>
          <w:rFonts w:hint="eastAsia" w:ascii="仿宋_GB2312" w:hAnsi="仿宋_GB2312" w:eastAsia="仿宋_GB2312" w:cs="仿宋_GB2312"/>
          <w:sz w:val="32"/>
          <w:szCs w:val="32"/>
          <w:lang w:eastAsia="zh-CN"/>
        </w:rPr>
        <w:t>鄂尔多斯应用技术学院办学条件提升项目</w:t>
      </w:r>
      <w:r>
        <w:rPr>
          <w:rFonts w:hint="eastAsia" w:ascii="仿宋_GB2312" w:hAnsi="仿宋_GB2312" w:cs="仿宋_GB2312"/>
          <w:sz w:val="32"/>
          <w:szCs w:val="32"/>
          <w:lang w:eastAsia="zh-CN"/>
        </w:rPr>
        <w:t>可行性研究报告</w:t>
      </w:r>
      <w:r>
        <w:rPr>
          <w:rFonts w:hint="eastAsia" w:ascii="仿宋_GB2312" w:hAnsi="仿宋_GB2312" w:eastAsia="仿宋_GB2312" w:cs="仿宋_GB2312"/>
          <w:sz w:val="32"/>
          <w:szCs w:val="32"/>
          <w:lang w:val="en-US" w:eastAsia="zh-CN"/>
        </w:rPr>
        <w:t>（项目代码：</w:t>
      </w:r>
      <w:r>
        <w:rPr>
          <w:rFonts w:hint="eastAsia" w:ascii="仿宋_GB2312" w:hAnsi="仿宋_GB2312" w:cs="仿宋_GB2312"/>
          <w:sz w:val="32"/>
          <w:szCs w:val="32"/>
          <w:lang w:val="en-US" w:eastAsia="zh-CN"/>
        </w:rPr>
        <w:t>2308-150603-04-01 -214544</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eastAsia="zh-CN"/>
        </w:rPr>
        <w:t>二、</w:t>
      </w:r>
      <w:r>
        <w:rPr>
          <w:rFonts w:hint="eastAsia" w:ascii="仿宋_GB2312" w:hAnsi="仿宋_GB2312" w:eastAsia="仿宋_GB2312" w:cs="仿宋_GB2312"/>
          <w:sz w:val="32"/>
          <w:szCs w:val="32"/>
        </w:rPr>
        <w:t>建设单位</w:t>
      </w:r>
      <w:r>
        <w:rPr>
          <w:rFonts w:hint="eastAsia" w:ascii="仿宋_GB2312" w:hAnsi="仿宋_GB2312" w:cs="仿宋_GB2312"/>
          <w:sz w:val="32"/>
          <w:szCs w:val="32"/>
          <w:lang w:eastAsia="zh-CN"/>
        </w:rPr>
        <w:t>为鄂尔多斯应用技术学院</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eastAsia="zh-CN"/>
        </w:rPr>
        <w:t>三、</w:t>
      </w:r>
      <w:r>
        <w:rPr>
          <w:rFonts w:hint="eastAsia" w:ascii="仿宋_GB2312" w:hAnsi="仿宋_GB2312" w:eastAsia="仿宋_GB2312" w:cs="仿宋_GB2312"/>
          <w:sz w:val="32"/>
          <w:szCs w:val="32"/>
        </w:rPr>
        <w:t>建设地点</w:t>
      </w:r>
      <w:r>
        <w:rPr>
          <w:rFonts w:hint="eastAsia" w:ascii="仿宋_GB2312" w:hAnsi="仿宋_GB2312" w:cs="仿宋_GB2312"/>
          <w:sz w:val="32"/>
          <w:szCs w:val="32"/>
          <w:lang w:eastAsia="zh-CN"/>
        </w:rPr>
        <w:t>位于鄂尔多斯应用技术学院现有场地内</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eastAsia="zh-CN"/>
        </w:rPr>
        <w:t>四、项目</w:t>
      </w:r>
      <w:r>
        <w:rPr>
          <w:rFonts w:hint="eastAsia" w:ascii="仿宋_GB2312" w:hAnsi="仿宋_GB2312" w:eastAsia="仿宋_GB2312" w:cs="仿宋_GB2312"/>
          <w:sz w:val="32"/>
          <w:szCs w:val="32"/>
        </w:rPr>
        <w:t>建设内容及规模</w:t>
      </w:r>
      <w:r>
        <w:rPr>
          <w:rFonts w:hint="eastAsia" w:ascii="仿宋_GB2312" w:hAnsi="仿宋_GB2312" w:eastAsia="仿宋_GB2312" w:cs="仿宋_GB2312"/>
          <w:sz w:val="32"/>
          <w:szCs w:val="32"/>
          <w:lang w:eastAsia="zh-CN"/>
        </w:rPr>
        <w:t>：新建建筑面积35395.71㎡，场地硬化面积3415.04㎡；绿化面积为27255.73㎡；主要建设综合教学楼2栋，建筑面积22037.36㎡；实验楼1栋建筑面积13358.35㎡；并建设给排水、暖通、电气、消防等公用工程。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eastAsia="zh-CN"/>
        </w:rPr>
        <w:t>五、</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总</w:t>
      </w:r>
      <w:r>
        <w:rPr>
          <w:rFonts w:hint="eastAsia" w:ascii="仿宋_GB2312" w:hAnsi="仿宋_GB2312" w:eastAsia="仿宋_GB2312" w:cs="仿宋_GB2312"/>
          <w:sz w:val="32"/>
          <w:szCs w:val="32"/>
        </w:rPr>
        <w:t>投资及资金来源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项目总投资为</w:t>
      </w:r>
      <w:r>
        <w:rPr>
          <w:rFonts w:hint="eastAsia" w:ascii="仿宋_GB2312" w:hAnsi="仿宋_GB2312" w:cs="仿宋_GB2312"/>
          <w:sz w:val="32"/>
          <w:szCs w:val="32"/>
          <w:lang w:val="en-US" w:eastAsia="zh-CN"/>
        </w:rPr>
        <w:t>21200</w:t>
      </w:r>
      <w:r>
        <w:rPr>
          <w:rFonts w:hint="eastAsia" w:ascii="仿宋_GB2312" w:hAnsi="仿宋_GB2312" w:eastAsia="仿宋_GB2312" w:cs="仿宋_GB2312"/>
          <w:sz w:val="32"/>
          <w:szCs w:val="32"/>
          <w:lang w:val="en-US" w:eastAsia="zh-CN"/>
        </w:rPr>
        <w:t>万元，资金来源为</w:t>
      </w:r>
      <w:r>
        <w:rPr>
          <w:rFonts w:hint="eastAsia" w:ascii="仿宋_GB2312" w:hAnsi="仿宋_GB2312" w:cs="仿宋_GB2312"/>
          <w:sz w:val="32"/>
          <w:szCs w:val="32"/>
          <w:lang w:val="en-US" w:eastAsia="zh-CN"/>
        </w:rPr>
        <w:t>政府投资</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六、</w:t>
      </w:r>
      <w:r>
        <w:rPr>
          <w:rFonts w:hint="eastAsia" w:ascii="仿宋_GB2312" w:hAnsi="仿宋_GB2312" w:eastAsia="仿宋_GB2312" w:cs="仿宋_GB2312"/>
          <w:sz w:val="32"/>
          <w:szCs w:val="32"/>
        </w:rPr>
        <w:t>建设年限</w:t>
      </w:r>
      <w:r>
        <w:rPr>
          <w:rFonts w:hint="eastAsia" w:ascii="仿宋_GB2312" w:hAnsi="仿宋_GB2312" w:eastAsia="仿宋_GB2312" w:cs="仿宋_GB2312"/>
          <w:sz w:val="32"/>
          <w:szCs w:val="32"/>
          <w:lang w:eastAsia="zh-CN"/>
        </w:rPr>
        <w:t>：本项目建设期</w:t>
      </w:r>
      <w:r>
        <w:rPr>
          <w:rFonts w:hint="eastAsia" w:ascii="仿宋_GB2312" w:hAnsi="仿宋_GB2312" w:cs="仿宋_GB2312"/>
          <w:sz w:val="32"/>
          <w:szCs w:val="32"/>
          <w:lang w:val="en-US" w:eastAsia="zh-CN"/>
        </w:rPr>
        <w:t>为2023年8月—2025年8月</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sz w:val="32"/>
          <w:szCs w:val="32"/>
          <w:lang w:eastAsia="zh-CN"/>
        </w:rPr>
        <w:t>七、建设过程中要实行项目法人制、招标投标制、工程监理制，在招标过程中要严格执行《中华人民共和国招标投标法》有关规定，确保建设工期和建设质量</w:t>
      </w:r>
      <w:r>
        <w:rPr>
          <w:rFonts w:hint="eastAsia" w:ascii="仿宋_GB2312" w:hAnsi="仿宋_GB2312" w:eastAsia="仿宋_GB2312" w:cs="仿宋_GB2312"/>
          <w:b w:val="0"/>
          <w:bCs w:val="0"/>
          <w:sz w:val="32"/>
          <w:szCs w:val="32"/>
          <w:lang w:val="en-US"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sz w:val="32"/>
          <w:szCs w:val="32"/>
          <w:lang w:val="en-US" w:eastAsia="zh-CN"/>
        </w:rPr>
      </w:pPr>
      <w:r>
        <w:rPr>
          <w:rFonts w:hint="eastAsia" w:ascii="仿宋_GB2312" w:hAnsi="仿宋_GB2312" w:eastAsia="仿宋_GB2312" w:cs="仿宋_GB2312"/>
          <w:b w:val="0"/>
          <w:bCs w:val="0"/>
          <w:sz w:val="32"/>
          <w:szCs w:val="32"/>
          <w:lang w:val="en-US" w:eastAsia="zh-CN"/>
        </w:rPr>
        <w:t>八、项目所附相关文件：《鄂尔多斯市财政局关于鄂尔多斯应用技术学院办学条件提升项目财政可承受能力评估的函》、土地证《鄂国用（2014）第002632号》。</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eastAsia="zh-CN"/>
        </w:rPr>
        <w:t>九、</w:t>
      </w:r>
      <w:r>
        <w:rPr>
          <w:rFonts w:hint="eastAsia" w:ascii="仿宋_GB2312" w:hAnsi="仿宋_GB2312" w:eastAsia="仿宋_GB2312" w:cs="仿宋_GB2312"/>
          <w:sz w:val="32"/>
          <w:szCs w:val="32"/>
          <w:lang w:eastAsia="zh-CN"/>
        </w:rPr>
        <w:t>请据此进一步落实建设条件，优化建设方案，严格落实绿色</w:t>
      </w:r>
      <w:r>
        <w:rPr>
          <w:rFonts w:hint="eastAsia" w:ascii="仿宋_GB2312" w:hAnsi="仿宋_GB2312" w:cs="仿宋_GB2312"/>
          <w:sz w:val="32"/>
          <w:szCs w:val="32"/>
          <w:lang w:eastAsia="zh-CN"/>
        </w:rPr>
        <w:t>、低碳</w:t>
      </w:r>
      <w:r>
        <w:rPr>
          <w:rFonts w:hint="eastAsia" w:ascii="仿宋_GB2312" w:hAnsi="仿宋_GB2312" w:eastAsia="仿宋_GB2312" w:cs="仿宋_GB2312"/>
          <w:sz w:val="32"/>
          <w:szCs w:val="32"/>
          <w:lang w:eastAsia="zh-CN"/>
        </w:rPr>
        <w:t>要求。</w:t>
      </w:r>
      <w:r>
        <w:rPr>
          <w:rFonts w:hint="eastAsia" w:ascii="仿宋_GB2312" w:hAnsi="仿宋_GB2312" w:cs="仿宋_GB2312"/>
          <w:sz w:val="32"/>
          <w:szCs w:val="32"/>
          <w:lang w:eastAsia="zh-CN"/>
        </w:rPr>
        <w:t>项目单位要严格执行政府投资条例相关</w:t>
      </w:r>
      <w:r>
        <w:rPr>
          <w:rFonts w:hint="eastAsia" w:ascii="仿宋_GB2312" w:hAnsi="仿宋_GB2312" w:eastAsia="仿宋_GB2312" w:cs="仿宋_GB2312"/>
          <w:sz w:val="32"/>
          <w:szCs w:val="32"/>
          <w:lang w:eastAsia="zh-CN"/>
        </w:rPr>
        <w:t>规定，不得违规举借债务筹措项目</w:t>
      </w:r>
      <w:r>
        <w:rPr>
          <w:rFonts w:hint="eastAsia" w:ascii="仿宋_GB2312" w:hAnsi="仿宋_GB2312" w:cs="仿宋_GB2312"/>
          <w:sz w:val="32"/>
          <w:szCs w:val="32"/>
          <w:lang w:eastAsia="zh-CN"/>
        </w:rPr>
        <w:t>建设</w:t>
      </w:r>
      <w:r>
        <w:rPr>
          <w:rFonts w:hint="eastAsia" w:ascii="仿宋_GB2312" w:hAnsi="仿宋_GB2312" w:eastAsia="仿宋_GB2312" w:cs="仿宋_GB2312"/>
          <w:sz w:val="32"/>
          <w:szCs w:val="32"/>
          <w:lang w:eastAsia="zh-CN"/>
        </w:rPr>
        <w:t>资金，待资金落实并按规定取得相关审批后方可开工建设。</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ind w:firstLine="3520" w:firstLineChars="1100"/>
        <w:rPr>
          <w:rFonts w:hint="eastAsia" w:ascii="仿宋_GB2312" w:hAnsi="仿宋_GB2312" w:cs="仿宋_GB2312"/>
          <w:lang w:val="en-US" w:eastAsia="zh-CN"/>
        </w:rPr>
      </w:pPr>
      <w:r>
        <w:rPr>
          <w:rFonts w:hint="eastAsia" w:ascii="仿宋_GB2312" w:hAnsi="仿宋_GB2312" w:cs="仿宋_GB2312"/>
          <w:lang w:val="en-US" w:eastAsia="zh-CN"/>
        </w:rPr>
        <w:t>鄂尔多斯市发展和改革委员会</w:t>
      </w:r>
    </w:p>
    <w:p>
      <w:pPr>
        <w:bidi w:val="0"/>
        <w:rPr>
          <w:rFonts w:hint="eastAsia" w:ascii="仿宋_GB2312" w:hAnsi="仿宋_GB2312" w:cs="仿宋_GB2312"/>
          <w:lang w:val="en-US" w:eastAsia="zh-CN"/>
        </w:rPr>
      </w:pPr>
      <w:r>
        <w:rPr>
          <w:rFonts w:hint="eastAsia" w:ascii="仿宋_GB2312" w:hAnsi="仿宋_GB2312" w:cs="仿宋_GB2312"/>
          <w:lang w:val="en-US" w:eastAsia="zh-CN"/>
        </w:rPr>
        <w:t xml:space="preserve">                           2023年9月1日</w:t>
      </w: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kern w:val="2"/>
          <w:sz w:val="28"/>
          <w:szCs w:val="28"/>
          <w:lang w:val="en-US" w:eastAsia="zh-CN" w:bidi="ar-SA"/>
        </w:rPr>
      </w:pPr>
    </w:p>
    <w:p>
      <w:pPr>
        <w:pStyle w:val="2"/>
        <w:rPr>
          <w:rFonts w:hint="eastAsia" w:ascii="黑体" w:hAnsi="黑体" w:eastAsia="黑体" w:cs="黑体"/>
          <w:b w:val="0"/>
          <w:bCs w:val="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lang w:val="en-US" w:eastAsia="zh-CN"/>
        </w:rPr>
      </w:pPr>
      <w:r>
        <w:rPr>
          <w:rFonts w:hint="eastAsia" w:ascii="黑体" w:hAnsi="黑体" w:eastAsia="黑体" w:cs="黑体"/>
          <w:b w:val="0"/>
          <w:bCs w:val="0"/>
          <w:kern w:val="2"/>
          <w:sz w:val="28"/>
          <w:szCs w:val="28"/>
          <w:lang w:val="en-US" w:eastAsia="zh-CN" w:bidi="ar-SA"/>
        </w:rPr>
        <w:t>附件：</w:t>
      </w:r>
    </w:p>
    <w:p>
      <w:pPr>
        <w:jc w:val="center"/>
        <w:rPr>
          <w:rFonts w:hint="eastAsia"/>
          <w:lang w:val="en-US" w:eastAsia="zh-CN"/>
        </w:rPr>
      </w:pPr>
      <w:r>
        <w:rPr>
          <w:rFonts w:hint="eastAsia" w:ascii="宋体" w:hAnsi="宋体" w:eastAsia="宋体" w:cs="宋体"/>
          <w:sz w:val="28"/>
          <w:szCs w:val="28"/>
          <w:lang w:eastAsia="zh-CN"/>
        </w:rPr>
        <w:t>建设项目招标方案和不招标情况表</w:t>
      </w:r>
    </w:p>
    <w:tbl>
      <w:tblPr>
        <w:tblStyle w:val="7"/>
        <w:tblW w:w="9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435"/>
        <w:gridCol w:w="714"/>
        <w:gridCol w:w="715"/>
        <w:gridCol w:w="916"/>
        <w:gridCol w:w="915"/>
        <w:gridCol w:w="825"/>
        <w:gridCol w:w="810"/>
        <w:gridCol w:w="1365"/>
        <w:gridCol w:w="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24" w:type="dxa"/>
            <w:vMerge w:val="restart"/>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435" w:type="dxa"/>
            <w:vMerge w:val="restart"/>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名称</w:t>
            </w:r>
          </w:p>
        </w:tc>
        <w:tc>
          <w:tcPr>
            <w:tcW w:w="1429" w:type="dxa"/>
            <w:gridSpan w:val="2"/>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招标范围</w:t>
            </w:r>
          </w:p>
        </w:tc>
        <w:tc>
          <w:tcPr>
            <w:tcW w:w="1831" w:type="dxa"/>
            <w:gridSpan w:val="2"/>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招标组织形式</w:t>
            </w:r>
          </w:p>
        </w:tc>
        <w:tc>
          <w:tcPr>
            <w:tcW w:w="1635" w:type="dxa"/>
            <w:gridSpan w:val="2"/>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招标方式</w:t>
            </w:r>
          </w:p>
        </w:tc>
        <w:tc>
          <w:tcPr>
            <w:tcW w:w="1365" w:type="dxa"/>
            <w:vMerge w:val="restart"/>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不采用招标方式</w:t>
            </w:r>
          </w:p>
        </w:tc>
        <w:tc>
          <w:tcPr>
            <w:tcW w:w="803" w:type="dxa"/>
            <w:vMerge w:val="restart"/>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Merge w:val="continue"/>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1435" w:type="dxa"/>
            <w:vMerge w:val="continue"/>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714"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全部招标</w:t>
            </w:r>
          </w:p>
        </w:tc>
        <w:tc>
          <w:tcPr>
            <w:tcW w:w="71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部分招标</w:t>
            </w:r>
          </w:p>
        </w:tc>
        <w:tc>
          <w:tcPr>
            <w:tcW w:w="916"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委托招标</w:t>
            </w:r>
          </w:p>
        </w:tc>
        <w:tc>
          <w:tcPr>
            <w:tcW w:w="91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自行招标</w:t>
            </w:r>
          </w:p>
        </w:tc>
        <w:tc>
          <w:tcPr>
            <w:tcW w:w="82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公开招标</w:t>
            </w:r>
          </w:p>
        </w:tc>
        <w:tc>
          <w:tcPr>
            <w:tcW w:w="810"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邀请招标</w:t>
            </w:r>
          </w:p>
        </w:tc>
        <w:tc>
          <w:tcPr>
            <w:tcW w:w="1365" w:type="dxa"/>
            <w:vMerge w:val="continue"/>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03" w:type="dxa"/>
            <w:vMerge w:val="continue"/>
            <w:vAlign w:val="center"/>
          </w:tcPr>
          <w:p>
            <w:pPr>
              <w:jc w:val="center"/>
              <w:rPr>
                <w:rFonts w:hint="eastAsia" w:asciiTheme="minorEastAsia" w:hAnsiTheme="minorEastAsia" w:eastAsiaTheme="minorEastAsia" w:cs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24" w:type="dxa"/>
            <w:vAlign w:val="center"/>
          </w:tcPr>
          <w:p>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143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勘察</w:t>
            </w:r>
          </w:p>
        </w:tc>
        <w:tc>
          <w:tcPr>
            <w:tcW w:w="71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7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916"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9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2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810"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136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03"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624" w:type="dxa"/>
            <w:vAlign w:val="center"/>
          </w:tcPr>
          <w:p>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143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设计</w:t>
            </w:r>
          </w:p>
        </w:tc>
        <w:tc>
          <w:tcPr>
            <w:tcW w:w="714"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7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916"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9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2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810"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136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03"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624" w:type="dxa"/>
            <w:vAlign w:val="center"/>
          </w:tcPr>
          <w:p>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143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建筑工程</w:t>
            </w:r>
          </w:p>
        </w:tc>
        <w:tc>
          <w:tcPr>
            <w:tcW w:w="714" w:type="dxa"/>
            <w:vAlign w:val="center"/>
          </w:tcPr>
          <w:p>
            <w:pPr>
              <w:jc w:val="center"/>
              <w:rPr>
                <w:rFonts w:hint="default" w:ascii="Arial" w:hAnsi="Arial" w:eastAsia="宋体" w:cs="Arial"/>
                <w:sz w:val="21"/>
                <w:szCs w:val="21"/>
              </w:rPr>
            </w:pPr>
            <w:r>
              <w:rPr>
                <w:rFonts w:hint="default" w:ascii="Arial" w:hAnsi="Arial" w:eastAsia="宋体" w:cs="Arial"/>
                <w:sz w:val="21"/>
                <w:szCs w:val="21"/>
              </w:rPr>
              <w:t>√</w:t>
            </w:r>
          </w:p>
        </w:tc>
        <w:tc>
          <w:tcPr>
            <w:tcW w:w="7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916" w:type="dxa"/>
            <w:vAlign w:val="center"/>
          </w:tcPr>
          <w:p>
            <w:pPr>
              <w:jc w:val="center"/>
              <w:rPr>
                <w:rFonts w:hint="default" w:ascii="Arial" w:hAnsi="Arial" w:eastAsia="宋体" w:cs="Arial"/>
                <w:sz w:val="21"/>
                <w:szCs w:val="21"/>
              </w:rPr>
            </w:pPr>
            <w:r>
              <w:rPr>
                <w:rFonts w:hint="default" w:ascii="Arial" w:hAnsi="Arial" w:eastAsia="宋体" w:cs="Arial"/>
                <w:sz w:val="21"/>
                <w:szCs w:val="21"/>
              </w:rPr>
              <w:t>√</w:t>
            </w:r>
          </w:p>
        </w:tc>
        <w:tc>
          <w:tcPr>
            <w:tcW w:w="9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25" w:type="dxa"/>
            <w:vAlign w:val="center"/>
          </w:tcPr>
          <w:p>
            <w:pPr>
              <w:jc w:val="center"/>
              <w:rPr>
                <w:rFonts w:hint="default" w:ascii="Arial" w:hAnsi="Arial" w:eastAsia="宋体" w:cs="Arial"/>
                <w:sz w:val="21"/>
                <w:szCs w:val="21"/>
              </w:rPr>
            </w:pPr>
            <w:r>
              <w:rPr>
                <w:rFonts w:hint="default" w:ascii="Arial" w:hAnsi="Arial" w:eastAsia="宋体" w:cs="Arial"/>
                <w:sz w:val="21"/>
                <w:szCs w:val="21"/>
              </w:rPr>
              <w:t>√</w:t>
            </w:r>
          </w:p>
        </w:tc>
        <w:tc>
          <w:tcPr>
            <w:tcW w:w="810"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136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03"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24" w:type="dxa"/>
            <w:vAlign w:val="center"/>
          </w:tcPr>
          <w:p>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4</w:t>
            </w:r>
          </w:p>
        </w:tc>
        <w:tc>
          <w:tcPr>
            <w:tcW w:w="143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设备工程</w:t>
            </w:r>
          </w:p>
        </w:tc>
        <w:tc>
          <w:tcPr>
            <w:tcW w:w="714"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7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916"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9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2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default" w:ascii="Arial" w:hAnsi="Arial" w:eastAsia="宋体" w:cs="Arial"/>
                <w:sz w:val="21"/>
                <w:szCs w:val="21"/>
              </w:rPr>
              <w:t>√</w:t>
            </w:r>
          </w:p>
        </w:tc>
        <w:tc>
          <w:tcPr>
            <w:tcW w:w="810"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136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03"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24" w:type="dxa"/>
            <w:vAlign w:val="center"/>
          </w:tcPr>
          <w:p>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5</w:t>
            </w:r>
          </w:p>
        </w:tc>
        <w:tc>
          <w:tcPr>
            <w:tcW w:w="1435" w:type="dxa"/>
            <w:vAlign w:val="center"/>
          </w:tcPr>
          <w:p>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监理</w:t>
            </w:r>
          </w:p>
        </w:tc>
        <w:tc>
          <w:tcPr>
            <w:tcW w:w="714" w:type="dxa"/>
            <w:vAlign w:val="center"/>
          </w:tcPr>
          <w:p>
            <w:pPr>
              <w:jc w:val="center"/>
              <w:rPr>
                <w:rFonts w:hint="default" w:ascii="Arial" w:hAnsi="Arial" w:eastAsia="宋体" w:cs="Arial"/>
                <w:sz w:val="21"/>
                <w:szCs w:val="21"/>
              </w:rPr>
            </w:pPr>
            <w:r>
              <w:rPr>
                <w:rFonts w:hint="default" w:ascii="Arial" w:hAnsi="Arial" w:eastAsia="宋体" w:cs="Arial"/>
                <w:sz w:val="21"/>
                <w:szCs w:val="21"/>
              </w:rPr>
              <w:t>√</w:t>
            </w:r>
          </w:p>
        </w:tc>
        <w:tc>
          <w:tcPr>
            <w:tcW w:w="7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916" w:type="dxa"/>
            <w:vAlign w:val="center"/>
          </w:tcPr>
          <w:p>
            <w:pPr>
              <w:jc w:val="center"/>
              <w:rPr>
                <w:rFonts w:hint="default" w:ascii="Arial" w:hAnsi="Arial" w:eastAsia="宋体" w:cs="Arial"/>
                <w:sz w:val="21"/>
                <w:szCs w:val="21"/>
              </w:rPr>
            </w:pPr>
            <w:r>
              <w:rPr>
                <w:rFonts w:hint="default" w:ascii="Arial" w:hAnsi="Arial" w:eastAsia="宋体" w:cs="Arial"/>
                <w:sz w:val="21"/>
                <w:szCs w:val="21"/>
              </w:rPr>
              <w:t>√</w:t>
            </w:r>
          </w:p>
        </w:tc>
        <w:tc>
          <w:tcPr>
            <w:tcW w:w="91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25" w:type="dxa"/>
            <w:vAlign w:val="center"/>
          </w:tcPr>
          <w:p>
            <w:pPr>
              <w:jc w:val="center"/>
              <w:rPr>
                <w:rFonts w:hint="default" w:ascii="Arial" w:hAnsi="Arial" w:eastAsia="宋体" w:cs="Arial"/>
                <w:sz w:val="21"/>
                <w:szCs w:val="21"/>
              </w:rPr>
            </w:pPr>
            <w:r>
              <w:rPr>
                <w:rFonts w:hint="default" w:ascii="Arial" w:hAnsi="Arial" w:eastAsia="宋体" w:cs="Arial"/>
                <w:sz w:val="21"/>
                <w:szCs w:val="21"/>
              </w:rPr>
              <w:t>√</w:t>
            </w:r>
          </w:p>
        </w:tc>
        <w:tc>
          <w:tcPr>
            <w:tcW w:w="810"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1365"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c>
          <w:tcPr>
            <w:tcW w:w="803" w:type="dxa"/>
            <w:vAlign w:val="center"/>
          </w:tcPr>
          <w:p>
            <w:pPr>
              <w:jc w:val="center"/>
              <w:rPr>
                <w:rFonts w:hint="eastAsia" w:asciiTheme="minorEastAsia" w:hAnsiTheme="minorEastAsia" w:eastAsiaTheme="minorEastAsia" w:cstheme="minorEastAsia"/>
                <w:sz w:val="24"/>
                <w:szCs w:val="24"/>
                <w:vertAlign w:val="baseline"/>
                <w:lang w:val="en-US" w:eastAsia="zh-CN"/>
              </w:rPr>
            </w:pPr>
          </w:p>
        </w:tc>
      </w:tr>
    </w:tbl>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pStyle w:val="2"/>
        <w:rPr>
          <w:rFonts w:hint="eastAsia" w:ascii="仿宋_GB2312" w:hAnsi="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980" w:hanging="980" w:hangingChars="350"/>
        <w:jc w:val="left"/>
        <w:textAlignment w:val="auto"/>
        <w:rPr>
          <w:rFonts w:hint="eastAsia" w:asciiTheme="minorHAnsi" w:hAnsiTheme="minorHAnsi" w:eastAsiaTheme="minorEastAsia" w:cstheme="minorBidi"/>
          <w:sz w:val="21"/>
          <w:szCs w:val="24"/>
          <w:lang w:eastAsia="zh-CN" w:bidi="ar-SA"/>
        </w:rPr>
      </w:pPr>
      <w:r>
        <w:rPr>
          <w:rFonts w:hint="eastAsia" w:ascii="仿宋_GB2312" w:hAnsi="仿宋" w:eastAsia="仿宋_GB2312" w:cstheme="minorBidi"/>
          <w:sz w:val="28"/>
          <w:szCs w:val="28"/>
          <w:lang w:bidi="ar-SA"/>
        </w:rPr>
        <w:t xml:space="preserve"> </w:t>
      </w:r>
      <w:r>
        <w:rPr>
          <w:rFonts w:hint="eastAsia" w:ascii="仿宋_GB2312" w:hAnsi="仿宋" w:eastAsia="仿宋_GB2312" w:cstheme="minorBidi"/>
          <w:sz w:val="28"/>
          <w:szCs w:val="28"/>
          <w:lang w:eastAsia="zh-CN" w:bidi="ar-S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600700" cy="0"/>
                <wp:effectExtent l="0" t="0" r="0" b="0"/>
                <wp:wrapNone/>
                <wp:docPr id="4" name="Line 12"/>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ln>
                      </wps:spPr>
                      <wps:bodyPr/>
                    </wps:wsp>
                  </a:graphicData>
                </a:graphic>
              </wp:anchor>
            </w:drawing>
          </mc:Choice>
          <mc:Fallback>
            <w:pict>
              <v:line id="Line 12" o:spid="_x0000_s1026" o:spt="20" style="position:absolute;left:0pt;margin-left:0pt;margin-top:0pt;height:0pt;width:441pt;z-index:251662336;mso-width-relative:page;mso-height-relative:page;" filled="f" stroked="t" coordsize="21600,21600" o:gfxdata="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5pUO/9EAAAACAQAADwAAAAAAAAABACAAAAAiAAAAZHJzL2Rvd25yZXYueG1s&#10;UEsBAhQAFAAAAAgAh07iQMFJxS3GAQAAoQMAAA4AAAAAAAAAAQAgAAAAIAEAAGRycy9lMm9Eb2Mu&#10;eG1sUEsFBgAAAAAGAAYAWQEAAFgFAAAAAA==&#10;">
                <v:fill on="f" focussize="0,0"/>
                <v:stroke weight="1pt" color="#000000" joinstyle="round"/>
                <v:imagedata o:title=""/>
                <o:lock v:ext="edit" aspectratio="f"/>
              </v:line>
            </w:pict>
          </mc:Fallback>
        </mc:AlternateContent>
      </w:r>
      <w:r>
        <w:rPr>
          <w:rFonts w:hint="eastAsia" w:ascii="仿宋_GB2312" w:hAnsi="仿宋" w:eastAsia="仿宋_GB2312" w:cstheme="minorBidi"/>
          <w:sz w:val="28"/>
          <w:szCs w:val="28"/>
          <w:lang w:eastAsia="zh-CN" w:bidi="ar-SA"/>
        </w:rPr>
        <w:t>抄送：</w:t>
      </w:r>
      <w:r>
        <w:rPr>
          <w:rFonts w:hint="eastAsia" w:ascii="仿宋_GB2312" w:hAnsi="仿宋" w:cstheme="minorBidi"/>
          <w:sz w:val="28"/>
          <w:szCs w:val="28"/>
          <w:lang w:eastAsia="zh-CN" w:bidi="ar-SA"/>
        </w:rPr>
        <w:t>市教育体育局，市自然资源局，市生态环境局，康巴什区</w:t>
      </w:r>
      <w:r>
        <w:rPr>
          <w:rFonts w:hint="eastAsia" w:ascii="仿宋_GB2312" w:hAnsi="仿宋" w:eastAsia="仿宋_GB2312" w:cstheme="minorBidi"/>
          <w:sz w:val="28"/>
          <w:szCs w:val="28"/>
          <w:lang w:eastAsia="zh-CN" w:bidi="ar-SA"/>
        </w:rPr>
        <w:t>发展和改革委员会。</w:t>
      </w:r>
    </w:p>
    <w:p>
      <w:pPr>
        <w:rPr>
          <w:rFonts w:hint="eastAsia" w:ascii="仿宋_GB2312" w:hAnsi="仿宋_GB2312" w:cs="仿宋_GB2312"/>
          <w:lang w:val="en-US" w:eastAsia="zh-CN"/>
        </w:rPr>
      </w:pPr>
      <w:r>
        <w:rPr>
          <w:rFonts w:hint="eastAsia" w:ascii="仿宋_GB2312" w:hAnsi="仿宋" w:eastAsia="仿宋_GB2312" w:cstheme="minorBidi"/>
          <w:sz w:val="28"/>
          <w:szCs w:val="28"/>
          <w:lang w:eastAsia="zh-CN" w:bidi="ar-SA"/>
        </w:rPr>
        <mc:AlternateContent>
          <mc:Choice Requires="wps">
            <w:drawing>
              <wp:anchor distT="0" distB="0" distL="114300" distR="114300" simplePos="0" relativeHeight="251663360" behindDoc="0" locked="0" layoutInCell="1" allowOverlap="1">
                <wp:simplePos x="0" y="0"/>
                <wp:positionH relativeFrom="column">
                  <wp:posOffset>10795</wp:posOffset>
                </wp:positionH>
                <wp:positionV relativeFrom="paragraph">
                  <wp:posOffset>6985</wp:posOffset>
                </wp:positionV>
                <wp:extent cx="5600700" cy="0"/>
                <wp:effectExtent l="0" t="0" r="0" b="0"/>
                <wp:wrapNone/>
                <wp:docPr id="5" name="Line 13"/>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ln>
                      </wps:spPr>
                      <wps:bodyPr/>
                    </wps:wsp>
                  </a:graphicData>
                </a:graphic>
              </wp:anchor>
            </w:drawing>
          </mc:Choice>
          <mc:Fallback>
            <w:pict>
              <v:line id="Line 13" o:spid="_x0000_s1026" o:spt="20" style="position:absolute;left:0pt;margin-left:0.85pt;margin-top:0.55pt;height:0pt;width:441pt;z-index:251663360;mso-width-relative:page;mso-height-relative:page;" filled="f" stroked="t" coordsize="21600,21600" o:gfxdata="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yV7dTSAAAABQEAAA8AAAAAAAAAAQAgAAAAIgAAAGRycy9kb3ducmV2Lnht&#10;bFBLAQIUABQAAAAIAIdO4kCg/bkpxgEAAKEDAAAOAAAAAAAAAAEAIAAAACEBAABkcnMvZTJvRG9j&#10;LnhtbFBLBQYAAAAABgAGAFkBAABZBQAAAAA=&#10;">
                <v:fill on="f" focussize="0,0"/>
                <v:stroke weight="1pt" color="#000000" joinstyle="round"/>
                <v:imagedata o:title=""/>
                <o:lock v:ext="edit" aspectratio="f"/>
              </v:line>
            </w:pict>
          </mc:Fallback>
        </mc:AlternateContent>
      </w:r>
      <w:r>
        <w:rPr>
          <w:rFonts w:hint="eastAsia" w:ascii="仿宋_GB2312" w:hAnsi="仿宋" w:eastAsia="仿宋_GB2312" w:cstheme="minorBidi"/>
          <w:sz w:val="28"/>
          <w:szCs w:val="28"/>
          <w:lang w:bidi="ar-SA"/>
        </w:rPr>
        <w:t xml:space="preserve"> </w:t>
      </w:r>
      <w:r>
        <w:rPr>
          <w:rFonts w:ascii="仿宋_GB2312" w:hAnsi="仿宋" w:eastAsia="仿宋_GB2312" w:cstheme="minorBidi"/>
          <w:bCs/>
          <w:sz w:val="32"/>
          <w:szCs w:val="24"/>
          <w:lang w:bidi="ar-SA"/>
        </w:rPr>
        <mc:AlternateContent>
          <mc:Choice Requires="wps">
            <w:drawing>
              <wp:anchor distT="0" distB="0" distL="114300" distR="114300" simplePos="0" relativeHeight="251661312" behindDoc="0" locked="0" layoutInCell="1" allowOverlap="1">
                <wp:simplePos x="0" y="0"/>
                <wp:positionH relativeFrom="column">
                  <wp:posOffset>-8255</wp:posOffset>
                </wp:positionH>
                <wp:positionV relativeFrom="paragraph">
                  <wp:posOffset>418465</wp:posOffset>
                </wp:positionV>
                <wp:extent cx="5600700" cy="0"/>
                <wp:effectExtent l="0" t="0" r="0" b="0"/>
                <wp:wrapNone/>
                <wp:docPr id="3" name="Line 13"/>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ln>
                      </wps:spPr>
                      <wps:bodyPr/>
                    </wps:wsp>
                  </a:graphicData>
                </a:graphic>
              </wp:anchor>
            </w:drawing>
          </mc:Choice>
          <mc:Fallback>
            <w:pict>
              <v:line id="Line 13" o:spid="_x0000_s1026" o:spt="20" style="position:absolute;left:0pt;margin-left:-0.65pt;margin-top:32.95pt;height:0pt;width:441pt;z-index:251661312;mso-width-relative:page;mso-height-relative:page;" filled="f" stroked="t" coordsize="21600,21600" o:gfxdata="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gIEn8dcAAAAIAQAADwAAAAAAAAABACAAAAAiAAAAZHJzL2Rvd25y&#10;ZXYueG1sUEsBAhQAFAAAAAgAh07iQHkS62vGAQAAoQMAAA4AAAAAAAAAAQAgAAAAJgEAAGRycy9l&#10;Mm9Eb2MueG1sUEsFBgAAAAAGAAYAWQEAAF4FAAAAAA==&#10;">
                <v:fill on="f" focussize="0,0"/>
                <v:stroke weight="1pt" color="#000000" joinstyle="round"/>
                <v:imagedata o:title=""/>
                <o:lock v:ext="edit" aspectratio="f"/>
              </v:line>
            </w:pict>
          </mc:Fallback>
        </mc:AlternateContent>
      </w:r>
      <w:r>
        <w:rPr>
          <w:rFonts w:hint="eastAsia" w:ascii="仿宋_GB2312" w:hAnsi="仿宋" w:eastAsia="仿宋_GB2312" w:cstheme="minorBidi"/>
          <w:sz w:val="28"/>
          <w:szCs w:val="28"/>
          <w:lang w:bidi="ar-SA"/>
        </w:rPr>
        <w:t xml:space="preserve">鄂尔多斯市发展和改革委员会           </w:t>
      </w:r>
      <w:r>
        <w:rPr>
          <w:rFonts w:hint="eastAsia" w:ascii="仿宋_GB2312" w:hAnsi="仿宋" w:eastAsia="仿宋_GB2312" w:cstheme="minorBidi"/>
          <w:sz w:val="28"/>
          <w:szCs w:val="28"/>
          <w:lang w:val="en-US" w:eastAsia="zh-CN" w:bidi="ar-SA"/>
        </w:rPr>
        <w:t xml:space="preserve">  </w:t>
      </w:r>
      <w:r>
        <w:rPr>
          <w:rFonts w:hint="eastAsia" w:ascii="仿宋_GB2312" w:hAnsi="仿宋" w:eastAsia="仿宋_GB2312" w:cstheme="minorBidi"/>
          <w:sz w:val="28"/>
          <w:szCs w:val="28"/>
          <w:lang w:bidi="ar-SA"/>
        </w:rPr>
        <w:t>20</w:t>
      </w:r>
      <w:r>
        <w:rPr>
          <w:rFonts w:hint="eastAsia" w:ascii="仿宋_GB2312" w:hAnsi="仿宋" w:eastAsia="仿宋_GB2312" w:cstheme="minorBidi"/>
          <w:sz w:val="28"/>
          <w:szCs w:val="28"/>
          <w:lang w:val="en-US" w:eastAsia="zh-CN" w:bidi="ar-SA"/>
        </w:rPr>
        <w:t>23</w:t>
      </w:r>
      <w:r>
        <w:rPr>
          <w:rFonts w:hint="eastAsia" w:ascii="仿宋_GB2312" w:hAnsi="仿宋" w:eastAsia="仿宋_GB2312" w:cstheme="minorBidi"/>
          <w:sz w:val="28"/>
          <w:szCs w:val="28"/>
          <w:lang w:bidi="ar-SA"/>
        </w:rPr>
        <w:t>年</w:t>
      </w:r>
      <w:r>
        <w:rPr>
          <w:rFonts w:hint="eastAsia" w:ascii="仿宋_GB2312" w:hAnsi="仿宋" w:cstheme="minorBidi"/>
          <w:sz w:val="28"/>
          <w:szCs w:val="28"/>
          <w:lang w:val="en-US" w:eastAsia="zh-CN" w:bidi="ar-SA"/>
        </w:rPr>
        <w:t>9</w:t>
      </w:r>
      <w:r>
        <w:rPr>
          <w:rFonts w:hint="eastAsia" w:ascii="仿宋_GB2312" w:hAnsi="仿宋" w:eastAsia="仿宋_GB2312" w:cstheme="minorBidi"/>
          <w:sz w:val="28"/>
          <w:szCs w:val="28"/>
          <w:lang w:bidi="ar-SA"/>
        </w:rPr>
        <w:t>月</w:t>
      </w:r>
      <w:bookmarkStart w:id="0" w:name="_GoBack"/>
      <w:bookmarkEnd w:id="0"/>
      <w:r>
        <w:rPr>
          <w:rFonts w:hint="eastAsia" w:ascii="仿宋_GB2312" w:hAnsi="仿宋" w:cstheme="minorBidi"/>
          <w:sz w:val="28"/>
          <w:szCs w:val="28"/>
          <w:lang w:val="en-US" w:eastAsia="zh-CN" w:bidi="ar-SA"/>
        </w:rPr>
        <w:t>1</w:t>
      </w:r>
      <w:r>
        <w:rPr>
          <w:rFonts w:hint="eastAsia" w:ascii="仿宋_GB2312" w:hAnsi="仿宋" w:eastAsia="仿宋_GB2312" w:cstheme="minorBidi"/>
          <w:sz w:val="28"/>
          <w:szCs w:val="28"/>
          <w:lang w:bidi="ar-SA"/>
        </w:rPr>
        <w:t>日印发</w:t>
      </w:r>
    </w:p>
    <w:sectPr>
      <w:footerReference r:id="rId5" w:type="first"/>
      <w:footerReference r:id="rId3" w:type="default"/>
      <w:footerReference r:id="rId4"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4646295</wp:posOffset>
              </wp:positionH>
              <wp:positionV relativeFrom="paragraph">
                <wp:posOffset>41910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5.85pt;margin-top:3.3pt;height:144pt;width:144pt;mso-position-horizontal-relative:margin;mso-wrap-style:none;z-index:251659264;mso-width-relative:page;mso-height-relative:page;" filled="f" stroked="f" coordsize="21600,21600" o:gfxdata="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8iGNc1wAAAAoBAAAPAAAAAAAAAAEAIAAAACIAAABkcnMvZG93bnJldi54bWxQ&#10;SwECFAAUAAAACACHTuJAa4X5+zECAABhBAAADgAAAAAAAAABACAAAAAmAQAAZHJzL2Uyb0RvYy54&#10;bWxQSwUGAAAAAAYABgBZAQAAyQU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578"/>
        <w:tab w:val="clear" w:pos="4153"/>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xZjJmOGY3MWQzODE2YzhlNjY4MGY3OGZiNDZmNzIifQ=="/>
  </w:docVars>
  <w:rsids>
    <w:rsidRoot w:val="25B01EB0"/>
    <w:rsid w:val="00977709"/>
    <w:rsid w:val="01B666C0"/>
    <w:rsid w:val="05B66C8F"/>
    <w:rsid w:val="07DA288F"/>
    <w:rsid w:val="08324E00"/>
    <w:rsid w:val="0AFC7D2A"/>
    <w:rsid w:val="0B3C7C36"/>
    <w:rsid w:val="0C3628D7"/>
    <w:rsid w:val="0D330BC5"/>
    <w:rsid w:val="0D397A5A"/>
    <w:rsid w:val="12D60970"/>
    <w:rsid w:val="13325A6A"/>
    <w:rsid w:val="1353639E"/>
    <w:rsid w:val="15E16F9E"/>
    <w:rsid w:val="180D7253"/>
    <w:rsid w:val="193A32DB"/>
    <w:rsid w:val="19F21D4E"/>
    <w:rsid w:val="1C3127C9"/>
    <w:rsid w:val="1D4961E3"/>
    <w:rsid w:val="1EF63F8B"/>
    <w:rsid w:val="1F72557D"/>
    <w:rsid w:val="1F941997"/>
    <w:rsid w:val="1F9B176E"/>
    <w:rsid w:val="20AC0F62"/>
    <w:rsid w:val="22833F45"/>
    <w:rsid w:val="22CE3412"/>
    <w:rsid w:val="22EC5646"/>
    <w:rsid w:val="23205AE3"/>
    <w:rsid w:val="2500655F"/>
    <w:rsid w:val="253C2C1E"/>
    <w:rsid w:val="25AD2DB7"/>
    <w:rsid w:val="25B01EB0"/>
    <w:rsid w:val="26BE7F1A"/>
    <w:rsid w:val="2B711D0B"/>
    <w:rsid w:val="2D8172D3"/>
    <w:rsid w:val="311B77D4"/>
    <w:rsid w:val="3220530C"/>
    <w:rsid w:val="330E5D16"/>
    <w:rsid w:val="34515C51"/>
    <w:rsid w:val="351720F0"/>
    <w:rsid w:val="35987863"/>
    <w:rsid w:val="394E459E"/>
    <w:rsid w:val="39CF2BBA"/>
    <w:rsid w:val="3B4E6A46"/>
    <w:rsid w:val="3CF37C37"/>
    <w:rsid w:val="3EF913BF"/>
    <w:rsid w:val="3F0C5977"/>
    <w:rsid w:val="3F890D2A"/>
    <w:rsid w:val="43B05F92"/>
    <w:rsid w:val="43F0444D"/>
    <w:rsid w:val="457273C9"/>
    <w:rsid w:val="46072613"/>
    <w:rsid w:val="463E71C8"/>
    <w:rsid w:val="47B459C6"/>
    <w:rsid w:val="4A4A6F73"/>
    <w:rsid w:val="4A75434F"/>
    <w:rsid w:val="4B3A7D12"/>
    <w:rsid w:val="4B6B4C49"/>
    <w:rsid w:val="4F651E48"/>
    <w:rsid w:val="4FA76BE4"/>
    <w:rsid w:val="51330760"/>
    <w:rsid w:val="519A0805"/>
    <w:rsid w:val="557019FE"/>
    <w:rsid w:val="55AC150D"/>
    <w:rsid w:val="55E33D1C"/>
    <w:rsid w:val="57805D55"/>
    <w:rsid w:val="59CC6D3A"/>
    <w:rsid w:val="63556314"/>
    <w:rsid w:val="66ED0F5A"/>
    <w:rsid w:val="69283D05"/>
    <w:rsid w:val="69B12712"/>
    <w:rsid w:val="6AA40F5E"/>
    <w:rsid w:val="6C7161D2"/>
    <w:rsid w:val="6D750A2A"/>
    <w:rsid w:val="6DD15131"/>
    <w:rsid w:val="6E5B5AF2"/>
    <w:rsid w:val="78AC2A23"/>
    <w:rsid w:val="79061ED7"/>
    <w:rsid w:val="7A200C98"/>
    <w:rsid w:val="7D965A4F"/>
    <w:rsid w:val="7DEE7639"/>
    <w:rsid w:val="7EB6457A"/>
    <w:rsid w:val="7FDB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Ascii" w:hAnsiTheme="minorAscii" w:cstheme="minorBidi"/>
      <w:kern w:val="2"/>
      <w:sz w:val="32"/>
      <w:szCs w:val="24"/>
      <w:lang w:val="en-US" w:eastAsia="zh-CN" w:bidi="ar-SA"/>
    </w:rPr>
  </w:style>
  <w:style w:type="paragraph" w:styleId="3">
    <w:name w:val="heading 6"/>
    <w:next w:val="1"/>
    <w:unhideWhenUsed/>
    <w:qFormat/>
    <w:uiPriority w:val="9"/>
    <w:pPr>
      <w:keepNext/>
      <w:keepLines/>
      <w:widowControl w:val="0"/>
      <w:spacing w:before="240" w:beforeLines="0" w:after="64" w:afterLines="0" w:line="320" w:lineRule="atLeast"/>
      <w:jc w:val="both"/>
      <w:outlineLvl w:val="5"/>
    </w:pPr>
    <w:rPr>
      <w:rFonts w:ascii="Arial" w:hAnsi="Arial" w:eastAsia="黑体" w:cstheme="minorBidi"/>
      <w:b/>
      <w:bCs/>
      <w:kern w:val="2"/>
      <w:sz w:val="32"/>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828</Words>
  <Characters>922</Characters>
  <Lines>0</Lines>
  <Paragraphs>0</Paragraphs>
  <TotalTime>92</TotalTime>
  <ScaleCrop>false</ScaleCrop>
  <LinksUpToDate>false</LinksUpToDate>
  <CharactersWithSpaces>970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2022-08-17T07:37:00Z</dcterms:created>
  <dc:creator>温柔</dc:creator>
  <cp:lastModifiedBy>温柔</cp:lastModifiedBy>
  <cp:lastPrinted>2023-07-07T03:28:00Z</cp:lastPrinted>
  <dcterms:modified xsi:type="dcterms:W3CDTF">2023-09-01T01:49:53Z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5ADC769669B642B29305BBCECD01ED1F</vt:lpwstr>
  </property>
</Properties>
</file>