
<file path=[Content_Types].xml><?xml version="1.0" encoding="utf-8"?>
<Types xmlns="http://schemas.openxmlformats.org/package/2006/content-types">
  <Default Extension="xml" ContentType="application/xml"/>
  <Default Extension="wmf" ContentType="image/x-wmf"/>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03.080.01</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16"/>
                  </w:textInput>
                </w:ffData>
              </w:fldChar>
            </w:r>
            <w:r>
              <w:rPr>
                <w:rFonts w:ascii="黑体" w:hAnsi="黑体" w:eastAsia="黑体"/>
                <w:sz w:val="21"/>
                <w:szCs w:val="21"/>
              </w:rPr>
              <w:instrText xml:space="preserve"> </w:instrText>
            </w:r>
            <w:bookmarkStart w:id="1" w:name="CSDN"/>
            <w:r>
              <w:rPr>
                <w:rFonts w:ascii="黑体" w:hAnsi="黑体" w:eastAsia="黑体"/>
                <w:sz w:val="21"/>
                <w:szCs w:val="21"/>
              </w:rPr>
              <w:instrText xml:space="preserve">FORMTEXT </w:instrText>
            </w:r>
            <w:r>
              <w:rPr>
                <w:rFonts w:ascii="黑体" w:hAnsi="黑体" w:eastAsia="黑体"/>
                <w:sz w:val="21"/>
                <w:szCs w:val="21"/>
              </w:rPr>
              <w:fldChar w:fldCharType="separate"/>
            </w:r>
            <w:r>
              <w:rPr>
                <w:rFonts w:ascii="黑体" w:hAnsi="黑体" w:eastAsia="黑体"/>
                <w:sz w:val="21"/>
                <w:szCs w:val="21"/>
              </w:rPr>
              <w:t>A16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1506</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矛盾纠纷分级分类多元化解规范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w:t>
      </w:r>
      <w:r>
        <w:rPr>
          <w:rFonts w:eastAsia="黑体"/>
          <w:szCs w:val="28"/>
        </w:rPr>
        <w:t xml:space="preserve">pecification for the </w:t>
      </w:r>
      <w:r>
        <w:rPr>
          <w:rFonts w:hint="eastAsia" w:eastAsia="黑体"/>
          <w:szCs w:val="28"/>
        </w:rPr>
        <w:t>g</w:t>
      </w:r>
      <w:r>
        <w:rPr>
          <w:rFonts w:eastAsia="黑体"/>
          <w:szCs w:val="28"/>
        </w:rPr>
        <w:t>raded classification</w:t>
      </w:r>
      <w:r>
        <w:rPr>
          <w:rFonts w:hint="eastAsia" w:eastAsia="黑体"/>
          <w:szCs w:val="28"/>
        </w:rPr>
        <w:t xml:space="preserve"> </w:t>
      </w:r>
      <w:r>
        <w:rPr>
          <w:rFonts w:eastAsia="黑体"/>
          <w:szCs w:val="28"/>
        </w:rPr>
        <w:t>mediation of conflicts and disputes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int="eastAsia"/>
        </w:rPr>
      </w:pPr>
      <w:bookmarkStart w:id="21" w:name="BookMark1"/>
      <w:bookmarkStart w:id="22" w:name="_Toc161652974"/>
      <w:bookmarkStart w:id="23" w:name="_Toc163052786"/>
      <w:bookmarkStart w:id="24" w:name="_Toc165985930"/>
      <w:bookmarkStart w:id="25" w:name="_Toc161839152"/>
      <w:bookmarkStart w:id="26" w:name="_Toc163809934"/>
      <w:bookmarkStart w:id="27" w:name="_Toc163761843"/>
      <w:bookmarkStart w:id="28" w:name="_Toc161653024"/>
      <w:bookmarkStart w:id="29" w:name="_Toc164261812"/>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"_Toc166011730" </w:instrText>
      </w:r>
      <w:r>
        <w:fldChar w:fldCharType="separate"/>
      </w:r>
      <w:r>
        <w:rPr>
          <w:rStyle w:val="34"/>
        </w:rPr>
        <w:t>前言</w:t>
      </w:r>
      <w:r>
        <w:tab/>
      </w:r>
      <w:r>
        <w:fldChar w:fldCharType="begin"/>
      </w:r>
      <w:r>
        <w:instrText xml:space="preserve"> PAGEREF _Toc166011730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"_Toc166011731" </w:instrText>
      </w:r>
      <w:r>
        <w:fldChar w:fldCharType="separate"/>
      </w:r>
      <w:r>
        <w:rPr>
          <w:rStyle w:val="34"/>
        </w:rPr>
        <w:t>1  范围</w:t>
      </w:r>
      <w:r>
        <w:tab/>
      </w:r>
      <w:r>
        <w:fldChar w:fldCharType="begin"/>
      </w:r>
      <w:r>
        <w:instrText xml:space="preserve"> PAGEREF _Toc166011731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"_Toc166011732" </w:instrText>
      </w:r>
      <w:r>
        <w:fldChar w:fldCharType="separate"/>
      </w:r>
      <w:r>
        <w:rPr>
          <w:rStyle w:val="34"/>
        </w:rPr>
        <w:t>2  规范性引用文</w:t>
      </w:r>
      <w:r>
        <w:tab/>
      </w:r>
      <w:r>
        <w:fldChar w:fldCharType="begin"/>
      </w:r>
      <w:r>
        <w:instrText xml:space="preserve"> PAGEREF _Toc166011732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"_Toc166011733" </w:instrText>
      </w:r>
      <w:r>
        <w:fldChar w:fldCharType="separate"/>
      </w:r>
      <w:r>
        <w:rPr>
          <w:rStyle w:val="34"/>
        </w:rPr>
        <w:t>3  术语和定义</w:t>
      </w:r>
      <w:r>
        <w:tab/>
      </w:r>
      <w:r>
        <w:fldChar w:fldCharType="begin"/>
      </w:r>
      <w:r>
        <w:instrText xml:space="preserve"> PAGEREF _Toc166011733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"_Toc166011734" </w:instrText>
      </w:r>
      <w:r>
        <w:fldChar w:fldCharType="separate"/>
      </w:r>
      <w:r>
        <w:rPr>
          <w:rStyle w:val="34"/>
        </w:rPr>
        <w:t>4  基本原则</w:t>
      </w:r>
      <w:r>
        <w:tab/>
      </w:r>
      <w:r>
        <w:fldChar w:fldCharType="begin"/>
      </w:r>
      <w:r>
        <w:instrText xml:space="preserve"> PAGEREF _Toc166011734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"_Toc166011735" </w:instrText>
      </w:r>
      <w:r>
        <w:fldChar w:fldCharType="separate"/>
      </w:r>
      <w:r>
        <w:rPr>
          <w:rStyle w:val="34"/>
        </w:rPr>
        <w:t>5  机构组成</w:t>
      </w:r>
      <w:r>
        <w:tab/>
      </w:r>
      <w:r>
        <w:fldChar w:fldCharType="begin"/>
      </w:r>
      <w:r>
        <w:instrText xml:space="preserve"> PAGEREF _Toc166011735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"_Toc166011736" </w:instrText>
      </w:r>
      <w:r>
        <w:fldChar w:fldCharType="separate"/>
      </w:r>
      <w:r>
        <w:rPr>
          <w:rStyle w:val="34"/>
          <w14:scene3d w14:prst="orthographicFront">
            <w14:lightRig w14:rig="threePt" w14:dir="t">
              <w14:rot w14:lat="0" w14:lon="0" w14:rev="0"/>
            </w14:lightRig>
          </w14:scene3d>
        </w:rPr>
        <w:t xml:space="preserve">5.1 </w:t>
      </w:r>
      <w:r>
        <w:rPr>
          <w:rStyle w:val="34"/>
        </w:rPr>
        <w:t xml:space="preserve"> 管理机构</w:t>
      </w:r>
      <w:r>
        <w:tab/>
      </w:r>
      <w:r>
        <w:fldChar w:fldCharType="begin"/>
      </w:r>
      <w:r>
        <w:instrText xml:space="preserve"> PAGEREF _Toc166011736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"_Toc166011737" </w:instrText>
      </w:r>
      <w:r>
        <w:fldChar w:fldCharType="separate"/>
      </w:r>
      <w:r>
        <w:rPr>
          <w:rStyle w:val="34"/>
          <w14:scene3d w14:prst="orthographicFront">
            <w14:lightRig w14:rig="threePt" w14:dir="t">
              <w14:rot w14:lat="0" w14:lon="0" w14:rev="0"/>
            </w14:lightRig>
          </w14:scene3d>
        </w:rPr>
        <w:t xml:space="preserve">5.2 </w:t>
      </w:r>
      <w:r>
        <w:rPr>
          <w:rStyle w:val="34"/>
        </w:rPr>
        <w:t xml:space="preserve"> 受理机构</w:t>
      </w:r>
      <w:r>
        <w:tab/>
      </w:r>
      <w:r>
        <w:fldChar w:fldCharType="begin"/>
      </w:r>
      <w:r>
        <w:instrText xml:space="preserve"> PAGEREF _Toc166011737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"_Toc166011738" </w:instrText>
      </w:r>
      <w:r>
        <w:fldChar w:fldCharType="separate"/>
      </w:r>
      <w:r>
        <w:rPr>
          <w:rStyle w:val="34"/>
          <w14:scene3d w14:prst="orthographicFront">
            <w14:lightRig w14:rig="threePt" w14:dir="t">
              <w14:rot w14:lat="0" w14:lon="0" w14:rev="0"/>
            </w14:lightRig>
          </w14:scene3d>
        </w:rPr>
        <w:t xml:space="preserve">5.3 </w:t>
      </w:r>
      <w:r>
        <w:rPr>
          <w:rStyle w:val="34"/>
        </w:rPr>
        <w:t xml:space="preserve"> 调解组织</w:t>
      </w:r>
      <w:r>
        <w:tab/>
      </w:r>
      <w:r>
        <w:fldChar w:fldCharType="begin"/>
      </w:r>
      <w:r>
        <w:instrText xml:space="preserve"> PAGEREF _Toc166011738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"_Toc166011739" </w:instrText>
      </w:r>
      <w:r>
        <w:fldChar w:fldCharType="separate"/>
      </w:r>
      <w:r>
        <w:rPr>
          <w:rStyle w:val="34"/>
        </w:rPr>
        <w:t>6  工作队伍</w:t>
      </w:r>
      <w:r>
        <w:tab/>
      </w:r>
      <w:r>
        <w:fldChar w:fldCharType="begin"/>
      </w:r>
      <w:r>
        <w:instrText xml:space="preserve"> PAGEREF _Toc166011739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"_Toc166011740" </w:instrText>
      </w:r>
      <w:r>
        <w:fldChar w:fldCharType="separate"/>
      </w:r>
      <w:r>
        <w:rPr>
          <w:rStyle w:val="34"/>
          <w14:scene3d w14:prst="orthographicFront">
            <w14:lightRig w14:rig="threePt" w14:dir="t">
              <w14:rot w14:lat="0" w14:lon="0" w14:rev="0"/>
            </w14:lightRig>
          </w14:scene3d>
        </w:rPr>
        <w:t xml:space="preserve">6.1 </w:t>
      </w:r>
      <w:r>
        <w:rPr>
          <w:rStyle w:val="34"/>
        </w:rPr>
        <w:t xml:space="preserve"> 人员构成</w:t>
      </w:r>
      <w:r>
        <w:tab/>
      </w:r>
      <w:r>
        <w:fldChar w:fldCharType="begin"/>
      </w:r>
      <w:r>
        <w:instrText xml:space="preserve"> PAGEREF _Toc166011740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"_Toc166011741" </w:instrText>
      </w:r>
      <w:r>
        <w:fldChar w:fldCharType="separate"/>
      </w:r>
      <w:r>
        <w:rPr>
          <w:rStyle w:val="34"/>
          <w14:scene3d w14:prst="orthographicFront">
            <w14:lightRig w14:rig="threePt" w14:dir="t">
              <w14:rot w14:lat="0" w14:lon="0" w14:rev="0"/>
            </w14:lightRig>
          </w14:scene3d>
        </w:rPr>
        <w:t xml:space="preserve">6.2 </w:t>
      </w:r>
      <w:r>
        <w:rPr>
          <w:rStyle w:val="34"/>
        </w:rPr>
        <w:t xml:space="preserve"> 人员要求</w:t>
      </w:r>
      <w:r>
        <w:tab/>
      </w:r>
      <w:r>
        <w:fldChar w:fldCharType="begin"/>
      </w:r>
      <w:r>
        <w:instrText xml:space="preserve"> PAGEREF _Toc166011741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"_Toc166011742" </w:instrText>
      </w:r>
      <w:r>
        <w:fldChar w:fldCharType="separate"/>
      </w:r>
      <w:r>
        <w:rPr>
          <w:rStyle w:val="34"/>
        </w:rPr>
        <w:t>7  矛盾纠纷分级分类多元化解流程</w:t>
      </w:r>
      <w:r>
        <w:tab/>
      </w:r>
      <w:r>
        <w:fldChar w:fldCharType="begin"/>
      </w:r>
      <w:r>
        <w:instrText xml:space="preserve"> PAGEREF _Toc166011742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"_Toc166011743" </w:instrText>
      </w:r>
      <w:r>
        <w:fldChar w:fldCharType="separate"/>
      </w:r>
      <w:r>
        <w:rPr>
          <w:rStyle w:val="34"/>
        </w:rPr>
        <w:t>8  事项来源</w:t>
      </w:r>
      <w:r>
        <w:tab/>
      </w:r>
      <w:r>
        <w:fldChar w:fldCharType="begin"/>
      </w:r>
      <w:r>
        <w:instrText xml:space="preserve"> PAGEREF _Toc166011743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"_Toc166011744" </w:instrText>
      </w:r>
      <w:r>
        <w:fldChar w:fldCharType="separate"/>
      </w:r>
      <w:r>
        <w:rPr>
          <w:rStyle w:val="34"/>
          <w14:scene3d w14:prst="orthographicFront">
            <w14:lightRig w14:rig="threePt" w14:dir="t">
              <w14:rot w14:lat="0" w14:lon="0" w14:rev="0"/>
            </w14:lightRig>
          </w14:scene3d>
        </w:rPr>
        <w:t xml:space="preserve">8.1 </w:t>
      </w:r>
      <w:r>
        <w:rPr>
          <w:rStyle w:val="34"/>
        </w:rPr>
        <w:t xml:space="preserve"> 矛盾纠纷排查</w:t>
      </w:r>
      <w:r>
        <w:tab/>
      </w:r>
      <w:r>
        <w:fldChar w:fldCharType="begin"/>
      </w:r>
      <w:r>
        <w:instrText xml:space="preserve"> PAGEREF _Toc166011744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"_Toc166011745" </w:instrText>
      </w:r>
      <w:r>
        <w:fldChar w:fldCharType="separate"/>
      </w:r>
      <w:r>
        <w:rPr>
          <w:rStyle w:val="34"/>
          <w14:scene3d w14:prst="orthographicFront">
            <w14:lightRig w14:rig="threePt" w14:dir="t">
              <w14:rot w14:lat="0" w14:lon="0" w14:rev="0"/>
            </w14:lightRig>
          </w14:scene3d>
        </w:rPr>
        <w:t xml:space="preserve">8.2 </w:t>
      </w:r>
      <w:r>
        <w:rPr>
          <w:rStyle w:val="34"/>
        </w:rPr>
        <w:t xml:space="preserve"> 多渠道收集</w:t>
      </w:r>
      <w:r>
        <w:tab/>
      </w:r>
      <w:r>
        <w:fldChar w:fldCharType="begin"/>
      </w:r>
      <w:r>
        <w:instrText xml:space="preserve"> PAGEREF _Toc166011745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"_Toc166011746" </w:instrText>
      </w:r>
      <w:r>
        <w:fldChar w:fldCharType="separate"/>
      </w:r>
      <w:r>
        <w:rPr>
          <w:rStyle w:val="34"/>
          <w14:scene3d w14:prst="orthographicFront">
            <w14:lightRig w14:rig="threePt" w14:dir="t">
              <w14:rot w14:lat="0" w14:lon="0" w14:rev="0"/>
            </w14:lightRig>
          </w14:scene3d>
        </w:rPr>
        <w:t xml:space="preserve">8.3 </w:t>
      </w:r>
      <w:r>
        <w:rPr>
          <w:rStyle w:val="34"/>
        </w:rPr>
        <w:t xml:space="preserve"> 各级交办</w:t>
      </w:r>
      <w:r>
        <w:tab/>
      </w:r>
      <w:r>
        <w:fldChar w:fldCharType="begin"/>
      </w:r>
      <w:r>
        <w:instrText xml:space="preserve"> PAGEREF _Toc166011746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"_Toc166011747" </w:instrText>
      </w:r>
      <w:r>
        <w:fldChar w:fldCharType="separate"/>
      </w:r>
      <w:r>
        <w:rPr>
          <w:rStyle w:val="34"/>
        </w:rPr>
        <w:t>9  受理渠道</w:t>
      </w:r>
      <w:r>
        <w:tab/>
      </w:r>
      <w:r>
        <w:fldChar w:fldCharType="begin"/>
      </w:r>
      <w:r>
        <w:instrText xml:space="preserve"> PAGEREF _Toc166011747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"_Toc166011748" </w:instrText>
      </w:r>
      <w:r>
        <w:fldChar w:fldCharType="separate"/>
      </w:r>
      <w:r>
        <w:rPr>
          <w:rStyle w:val="34"/>
          <w14:scene3d w14:prst="orthographicFront">
            <w14:lightRig w14:rig="threePt" w14:dir="t">
              <w14:rot w14:lat="0" w14:lon="0" w14:rev="0"/>
            </w14:lightRig>
          </w14:scene3d>
        </w:rPr>
        <w:t xml:space="preserve">9.1 </w:t>
      </w:r>
      <w:r>
        <w:rPr>
          <w:rStyle w:val="34"/>
        </w:rPr>
        <w:t xml:space="preserve"> 基本要求</w:t>
      </w:r>
      <w:r>
        <w:tab/>
      </w:r>
      <w:r>
        <w:fldChar w:fldCharType="begin"/>
      </w:r>
      <w:r>
        <w:instrText xml:space="preserve"> PAGEREF _Toc166011748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"_Toc166011749" </w:instrText>
      </w:r>
      <w:r>
        <w:fldChar w:fldCharType="separate"/>
      </w:r>
      <w:r>
        <w:rPr>
          <w:rStyle w:val="34"/>
          <w14:scene3d w14:prst="orthographicFront">
            <w14:lightRig w14:rig="threePt" w14:dir="t">
              <w14:rot w14:lat="0" w14:lon="0" w14:rev="0"/>
            </w14:lightRig>
          </w14:scene3d>
        </w:rPr>
        <w:t xml:space="preserve">9.2 </w:t>
      </w:r>
      <w:r>
        <w:rPr>
          <w:rStyle w:val="34"/>
        </w:rPr>
        <w:t xml:space="preserve"> 线上受理</w:t>
      </w:r>
      <w:r>
        <w:tab/>
      </w:r>
      <w:r>
        <w:fldChar w:fldCharType="begin"/>
      </w:r>
      <w:r>
        <w:instrText xml:space="preserve"> PAGEREF _Toc166011749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"_Toc166011750" </w:instrText>
      </w:r>
      <w:r>
        <w:fldChar w:fldCharType="separate"/>
      </w:r>
      <w:r>
        <w:rPr>
          <w:rStyle w:val="34"/>
          <w14:scene3d w14:prst="orthographicFront">
            <w14:lightRig w14:rig="threePt" w14:dir="t">
              <w14:rot w14:lat="0" w14:lon="0" w14:rev="0"/>
            </w14:lightRig>
          </w14:scene3d>
        </w:rPr>
        <w:t xml:space="preserve">9.3 </w:t>
      </w:r>
      <w:r>
        <w:rPr>
          <w:rStyle w:val="34"/>
        </w:rPr>
        <w:t xml:space="preserve"> 线下受理</w:t>
      </w:r>
      <w:r>
        <w:tab/>
      </w:r>
      <w:r>
        <w:fldChar w:fldCharType="begin"/>
      </w:r>
      <w:r>
        <w:instrText xml:space="preserve"> PAGEREF _Toc166011750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"_Toc166011751" </w:instrText>
      </w:r>
      <w:r>
        <w:fldChar w:fldCharType="separate"/>
      </w:r>
      <w:r>
        <w:rPr>
          <w:rStyle w:val="34"/>
        </w:rPr>
        <w:t>10  矛盾分类</w:t>
      </w:r>
      <w:r>
        <w:tab/>
      </w:r>
      <w:r>
        <w:fldChar w:fldCharType="begin"/>
      </w:r>
      <w:r>
        <w:instrText xml:space="preserve"> PAGEREF _Toc166011751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"_Toc166011752" </w:instrText>
      </w:r>
      <w:r>
        <w:fldChar w:fldCharType="separate"/>
      </w:r>
      <w:r>
        <w:rPr>
          <w:rStyle w:val="34"/>
          <w14:scene3d w14:prst="orthographicFront">
            <w14:lightRig w14:rig="threePt" w14:dir="t">
              <w14:rot w14:lat="0" w14:lon="0" w14:rev="0"/>
            </w14:lightRig>
          </w14:scene3d>
        </w:rPr>
        <w:t xml:space="preserve">10.1 </w:t>
      </w:r>
      <w:r>
        <w:rPr>
          <w:rStyle w:val="34"/>
        </w:rPr>
        <w:t xml:space="preserve"> 一般矛盾纠纷</w:t>
      </w:r>
      <w:r>
        <w:tab/>
      </w:r>
      <w:r>
        <w:fldChar w:fldCharType="begin"/>
      </w:r>
      <w:r>
        <w:instrText xml:space="preserve"> PAGEREF _Toc166011752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"_Toc166011753" </w:instrText>
      </w:r>
      <w:r>
        <w:fldChar w:fldCharType="separate"/>
      </w:r>
      <w:r>
        <w:rPr>
          <w:rStyle w:val="34"/>
          <w14:scene3d w14:prst="orthographicFront">
            <w14:lightRig w14:rig="threePt" w14:dir="t">
              <w14:rot w14:lat="0" w14:lon="0" w14:rev="0"/>
            </w14:lightRig>
          </w14:scene3d>
        </w:rPr>
        <w:t xml:space="preserve">10.2 </w:t>
      </w:r>
      <w:r>
        <w:rPr>
          <w:rStyle w:val="34"/>
        </w:rPr>
        <w:t xml:space="preserve"> 行业和专业领域矛盾纠纷</w:t>
      </w:r>
      <w:r>
        <w:tab/>
      </w:r>
      <w:r>
        <w:fldChar w:fldCharType="begin"/>
      </w:r>
      <w:r>
        <w:instrText xml:space="preserve"> PAGEREF _Toc166011753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"_Toc166011754" </w:instrText>
      </w:r>
      <w:r>
        <w:fldChar w:fldCharType="separate"/>
      </w:r>
      <w:r>
        <w:rPr>
          <w:rStyle w:val="34"/>
          <w14:scene3d w14:prst="orthographicFront">
            <w14:lightRig w14:rig="threePt" w14:dir="t">
              <w14:rot w14:lat="0" w14:lon="0" w14:rev="0"/>
            </w14:lightRig>
          </w14:scene3d>
        </w:rPr>
        <w:t xml:space="preserve">10.3 </w:t>
      </w:r>
      <w:r>
        <w:rPr>
          <w:rStyle w:val="34"/>
        </w:rPr>
        <w:t xml:space="preserve"> 重大疑难复杂矛盾纠纷</w:t>
      </w:r>
      <w:r>
        <w:tab/>
      </w:r>
      <w:r>
        <w:fldChar w:fldCharType="begin"/>
      </w:r>
      <w:r>
        <w:instrText xml:space="preserve"> PAGEREF _Toc166011754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"_Toc166011755" </w:instrText>
      </w:r>
      <w:r>
        <w:fldChar w:fldCharType="separate"/>
      </w:r>
      <w:r>
        <w:rPr>
          <w:rStyle w:val="34"/>
        </w:rPr>
        <w:t>11  矛盾调处</w:t>
      </w:r>
      <w:r>
        <w:tab/>
      </w:r>
      <w:r>
        <w:fldChar w:fldCharType="begin"/>
      </w:r>
      <w:r>
        <w:instrText xml:space="preserve"> PAGEREF _Toc166011755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"_Toc166011756" </w:instrText>
      </w:r>
      <w:r>
        <w:fldChar w:fldCharType="separate"/>
      </w:r>
      <w:r>
        <w:rPr>
          <w:rStyle w:val="34"/>
          <w14:scene3d w14:prst="orthographicFront">
            <w14:lightRig w14:rig="threePt" w14:dir="t">
              <w14:rot w14:lat="0" w14:lon="0" w14:rev="0"/>
            </w14:lightRig>
          </w14:scene3d>
        </w:rPr>
        <w:t xml:space="preserve">11.1 </w:t>
      </w:r>
      <w:r>
        <w:rPr>
          <w:rStyle w:val="34"/>
        </w:rPr>
        <w:t xml:space="preserve"> 即知即调</w:t>
      </w:r>
      <w:r>
        <w:tab/>
      </w:r>
      <w:r>
        <w:fldChar w:fldCharType="begin"/>
      </w:r>
      <w:r>
        <w:instrText xml:space="preserve"> PAGEREF _Toc166011756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"_Toc166011757" </w:instrText>
      </w:r>
      <w:r>
        <w:fldChar w:fldCharType="separate"/>
      </w:r>
      <w:r>
        <w:rPr>
          <w:rStyle w:val="34"/>
          <w14:scene3d w14:prst="orthographicFront">
            <w14:lightRig w14:rig="threePt" w14:dir="t">
              <w14:rot w14:lat="0" w14:lon="0" w14:rev="0"/>
            </w14:lightRig>
          </w14:scene3d>
        </w:rPr>
        <w:t xml:space="preserve">11.2 </w:t>
      </w:r>
      <w:r>
        <w:rPr>
          <w:rStyle w:val="34"/>
        </w:rPr>
        <w:t xml:space="preserve"> 分流分调</w:t>
      </w:r>
      <w:r>
        <w:tab/>
      </w:r>
      <w:r>
        <w:fldChar w:fldCharType="begin"/>
      </w:r>
      <w:r>
        <w:instrText xml:space="preserve"> PAGEREF _Toc166011757 \h </w:instrText>
      </w:r>
      <w:r>
        <w:fldChar w:fldCharType="separate"/>
      </w:r>
      <w: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"_Toc166011758" </w:instrText>
      </w:r>
      <w:r>
        <w:fldChar w:fldCharType="separate"/>
      </w:r>
      <w:r>
        <w:rPr>
          <w:rStyle w:val="34"/>
          <w14:scene3d w14:prst="orthographicFront">
            <w14:lightRig w14:rig="threePt" w14:dir="t">
              <w14:rot w14:lat="0" w14:lon="0" w14:rev="0"/>
            </w14:lightRig>
          </w14:scene3d>
        </w:rPr>
        <w:t xml:space="preserve">11.3 </w:t>
      </w:r>
      <w:r>
        <w:rPr>
          <w:rStyle w:val="34"/>
        </w:rPr>
        <w:t xml:space="preserve"> 联管联调</w:t>
      </w:r>
      <w:r>
        <w:tab/>
      </w:r>
      <w:r>
        <w:fldChar w:fldCharType="begin"/>
      </w:r>
      <w:r>
        <w:instrText xml:space="preserve"> PAGEREF _Toc166011758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"_Toc166011759" </w:instrText>
      </w:r>
      <w:r>
        <w:fldChar w:fldCharType="separate"/>
      </w:r>
      <w:r>
        <w:rPr>
          <w:rStyle w:val="34"/>
        </w:rPr>
        <w:t>12  档案管理</w:t>
      </w:r>
      <w:r>
        <w:tab/>
      </w:r>
      <w:r>
        <w:fldChar w:fldCharType="begin"/>
      </w:r>
      <w:r>
        <w:instrText xml:space="preserve"> PAGEREF _Toc166011759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"_Toc166011760" </w:instrText>
      </w:r>
      <w:r>
        <w:fldChar w:fldCharType="separate"/>
      </w:r>
      <w:r>
        <w:rPr>
          <w:rStyle w:val="34"/>
        </w:rPr>
        <w:t>13  评价与改进</w:t>
      </w:r>
      <w:r>
        <w:tab/>
      </w:r>
      <w:r>
        <w:fldChar w:fldCharType="begin"/>
      </w:r>
      <w:r>
        <w:instrText xml:space="preserve"> PAGEREF _Toc166011760 \h </w:instrText>
      </w:r>
      <w:r>
        <w:fldChar w:fldCharType="separate"/>
      </w:r>
      <w:r>
        <w:t>6</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"_Toc166011761" </w:instrText>
      </w:r>
      <w:r>
        <w:fldChar w:fldCharType="separate"/>
      </w:r>
      <w:r>
        <w:rPr>
          <w:rStyle w:val="34"/>
          <w14:scene3d w14:prst="orthographicFront">
            <w14:lightRig w14:rig="threePt" w14:dir="t">
              <w14:rot w14:lat="0" w14:lon="0" w14:rev="0"/>
            </w14:lightRig>
          </w14:scene3d>
        </w:rPr>
        <w:t xml:space="preserve">13.1 </w:t>
      </w:r>
      <w:r>
        <w:rPr>
          <w:rStyle w:val="34"/>
        </w:rPr>
        <w:t xml:space="preserve"> 评价</w:t>
      </w:r>
      <w:r>
        <w:tab/>
      </w:r>
      <w:r>
        <w:fldChar w:fldCharType="begin"/>
      </w:r>
      <w:r>
        <w:instrText xml:space="preserve"> PAGEREF _Toc166011761 \h </w:instrText>
      </w:r>
      <w:r>
        <w:fldChar w:fldCharType="separate"/>
      </w:r>
      <w:r>
        <w:t>7</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"_Toc166011762" </w:instrText>
      </w:r>
      <w:r>
        <w:fldChar w:fldCharType="separate"/>
      </w:r>
      <w:r>
        <w:rPr>
          <w:rStyle w:val="34"/>
          <w14:scene3d w14:prst="orthographicFront">
            <w14:lightRig w14:rig="threePt" w14:dir="t">
              <w14:rot w14:lat="0" w14:lon="0" w14:rev="0"/>
            </w14:lightRig>
          </w14:scene3d>
        </w:rPr>
        <w:t xml:space="preserve">13.2 </w:t>
      </w:r>
      <w:r>
        <w:rPr>
          <w:rStyle w:val="34"/>
        </w:rPr>
        <w:t xml:space="preserve"> 改进</w:t>
      </w:r>
      <w:r>
        <w:tab/>
      </w:r>
      <w:r>
        <w:fldChar w:fldCharType="begin"/>
      </w:r>
      <w:r>
        <w:instrText xml:space="preserve"> PAGEREF _Toc166011762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"_Toc166011763" </w:instrText>
      </w:r>
      <w:r>
        <w:fldChar w:fldCharType="separate"/>
      </w:r>
      <w:r>
        <w:rPr>
          <w:rStyle w:val="34"/>
        </w:rPr>
        <w:t>附录A（资料性）  矛盾纠纷分级分类多元化解流程图</w:t>
      </w:r>
      <w:r>
        <w:tab/>
      </w:r>
      <w:r>
        <w:fldChar w:fldCharType="begin"/>
      </w:r>
      <w:r>
        <w:instrText xml:space="preserve"> PAGEREF _Toc166011763 \h </w:instrText>
      </w:r>
      <w:r>
        <w:fldChar w:fldCharType="separate"/>
      </w:r>
      <w:r>
        <w:t>8</w:t>
      </w:r>
      <w:r>
        <w:fldChar w:fldCharType="end"/>
      </w:r>
      <w:r>
        <w:fldChar w:fldCharType="end"/>
      </w:r>
    </w:p>
    <w:p>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after="468"/>
      </w:pPr>
      <w:bookmarkStart w:id="30" w:name="_Toc166011730"/>
      <w:bookmarkStart w:id="31" w:name="BookMark2"/>
      <w:r>
        <w:rPr>
          <w:spacing w:val="320"/>
        </w:rPr>
        <w:t>前</w:t>
      </w:r>
      <w:r>
        <w:t>言</w:t>
      </w:r>
      <w:bookmarkEnd w:id="22"/>
      <w:bookmarkEnd w:id="23"/>
      <w:bookmarkEnd w:id="24"/>
      <w:bookmarkEnd w:id="25"/>
      <w:bookmarkEnd w:id="26"/>
      <w:bookmarkEnd w:id="27"/>
      <w:bookmarkEnd w:id="28"/>
      <w:bookmarkEnd w:id="29"/>
      <w:bookmarkEnd w:id="30"/>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请注意本标准的某些内容可能涉及专利。本标准的发布机构不承担识别专利的责任。</w:t>
      </w:r>
    </w:p>
    <w:p>
      <w:pPr>
        <w:pStyle w:val="59"/>
        <w:ind w:firstLine="420"/>
      </w:pPr>
      <w:r>
        <w:rPr>
          <w:rFonts w:hint="eastAsia"/>
        </w:rPr>
        <w:t>本文件由中共鄂尔多斯市委政法委员会提出并归口。</w:t>
      </w:r>
    </w:p>
    <w:p>
      <w:pPr>
        <w:pStyle w:val="59"/>
        <w:ind w:firstLine="420"/>
      </w:pPr>
      <w:r>
        <w:rPr>
          <w:rFonts w:hint="eastAsia"/>
        </w:rPr>
        <w:t>本文件起草单位：中共乌审旗委政法委员会、浙江省标准化研究院。</w:t>
      </w:r>
    </w:p>
    <w:p>
      <w:pPr>
        <w:pStyle w:val="59"/>
        <w:ind w:firstLine="420"/>
      </w:pPr>
      <w:r>
        <w:rPr>
          <w:rFonts w:hint="eastAsia"/>
        </w:rPr>
        <w:t>本文件主要起草人：</w:t>
      </w:r>
      <w:r>
        <w:rPr>
          <w:rFonts w:hint="eastAsia"/>
          <w:lang w:val="en-US" w:eastAsia="zh-CN"/>
        </w:rPr>
        <w:t>王蛟、王耀强、纪新瑞、白云、贾佳、王一璇</w:t>
      </w:r>
      <w:r>
        <w:rPr>
          <w:rFonts w:hint="eastAsia"/>
        </w:rPr>
        <w:t>。</w:t>
      </w: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bookmarkStart w:id="294" w:name="_GoBack"/>
      <w:bookmarkEnd w:id="294"/>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CA6D2755CEDA482BB1C012EC92B9A0E1"/>
        </w:placeholder>
      </w:sdtPr>
      <w:sdtContent>
        <w:p>
          <w:pPr>
            <w:pStyle w:val="180"/>
            <w:spacing w:before="312" w:beforeLines="100" w:after="686" w:afterLines="220"/>
          </w:pPr>
          <w:bookmarkStart w:id="33" w:name="NEW_STAND_NAME"/>
          <w:r>
            <w:rPr>
              <w:rFonts w:hint="eastAsia"/>
            </w:rPr>
            <w:t>矛盾纠纷分级分类多元化解规范</w:t>
          </w:r>
        </w:p>
      </w:sdtContent>
    </w:sdt>
    <w:bookmarkEnd w:id="33"/>
    <w:p>
      <w:pPr>
        <w:pStyle w:val="107"/>
        <w:spacing w:before="312" w:after="312"/>
      </w:pPr>
      <w:bookmarkStart w:id="34" w:name="_Toc26718930"/>
      <w:bookmarkStart w:id="35" w:name="_Toc17233325"/>
      <w:bookmarkStart w:id="36" w:name="_Toc17233333"/>
      <w:bookmarkStart w:id="37" w:name="_Toc24884218"/>
      <w:bookmarkStart w:id="38" w:name="_Toc26648465"/>
      <w:bookmarkStart w:id="39" w:name="_Toc24884211"/>
      <w:bookmarkStart w:id="40" w:name="_Toc166011731"/>
      <w:bookmarkStart w:id="41" w:name="_Toc97191423"/>
      <w:bookmarkStart w:id="42" w:name="_Toc163809935"/>
      <w:bookmarkStart w:id="43" w:name="_Toc165985931"/>
      <w:bookmarkStart w:id="44" w:name="_Toc164261813"/>
      <w:bookmarkStart w:id="45" w:name="_Toc161652975"/>
      <w:bookmarkStart w:id="46" w:name="_Toc161653025"/>
      <w:bookmarkStart w:id="47" w:name="_Toc163761844"/>
      <w:bookmarkStart w:id="48" w:name="_Toc26986530"/>
      <w:bookmarkStart w:id="49" w:name="_Toc163052787"/>
      <w:bookmarkStart w:id="50" w:name="_Toc161839153"/>
      <w:bookmarkStart w:id="51" w:name="_Toc26986771"/>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59"/>
        <w:ind w:firstLine="420"/>
      </w:pPr>
      <w:bookmarkStart w:id="52" w:name="_Toc17233334"/>
      <w:bookmarkStart w:id="53" w:name="_Toc24884219"/>
      <w:bookmarkStart w:id="54" w:name="_Toc24884212"/>
      <w:bookmarkStart w:id="55" w:name="_Toc26648466"/>
      <w:bookmarkStart w:id="56" w:name="_Toc17233326"/>
      <w:r>
        <w:rPr>
          <w:rFonts w:hint="eastAsia"/>
        </w:rPr>
        <w:t>本规范规定了矛盾纠纷分级分类多元化解的基本原则、机构组成、工作队伍、事项来源、受理渠道、矛盾分类、矛盾调处、档案管理、评价和改进要求。</w:t>
      </w:r>
    </w:p>
    <w:p>
      <w:pPr>
        <w:pStyle w:val="59"/>
        <w:ind w:firstLine="420"/>
      </w:pPr>
      <w:r>
        <w:rPr>
          <w:rFonts w:hint="eastAsia"/>
        </w:rPr>
        <w:t>本规范适用于社会矛盾纠纷多元化解工作。</w:t>
      </w:r>
    </w:p>
    <w:p>
      <w:pPr>
        <w:pStyle w:val="107"/>
        <w:spacing w:before="312" w:after="312"/>
      </w:pPr>
      <w:bookmarkStart w:id="57" w:name="_Toc26986531"/>
      <w:bookmarkStart w:id="58" w:name="_Toc164261814"/>
      <w:bookmarkStart w:id="59" w:name="_Toc97191424"/>
      <w:bookmarkStart w:id="60" w:name="_Toc163809936"/>
      <w:bookmarkStart w:id="61" w:name="_Toc26986772"/>
      <w:bookmarkStart w:id="62" w:name="_Toc161653026"/>
      <w:bookmarkStart w:id="63" w:name="_Toc26718931"/>
      <w:bookmarkStart w:id="64" w:name="_Toc161652976"/>
      <w:bookmarkStart w:id="65" w:name="_Toc163761845"/>
      <w:bookmarkStart w:id="66" w:name="_Toc166011732"/>
      <w:bookmarkStart w:id="67" w:name="_Toc163052788"/>
      <w:bookmarkStart w:id="68" w:name="_Toc165985932"/>
      <w:bookmarkStart w:id="69" w:name="_Toc161839154"/>
      <w:r>
        <w:rPr>
          <w:rFonts w:hint="eastAsia"/>
        </w:rPr>
        <w:t>规范性引用文</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DAD605CF09E341C790CF40BEDA88B8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33200  社会治安综合治理 综治中心建设与管理规范</w:t>
      </w:r>
    </w:p>
    <w:p>
      <w:pPr>
        <w:pStyle w:val="59"/>
        <w:ind w:firstLine="420"/>
      </w:pPr>
      <w:r>
        <w:t>GB/T 34300</w:t>
      </w:r>
      <w:r>
        <w:rPr>
          <w:rFonts w:hint="eastAsia"/>
        </w:rPr>
        <w:t xml:space="preserve">  城乡社区网格化服务管理规范</w:t>
      </w:r>
    </w:p>
    <w:p>
      <w:pPr>
        <w:pStyle w:val="59"/>
        <w:ind w:firstLine="420"/>
      </w:pPr>
      <w:r>
        <w:t>SF/T 0083</w:t>
      </w:r>
      <w:r>
        <w:rPr>
          <w:rFonts w:hint="eastAsia"/>
        </w:rPr>
        <w:t xml:space="preserve">   全国人民调解规范</w:t>
      </w:r>
    </w:p>
    <w:p>
      <w:pPr>
        <w:pStyle w:val="59"/>
        <w:ind w:firstLine="420"/>
      </w:pPr>
      <w:r>
        <w:t>DB15/T 3001</w:t>
      </w:r>
      <w:r>
        <w:rPr>
          <w:rFonts w:hint="eastAsia"/>
        </w:rPr>
        <w:t xml:space="preserve">  矛盾纠纷调解规程</w:t>
      </w:r>
    </w:p>
    <w:p>
      <w:pPr>
        <w:pStyle w:val="59"/>
        <w:ind w:firstLine="420"/>
      </w:pPr>
      <w:r>
        <w:t>DB15/T 3005</w:t>
      </w:r>
      <w:r>
        <w:rPr>
          <w:rFonts w:hint="eastAsia"/>
        </w:rPr>
        <w:t xml:space="preserve">  网格员管理与服务规范</w:t>
      </w:r>
    </w:p>
    <w:p>
      <w:pPr>
        <w:pStyle w:val="107"/>
        <w:spacing w:before="312" w:after="312"/>
      </w:pPr>
      <w:bookmarkStart w:id="70" w:name="_Toc97191425"/>
      <w:bookmarkStart w:id="71" w:name="_Toc161652977"/>
      <w:bookmarkStart w:id="72" w:name="_Toc163052789"/>
      <w:bookmarkStart w:id="73" w:name="_Toc161839155"/>
      <w:bookmarkStart w:id="74" w:name="_Toc163809937"/>
      <w:bookmarkStart w:id="75" w:name="_Toc164261815"/>
      <w:bookmarkStart w:id="76" w:name="_Toc165985933"/>
      <w:bookmarkStart w:id="77" w:name="_Toc166011733"/>
      <w:bookmarkStart w:id="78" w:name="_Toc161653027"/>
      <w:bookmarkStart w:id="79" w:name="_Toc163761846"/>
      <w:r>
        <w:rPr>
          <w:rFonts w:hint="eastAsia"/>
          <w:szCs w:val="21"/>
        </w:rPr>
        <w:t>术语和定义</w:t>
      </w:r>
      <w:bookmarkEnd w:id="70"/>
      <w:bookmarkEnd w:id="71"/>
      <w:bookmarkEnd w:id="72"/>
      <w:bookmarkEnd w:id="73"/>
      <w:bookmarkEnd w:id="74"/>
      <w:bookmarkEnd w:id="75"/>
      <w:bookmarkEnd w:id="76"/>
      <w:bookmarkEnd w:id="77"/>
      <w:bookmarkEnd w:id="78"/>
      <w:bookmarkEnd w:id="79"/>
    </w:p>
    <w:sdt>
      <w:sdtPr>
        <w:id w:val="-1909835108"/>
        <w:placeholder>
          <w:docPart w:val="AEA3993FA8E947318823A07F2A15AF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80" w:name="_Toc26986532"/>
          <w:bookmarkEnd w:id="80"/>
          <w: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矛盾纠纷分级分类多元化解diversified resolution of public security</w:t>
      </w:r>
    </w:p>
    <w:p>
      <w:pPr>
        <w:pStyle w:val="59"/>
        <w:ind w:firstLine="420"/>
      </w:pPr>
      <w:r>
        <w:rPr>
          <w:rFonts w:hint="eastAsia"/>
        </w:rPr>
        <w:t>通过和解、调解、仲裁、行政裁决、行政复议、诉讼等多种矛盾纠纷化解途径，促使当事人在平等协商的基础上自愿达成调解协议，化解矛盾纠纷争议的活动。</w:t>
      </w:r>
    </w:p>
    <w:p>
      <w:pPr>
        <w:pStyle w:val="59"/>
        <w:ind w:firstLine="420"/>
      </w:pPr>
      <w:r>
        <w:rPr>
          <w:rFonts w:hint="eastAsia"/>
        </w:rPr>
        <w:t>[</w:t>
      </w:r>
      <w:r>
        <w:t>DB15/T 3005</w:t>
      </w:r>
      <w:r>
        <w:rPr>
          <w:rFonts w:hint="eastAsia"/>
        </w:rPr>
        <w:t>-2023,定义3.1]</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全科网格general gride</w:t>
      </w:r>
    </w:p>
    <w:p>
      <w:pPr>
        <w:pStyle w:val="59"/>
        <w:ind w:firstLine="420"/>
      </w:pPr>
      <w:r>
        <w:rPr>
          <w:rFonts w:hint="eastAsia"/>
        </w:rPr>
        <w:t>将不同部门的网格合并为一张网，包括公安、人社、民政、城管、应急、环保、消防、卫健等各级部门，以及网格内辅警、治保员、法律工作者、调解员等多方力量，实现“一网运行，全域覆盖”、“多员合一、一员多用”，以提高社会治理的精细化、精准化水平。</w:t>
      </w:r>
    </w:p>
    <w:p>
      <w:pPr>
        <w:pStyle w:val="107"/>
        <w:spacing w:before="312" w:after="312"/>
      </w:pPr>
      <w:bookmarkStart w:id="81" w:name="_Toc161652978"/>
      <w:bookmarkStart w:id="82" w:name="_Toc161653028"/>
      <w:bookmarkStart w:id="83" w:name="_Toc163761847"/>
      <w:bookmarkStart w:id="84" w:name="_Toc161839156"/>
      <w:bookmarkStart w:id="85" w:name="_Toc164261816"/>
      <w:bookmarkStart w:id="86" w:name="_Toc166011734"/>
      <w:bookmarkStart w:id="87" w:name="_Toc163809938"/>
      <w:bookmarkStart w:id="88" w:name="_Toc163052790"/>
      <w:bookmarkStart w:id="89" w:name="_Toc165985934"/>
      <w:r>
        <w:rPr>
          <w:rFonts w:hint="eastAsia"/>
        </w:rPr>
        <w:t>基本原则</w:t>
      </w:r>
      <w:bookmarkEnd w:id="81"/>
      <w:bookmarkEnd w:id="82"/>
      <w:bookmarkEnd w:id="83"/>
      <w:bookmarkEnd w:id="84"/>
      <w:bookmarkEnd w:id="85"/>
      <w:bookmarkEnd w:id="86"/>
      <w:bookmarkEnd w:id="87"/>
      <w:bookmarkEnd w:id="88"/>
      <w:bookmarkEnd w:id="89"/>
    </w:p>
    <w:p>
      <w:pPr>
        <w:pStyle w:val="165"/>
      </w:pPr>
      <w:r>
        <w:rPr>
          <w:rFonts w:hint="eastAsia"/>
        </w:rPr>
        <w:t>坚持党的领导。建立党委统一领导，职能部门、人民团体、企业事业单位、社会组织和基层群众性自治组织分工配合的矛盾纠纷分级分类多元化解工作机制。</w:t>
      </w:r>
    </w:p>
    <w:p>
      <w:pPr>
        <w:pStyle w:val="165"/>
      </w:pPr>
      <w:r>
        <w:rPr>
          <w:rFonts w:hint="eastAsia"/>
        </w:rPr>
        <w:t>坚持和发展新时代“枫桥经验”，持续用好“三分吸附法”，引导人民群众以理性合法的方式表达利益诉求，妥善解决矛盾纠纷，切实维护人民群众最现实、最关心、最直接的利益。</w:t>
      </w:r>
    </w:p>
    <w:p>
      <w:pPr>
        <w:pStyle w:val="182"/>
      </w:pPr>
      <w:r>
        <w:rPr>
          <w:rFonts w:hint="eastAsia"/>
        </w:rPr>
        <w:t>“三分吸附法”指内蒙古鄂尔多斯市乌审旗创新推出以矛盾纠纷即知即调、分流分调、联管联调为主要内容的矛盾纠纷化解的方法。</w:t>
      </w:r>
    </w:p>
    <w:p>
      <w:pPr>
        <w:pStyle w:val="165"/>
      </w:pPr>
      <w:r>
        <w:rPr>
          <w:rFonts w:hint="eastAsia"/>
        </w:rPr>
        <w:t>坚持依法按政策化解矛盾纠纷。遵守法律法规、遵循国家政策、尊重公序良俗。</w:t>
      </w:r>
    </w:p>
    <w:p>
      <w:pPr>
        <w:pStyle w:val="165"/>
      </w:pPr>
      <w:r>
        <w:rPr>
          <w:rFonts w:hint="eastAsia"/>
        </w:rPr>
        <w:t>坚持协调联动。广泛引导和发动社会各方面力量参与矛盾纠纷化解,形成合力。促进矛盾纠纷精准分流与及时调处。</w:t>
      </w:r>
    </w:p>
    <w:p>
      <w:pPr>
        <w:pStyle w:val="165"/>
      </w:pPr>
      <w:r>
        <w:rPr>
          <w:rFonts w:hint="eastAsia"/>
        </w:rPr>
        <w:t>坚持源头治理。多措并举、综合施策，加强源头预防和前端化解，落实首接首办责任制，做好跟踪反馈，把矛盾纠纷化解在基层。</w:t>
      </w:r>
    </w:p>
    <w:p>
      <w:pPr>
        <w:pStyle w:val="165"/>
      </w:pPr>
      <w:r>
        <w:rPr>
          <w:rFonts w:hint="eastAsia"/>
        </w:rPr>
        <w:t>坚持属地管理。按照分级负责、谁主管谁负责的原则，落实矛盾纠纷化解工作责任，建立健全矛盾纠纷风险防范、排查预警、处置化解等制度。</w:t>
      </w:r>
    </w:p>
    <w:p>
      <w:pPr>
        <w:pStyle w:val="165"/>
      </w:pPr>
      <w:r>
        <w:rPr>
          <w:rFonts w:hint="eastAsia"/>
        </w:rPr>
        <w:t>坚持三调联动。人民调解、行政调解、司法调解既发挥各自独特作用，又有机衔接、紧密配合，规范、高效化解矛盾纠纷。</w:t>
      </w:r>
    </w:p>
    <w:p>
      <w:pPr>
        <w:pStyle w:val="107"/>
        <w:spacing w:before="312" w:after="312"/>
      </w:pPr>
      <w:bookmarkStart w:id="90" w:name="_Toc165985935"/>
      <w:bookmarkStart w:id="91" w:name="_Toc166011735"/>
      <w:r>
        <w:rPr>
          <w:rFonts w:hint="eastAsia"/>
        </w:rPr>
        <w:t>机构组成</w:t>
      </w:r>
      <w:bookmarkEnd w:id="90"/>
      <w:bookmarkEnd w:id="91"/>
    </w:p>
    <w:p>
      <w:pPr>
        <w:pStyle w:val="108"/>
        <w:spacing w:before="156" w:after="156"/>
      </w:pPr>
      <w:bookmarkStart w:id="92" w:name="_Toc161839158"/>
      <w:bookmarkStart w:id="93" w:name="_Toc163761849"/>
      <w:bookmarkStart w:id="94" w:name="_Toc163809940"/>
      <w:bookmarkStart w:id="95" w:name="_Toc164261818"/>
      <w:bookmarkStart w:id="96" w:name="_Toc166011736"/>
      <w:bookmarkStart w:id="97" w:name="_Toc163052792"/>
      <w:bookmarkStart w:id="98" w:name="_Toc165985936"/>
      <w:r>
        <w:rPr>
          <w:rFonts w:hint="eastAsia"/>
        </w:rPr>
        <w:t>管理机构</w:t>
      </w:r>
      <w:bookmarkEnd w:id="92"/>
      <w:bookmarkEnd w:id="93"/>
      <w:bookmarkEnd w:id="94"/>
      <w:bookmarkEnd w:id="95"/>
      <w:bookmarkEnd w:id="96"/>
      <w:bookmarkEnd w:id="97"/>
      <w:bookmarkEnd w:id="98"/>
    </w:p>
    <w:p>
      <w:pPr>
        <w:pStyle w:val="59"/>
        <w:ind w:firstLine="420"/>
      </w:pPr>
      <w:r>
        <w:rPr>
          <w:rFonts w:hint="eastAsia"/>
        </w:rPr>
        <w:t>按照</w:t>
      </w:r>
      <w:r>
        <w:t>DB15/T 3001</w:t>
      </w:r>
      <w:r>
        <w:rPr>
          <w:rFonts w:hint="eastAsia"/>
        </w:rPr>
        <w:t>执行。</w:t>
      </w:r>
    </w:p>
    <w:p>
      <w:pPr>
        <w:pStyle w:val="108"/>
        <w:spacing w:before="156" w:after="156"/>
      </w:pPr>
      <w:bookmarkStart w:id="99" w:name="_Toc163761850"/>
      <w:bookmarkStart w:id="100" w:name="_Toc161839159"/>
      <w:bookmarkStart w:id="101" w:name="_Toc165985937"/>
      <w:bookmarkStart w:id="102" w:name="_Toc164261819"/>
      <w:bookmarkStart w:id="103" w:name="_Toc163052793"/>
      <w:bookmarkStart w:id="104" w:name="_Toc163809941"/>
      <w:bookmarkStart w:id="105" w:name="_Toc166011737"/>
      <w:r>
        <w:rPr>
          <w:rFonts w:hint="eastAsia"/>
        </w:rPr>
        <w:t>受理机构</w:t>
      </w:r>
      <w:bookmarkEnd w:id="99"/>
      <w:bookmarkEnd w:id="100"/>
      <w:bookmarkEnd w:id="101"/>
      <w:bookmarkEnd w:id="102"/>
      <w:bookmarkEnd w:id="103"/>
      <w:bookmarkEnd w:id="104"/>
      <w:bookmarkEnd w:id="105"/>
    </w:p>
    <w:p>
      <w:pPr>
        <w:pStyle w:val="68"/>
        <w:spacing w:before="156" w:after="156"/>
      </w:pPr>
      <w:bookmarkStart w:id="106" w:name="_Toc161652981"/>
      <w:r>
        <w:rPr>
          <w:rFonts w:hint="eastAsia"/>
        </w:rPr>
        <w:t>旗区综治中心</w:t>
      </w:r>
      <w:bookmarkEnd w:id="106"/>
    </w:p>
    <w:p>
      <w:pPr>
        <w:pStyle w:val="167"/>
      </w:pPr>
      <w:r>
        <w:rPr>
          <w:rFonts w:hint="eastAsia"/>
        </w:rPr>
        <w:t>建立实体化运行机制，整合综治、公安、法院、信访、司法、人社、住建等部门力量，对矛盾纠纷一站式受理、一条龙处置、一揽子化解。</w:t>
      </w:r>
    </w:p>
    <w:p>
      <w:pPr>
        <w:pStyle w:val="167"/>
      </w:pPr>
      <w:r>
        <w:rPr>
          <w:rFonts w:hint="eastAsia"/>
        </w:rPr>
        <w:t>推行“重点部门集中常驻、一般部门轮换入驻、涉事部门随叫随驻”的工作机制，以人民调解为基础和依托，建立人民调解与行政调解、司法调解等联动机制，依托综治信息系统，整合信息资源，提升服务管理效能。</w:t>
      </w:r>
    </w:p>
    <w:p>
      <w:pPr>
        <w:pStyle w:val="167"/>
      </w:pPr>
      <w:r>
        <w:rPr>
          <w:rFonts w:hint="eastAsia"/>
        </w:rPr>
        <w:t>设置信访接待、法律咨询、人民调解、公证事项等服务窗口,对事实清楚责任明确的事项,各业务窗口履行“首接首办”职责，做到“即知即调”。</w:t>
      </w:r>
    </w:p>
    <w:p>
      <w:pPr>
        <w:pStyle w:val="68"/>
        <w:spacing w:before="156" w:after="156"/>
      </w:pPr>
      <w:r>
        <w:rPr>
          <w:rFonts w:hint="eastAsia"/>
        </w:rPr>
        <w:t>苏木乡镇（街道)综治中心</w:t>
      </w:r>
    </w:p>
    <w:p>
      <w:pPr>
        <w:pStyle w:val="167"/>
      </w:pPr>
      <w:r>
        <w:rPr>
          <w:rFonts w:hint="eastAsia"/>
        </w:rPr>
        <w:t>建立协作配合，精干高效，便民利民的实体化工作平台，实现矛盾纠纷在苏木乡镇（街道）“一站式”调解。</w:t>
      </w:r>
    </w:p>
    <w:p>
      <w:pPr>
        <w:pStyle w:val="167"/>
      </w:pPr>
      <w:r>
        <w:rPr>
          <w:rFonts w:hint="eastAsia"/>
        </w:rPr>
        <w:t>由苏木镇综治中心牵头、整合司法所、派出所、基层法庭等公共服务资源和人民调解、法律咨询、心理服务等社会服务资源入驻综治中心。</w:t>
      </w:r>
    </w:p>
    <w:p>
      <w:pPr>
        <w:pStyle w:val="68"/>
        <w:spacing w:before="156" w:after="156"/>
      </w:pPr>
      <w:bookmarkStart w:id="107" w:name="_Toc161652983"/>
      <w:r>
        <w:rPr>
          <w:rFonts w:hint="eastAsia"/>
        </w:rPr>
        <w:t>嘎查村（社区）综治中心</w:t>
      </w:r>
      <w:bookmarkEnd w:id="107"/>
    </w:p>
    <w:p>
      <w:pPr>
        <w:pStyle w:val="59"/>
        <w:ind w:firstLine="420"/>
      </w:pPr>
      <w:r>
        <w:rPr>
          <w:rFonts w:hint="eastAsia"/>
        </w:rPr>
        <w:t>嘎查村（社区）要发挥“两代表一委员”以及配备的法律顾问、民警等基层力量，通过网格调解方便群众就近表达诉求，努力在基层一线定分止争。</w:t>
      </w:r>
    </w:p>
    <w:p>
      <w:pPr>
        <w:pStyle w:val="182"/>
      </w:pPr>
      <w:r>
        <w:rPr>
          <w:rFonts w:hint="eastAsia"/>
        </w:rPr>
        <w:t>“两代表一委员”指的是党代表、人大代表和政协委员。</w:t>
      </w:r>
    </w:p>
    <w:p>
      <w:pPr>
        <w:pStyle w:val="108"/>
        <w:spacing w:before="156" w:after="156"/>
      </w:pPr>
      <w:bookmarkStart w:id="108" w:name="_Toc163052794"/>
      <w:bookmarkStart w:id="109" w:name="_Toc163809942"/>
      <w:bookmarkStart w:id="110" w:name="_Toc164261820"/>
      <w:bookmarkStart w:id="111" w:name="_Toc165985938"/>
      <w:bookmarkStart w:id="112" w:name="_Toc166011738"/>
      <w:bookmarkStart w:id="113" w:name="_Toc163761851"/>
      <w:r>
        <w:rPr>
          <w:rFonts w:hint="eastAsia"/>
        </w:rPr>
        <w:t>调解组织</w:t>
      </w:r>
      <w:bookmarkEnd w:id="108"/>
      <w:bookmarkEnd w:id="109"/>
      <w:bookmarkEnd w:id="110"/>
      <w:bookmarkEnd w:id="111"/>
      <w:bookmarkEnd w:id="112"/>
      <w:bookmarkEnd w:id="113"/>
    </w:p>
    <w:p>
      <w:pPr>
        <w:pStyle w:val="59"/>
        <w:ind w:firstLine="420"/>
      </w:pPr>
      <w:r>
        <w:rPr>
          <w:rFonts w:hint="eastAsia"/>
        </w:rPr>
        <w:t>旗区党政有关部门、各有关群众团体，驻市有关部门，部分企事业单位，各乡镇(街道、苏木)、村(社区、嘎查)，各行业性、专业性调解组织、社会组织、志愿服务队伍等。</w:t>
      </w:r>
    </w:p>
    <w:p>
      <w:pPr>
        <w:pStyle w:val="107"/>
        <w:spacing w:before="312" w:after="312"/>
      </w:pPr>
      <w:bookmarkStart w:id="114" w:name="_Toc166011739"/>
      <w:bookmarkStart w:id="115" w:name="_Toc165985939"/>
      <w:r>
        <w:rPr>
          <w:rFonts w:hint="eastAsia"/>
        </w:rPr>
        <w:t>工作队伍</w:t>
      </w:r>
      <w:bookmarkEnd w:id="114"/>
      <w:bookmarkEnd w:id="115"/>
    </w:p>
    <w:p>
      <w:pPr>
        <w:pStyle w:val="108"/>
        <w:spacing w:before="156" w:after="156"/>
      </w:pPr>
      <w:bookmarkStart w:id="116" w:name="_Toc165985940"/>
      <w:bookmarkStart w:id="117" w:name="_Toc163761853"/>
      <w:bookmarkStart w:id="118" w:name="_Toc163052796"/>
      <w:bookmarkStart w:id="119" w:name="_Toc161839162"/>
      <w:bookmarkStart w:id="120" w:name="_Toc166011740"/>
      <w:bookmarkStart w:id="121" w:name="_Toc163809944"/>
      <w:bookmarkStart w:id="122" w:name="_Toc164261822"/>
      <w:r>
        <w:rPr>
          <w:rFonts w:hint="eastAsia"/>
        </w:rPr>
        <w:t>人员构成</w:t>
      </w:r>
      <w:bookmarkEnd w:id="116"/>
      <w:bookmarkEnd w:id="117"/>
      <w:bookmarkEnd w:id="118"/>
      <w:bookmarkEnd w:id="119"/>
      <w:bookmarkEnd w:id="120"/>
      <w:bookmarkEnd w:id="121"/>
      <w:bookmarkEnd w:id="122"/>
    </w:p>
    <w:p>
      <w:pPr>
        <w:pStyle w:val="168"/>
      </w:pPr>
      <w:r>
        <w:rPr>
          <w:rFonts w:hint="eastAsia"/>
        </w:rPr>
        <w:t>建立旗级和苏木乡镇（街道）、嘎查村（社区）两级人民调解员专家库。</w:t>
      </w:r>
    </w:p>
    <w:p>
      <w:pPr>
        <w:pStyle w:val="168"/>
      </w:pPr>
      <w:r>
        <w:rPr>
          <w:rFonts w:hint="eastAsia"/>
        </w:rPr>
        <w:t>三级综治中心的专职工作人员、全科网格的专兼职网格员、各部门入驻综治中心的工作人员、司法、公安、人民检察院、人民法院等从事矛盾调解的人员等。</w:t>
      </w:r>
    </w:p>
    <w:p>
      <w:pPr>
        <w:pStyle w:val="168"/>
      </w:pPr>
      <w:r>
        <w:rPr>
          <w:rFonts w:hint="eastAsia"/>
        </w:rPr>
        <w:t>社会层面包括聘请公检法司相关部门的部分退休人员、“两代表一委员”、首席法律专家、法律顾问、法律服务志愿者等符合</w:t>
      </w:r>
      <w:r>
        <w:t>SF/T 0083</w:t>
      </w:r>
      <w:r>
        <w:rPr>
          <w:rFonts w:hint="eastAsia"/>
        </w:rPr>
        <w:t>-2020要求的人员成为专兼职人民调解员。</w:t>
      </w:r>
    </w:p>
    <w:p>
      <w:pPr>
        <w:pStyle w:val="108"/>
        <w:spacing w:before="156" w:after="156"/>
      </w:pPr>
      <w:bookmarkStart w:id="123" w:name="_Toc163761854"/>
      <w:bookmarkStart w:id="124" w:name="_Toc164261823"/>
      <w:bookmarkStart w:id="125" w:name="_Toc165985941"/>
      <w:bookmarkStart w:id="126" w:name="_Toc163809945"/>
      <w:bookmarkStart w:id="127" w:name="_Toc166011741"/>
      <w:bookmarkStart w:id="128" w:name="_Toc163052797"/>
      <w:bookmarkStart w:id="129" w:name="_Toc161839163"/>
      <w:r>
        <w:rPr>
          <w:rFonts w:hint="eastAsia"/>
        </w:rPr>
        <w:t>人员要求</w:t>
      </w:r>
      <w:bookmarkEnd w:id="123"/>
      <w:bookmarkEnd w:id="124"/>
      <w:bookmarkEnd w:id="125"/>
      <w:bookmarkEnd w:id="126"/>
      <w:bookmarkEnd w:id="127"/>
      <w:bookmarkEnd w:id="128"/>
      <w:bookmarkEnd w:id="129"/>
    </w:p>
    <w:p>
      <w:pPr>
        <w:pStyle w:val="168"/>
      </w:pPr>
      <w:r>
        <w:rPr>
          <w:rFonts w:hint="eastAsia"/>
        </w:rPr>
        <w:t>具有良好的职业道德和素养。</w:t>
      </w:r>
    </w:p>
    <w:p>
      <w:pPr>
        <w:pStyle w:val="168"/>
      </w:pPr>
      <w:r>
        <w:rPr>
          <w:rFonts w:hint="eastAsia"/>
        </w:rPr>
        <w:t>掌握相关的国家方针政策、法律法规和基层业务的办理规程。</w:t>
      </w:r>
    </w:p>
    <w:p>
      <w:pPr>
        <w:pStyle w:val="168"/>
      </w:pPr>
      <w:r>
        <w:rPr>
          <w:rFonts w:hint="eastAsia"/>
        </w:rPr>
        <w:t>具备相应的组织协调、管理服务等能力。</w:t>
      </w:r>
    </w:p>
    <w:p>
      <w:pPr>
        <w:pStyle w:val="168"/>
      </w:pPr>
      <w:r>
        <w:rPr>
          <w:rFonts w:hint="eastAsia"/>
        </w:rPr>
        <w:t>具备从事矛盾纠纷调解工作所需的业务和服务技能。</w:t>
      </w:r>
    </w:p>
    <w:p>
      <w:pPr>
        <w:pStyle w:val="168"/>
      </w:pPr>
      <w:r>
        <w:rPr>
          <w:rFonts w:hint="eastAsia"/>
        </w:rPr>
        <w:t>有特殊要求的岗位，应具备相应的执业技术要求，并持证上岗。</w:t>
      </w:r>
    </w:p>
    <w:p>
      <w:pPr>
        <w:pStyle w:val="168"/>
      </w:pPr>
      <w:r>
        <w:rPr>
          <w:rFonts w:hint="eastAsia"/>
        </w:rPr>
        <w:t>定期参加业务培训，掌握工作职能必备的业务技能，并能够提供全面的调解服务。</w:t>
      </w:r>
    </w:p>
    <w:p>
      <w:pPr>
        <w:pStyle w:val="107"/>
        <w:spacing w:before="312" w:after="312"/>
      </w:pPr>
      <w:bookmarkStart w:id="130" w:name="_Toc163052798"/>
      <w:bookmarkStart w:id="131" w:name="_Toc163809946"/>
      <w:bookmarkStart w:id="132" w:name="_Toc164261824"/>
      <w:bookmarkStart w:id="133" w:name="_Toc161652993"/>
      <w:bookmarkStart w:id="134" w:name="_Toc161653040"/>
      <w:bookmarkStart w:id="135" w:name="_Toc163761855"/>
      <w:bookmarkStart w:id="136" w:name="_Toc165985942"/>
      <w:bookmarkStart w:id="137" w:name="_Toc161839164"/>
      <w:bookmarkStart w:id="138" w:name="_Toc166011742"/>
      <w:r>
        <w:rPr>
          <w:rFonts w:hint="eastAsia"/>
        </w:rPr>
        <w:t>矛盾纠纷分级分类多元化解流程</w:t>
      </w:r>
      <w:bookmarkEnd w:id="130"/>
      <w:bookmarkEnd w:id="131"/>
      <w:bookmarkEnd w:id="132"/>
      <w:bookmarkEnd w:id="133"/>
      <w:bookmarkEnd w:id="134"/>
      <w:bookmarkEnd w:id="135"/>
      <w:bookmarkEnd w:id="136"/>
      <w:bookmarkEnd w:id="137"/>
      <w:bookmarkEnd w:id="138"/>
    </w:p>
    <w:p>
      <w:pPr>
        <w:pStyle w:val="59"/>
        <w:ind w:firstLine="420"/>
      </w:pPr>
      <w:r>
        <w:rPr>
          <w:rFonts w:hint="eastAsia"/>
        </w:rPr>
        <w:t>矛盾纠纷分级分类多元化解流程见附录1所示。</w:t>
      </w:r>
    </w:p>
    <w:p>
      <w:pPr>
        <w:pStyle w:val="107"/>
        <w:spacing w:before="312" w:after="312"/>
      </w:pPr>
      <w:bookmarkStart w:id="139" w:name="_Toc165985943"/>
      <w:bookmarkStart w:id="140" w:name="_Toc166011743"/>
      <w:r>
        <w:rPr>
          <w:rFonts w:hint="eastAsia"/>
        </w:rPr>
        <w:t>事项来源</w:t>
      </w:r>
      <w:bookmarkEnd w:id="139"/>
      <w:bookmarkEnd w:id="140"/>
    </w:p>
    <w:p>
      <w:pPr>
        <w:pStyle w:val="108"/>
        <w:spacing w:before="156" w:after="156"/>
      </w:pPr>
      <w:bookmarkStart w:id="141" w:name="_Toc164261826"/>
      <w:bookmarkStart w:id="142" w:name="_Toc161653042"/>
      <w:bookmarkStart w:id="143" w:name="_Toc161652995"/>
      <w:bookmarkStart w:id="144" w:name="_Toc163809948"/>
      <w:bookmarkStart w:id="145" w:name="_Toc163761857"/>
      <w:bookmarkStart w:id="146" w:name="_Toc166011744"/>
      <w:bookmarkStart w:id="147" w:name="_Toc161839166"/>
      <w:bookmarkStart w:id="148" w:name="_Toc165985944"/>
      <w:bookmarkStart w:id="149" w:name="_Toc163052800"/>
      <w:r>
        <w:rPr>
          <w:rFonts w:hint="eastAsia"/>
        </w:rPr>
        <w:t>矛盾纠纷排查</w:t>
      </w:r>
      <w:bookmarkEnd w:id="141"/>
      <w:bookmarkEnd w:id="142"/>
      <w:bookmarkEnd w:id="143"/>
      <w:bookmarkEnd w:id="144"/>
      <w:bookmarkEnd w:id="145"/>
      <w:bookmarkEnd w:id="146"/>
      <w:bookmarkEnd w:id="147"/>
      <w:bookmarkEnd w:id="148"/>
      <w:bookmarkEnd w:id="149"/>
    </w:p>
    <w:p>
      <w:pPr>
        <w:pStyle w:val="59"/>
        <w:ind w:firstLine="420"/>
      </w:pPr>
      <w:r>
        <w:rPr>
          <w:rFonts w:hint="eastAsia"/>
        </w:rPr>
        <w:t>通过嘎查村、社区等基层组织，开展矛盾纠纷常态化排查。按照地区、类型、复杂程度等方面进行归类（纠纷类型参照</w:t>
      </w:r>
      <w:r>
        <w:t>DB15/T3001-2023</w:t>
      </w:r>
      <w:r>
        <w:rPr>
          <w:rFonts w:hint="eastAsia"/>
        </w:rPr>
        <w:t>矛盾纠纷调解规程），做好记录。</w:t>
      </w:r>
    </w:p>
    <w:p>
      <w:pPr>
        <w:pStyle w:val="135"/>
      </w:pPr>
      <w:r>
        <w:rPr>
          <w:rFonts w:hint="eastAsia"/>
        </w:rPr>
        <w:t>日常排查。通过村干部、网格员日常走访，发现矛盾纠纷问题，及时上报研判及介入化解。</w:t>
      </w:r>
    </w:p>
    <w:p>
      <w:pPr>
        <w:pStyle w:val="135"/>
      </w:pPr>
      <w:r>
        <w:rPr>
          <w:rFonts w:hint="eastAsia"/>
        </w:rPr>
        <w:t>集中排查。结对包户干部与社区党员定期与嘎查村干部、驻村工作队、网格员、社区工作者集中入户，“全覆盖”排查矛盾纠纷。</w:t>
      </w:r>
    </w:p>
    <w:p>
      <w:pPr>
        <w:pStyle w:val="135"/>
      </w:pPr>
      <w:r>
        <w:rPr>
          <w:rFonts w:hint="eastAsia"/>
        </w:rPr>
        <w:t>重点排查。对农村牧区住房或棚圈施工现场、农业生产现场、工业园区等易产生纠纷区域，开展针对性排查。关注重点人群并定期走访。</w:t>
      </w:r>
    </w:p>
    <w:p>
      <w:pPr>
        <w:pStyle w:val="108"/>
        <w:spacing w:before="156" w:after="156"/>
      </w:pPr>
      <w:bookmarkStart w:id="150" w:name="_Toc163809949"/>
      <w:bookmarkStart w:id="151" w:name="_Toc166011745"/>
      <w:bookmarkStart w:id="152" w:name="_Toc164261827"/>
      <w:bookmarkStart w:id="153" w:name="_Toc165985945"/>
      <w:bookmarkStart w:id="154" w:name="_Toc163052801"/>
      <w:bookmarkStart w:id="155" w:name="_Toc163761858"/>
      <w:bookmarkStart w:id="156" w:name="_Toc161839167"/>
      <w:r>
        <w:rPr>
          <w:rFonts w:hint="eastAsia"/>
        </w:rPr>
        <w:t>多渠道收集</w:t>
      </w:r>
      <w:bookmarkEnd w:id="150"/>
      <w:bookmarkEnd w:id="151"/>
      <w:bookmarkEnd w:id="152"/>
      <w:bookmarkEnd w:id="153"/>
      <w:bookmarkEnd w:id="154"/>
      <w:bookmarkEnd w:id="155"/>
      <w:bookmarkEnd w:id="156"/>
    </w:p>
    <w:p>
      <w:pPr>
        <w:pStyle w:val="59"/>
        <w:ind w:firstLine="420"/>
      </w:pPr>
      <w:r>
        <w:rPr>
          <w:rFonts w:hint="eastAsia"/>
        </w:rPr>
        <w:t>旗区、乡镇（街道、苏木)、嘎查村（社区）等各级矛盾调处平台（综治中心、社会治理中心、党群服务中心、便民服务站等）日常收集的、网上平台受理的、市民热线投诉电话反馈的等矛盾纠纷事项。</w:t>
      </w:r>
    </w:p>
    <w:p>
      <w:pPr>
        <w:pStyle w:val="108"/>
        <w:spacing w:before="156" w:after="156"/>
      </w:pPr>
      <w:bookmarkStart w:id="157" w:name="_Toc161839168"/>
      <w:bookmarkStart w:id="158" w:name="_Toc164261828"/>
      <w:bookmarkStart w:id="159" w:name="_Toc163809950"/>
      <w:bookmarkStart w:id="160" w:name="_Toc165985946"/>
      <w:bookmarkStart w:id="161" w:name="_Toc163761859"/>
      <w:bookmarkStart w:id="162" w:name="_Toc163052802"/>
      <w:bookmarkStart w:id="163" w:name="_Toc166011746"/>
      <w:r>
        <w:rPr>
          <w:rFonts w:hint="eastAsia"/>
        </w:rPr>
        <w:t>各级交办</w:t>
      </w:r>
      <w:bookmarkEnd w:id="157"/>
      <w:bookmarkEnd w:id="158"/>
      <w:bookmarkEnd w:id="159"/>
      <w:bookmarkEnd w:id="160"/>
      <w:bookmarkEnd w:id="161"/>
      <w:bookmarkEnd w:id="162"/>
      <w:bookmarkEnd w:id="163"/>
    </w:p>
    <w:p>
      <w:pPr>
        <w:pStyle w:val="59"/>
        <w:ind w:firstLine="420"/>
      </w:pPr>
      <w:r>
        <w:rPr>
          <w:rFonts w:hint="eastAsia"/>
        </w:rPr>
        <w:t>上级指派、下级报送、部门转办、窗口受理等矛盾纠纷事项。</w:t>
      </w:r>
    </w:p>
    <w:p>
      <w:pPr>
        <w:pStyle w:val="107"/>
        <w:spacing w:before="312" w:after="312"/>
      </w:pPr>
      <w:bookmarkStart w:id="164" w:name="_Toc163761860"/>
      <w:bookmarkStart w:id="165" w:name="_Toc161653000"/>
      <w:bookmarkStart w:id="166" w:name="_Toc164261829"/>
      <w:bookmarkStart w:id="167" w:name="_Toc163809951"/>
      <w:bookmarkStart w:id="168" w:name="_Toc163052803"/>
      <w:bookmarkStart w:id="169" w:name="_Toc161839169"/>
      <w:bookmarkStart w:id="170" w:name="_Toc161653044"/>
      <w:bookmarkStart w:id="171" w:name="_Toc166011747"/>
      <w:bookmarkStart w:id="172" w:name="_Toc165985947"/>
      <w:r>
        <w:rPr>
          <w:rFonts w:hint="eastAsia"/>
        </w:rPr>
        <w:t>受理</w:t>
      </w:r>
      <w:bookmarkEnd w:id="164"/>
      <w:bookmarkEnd w:id="165"/>
      <w:bookmarkEnd w:id="166"/>
      <w:bookmarkEnd w:id="167"/>
      <w:bookmarkEnd w:id="168"/>
      <w:bookmarkEnd w:id="169"/>
      <w:bookmarkEnd w:id="170"/>
      <w:r>
        <w:rPr>
          <w:rFonts w:hint="eastAsia"/>
        </w:rPr>
        <w:t>渠道</w:t>
      </w:r>
      <w:bookmarkEnd w:id="171"/>
      <w:bookmarkEnd w:id="172"/>
    </w:p>
    <w:p>
      <w:pPr>
        <w:pStyle w:val="108"/>
        <w:spacing w:before="156" w:after="156"/>
      </w:pPr>
      <w:bookmarkStart w:id="173" w:name="_Toc163761861"/>
      <w:bookmarkStart w:id="174" w:name="_Toc166011748"/>
      <w:bookmarkStart w:id="175" w:name="_Toc163052804"/>
      <w:bookmarkStart w:id="176" w:name="_Toc164261830"/>
      <w:bookmarkStart w:id="177" w:name="_Toc165985948"/>
      <w:bookmarkStart w:id="178" w:name="_Toc161839170"/>
      <w:bookmarkStart w:id="179" w:name="_Toc163809952"/>
      <w:r>
        <w:rPr>
          <w:rFonts w:hint="eastAsia"/>
        </w:rPr>
        <w:t>基本要求</w:t>
      </w:r>
      <w:bookmarkEnd w:id="173"/>
      <w:bookmarkEnd w:id="174"/>
      <w:bookmarkEnd w:id="175"/>
      <w:bookmarkEnd w:id="176"/>
      <w:bookmarkEnd w:id="177"/>
      <w:bookmarkEnd w:id="178"/>
      <w:bookmarkEnd w:id="179"/>
    </w:p>
    <w:p>
      <w:pPr>
        <w:pStyle w:val="168"/>
      </w:pPr>
      <w:r>
        <w:rPr>
          <w:rFonts w:hint="eastAsia"/>
        </w:rPr>
        <w:t>构建以旗区、苏木乡镇（街道)、嘎查村（社区）综治中心为主的调解主阵地，采用属地管理，就近受理矛盾纠纷事项。</w:t>
      </w:r>
    </w:p>
    <w:p>
      <w:pPr>
        <w:pStyle w:val="168"/>
      </w:pPr>
      <w:r>
        <w:rPr>
          <w:rFonts w:hint="eastAsia"/>
        </w:rPr>
        <w:t>按照“谁主管谁负责、谁办理谁负责、谁接待谁负责”的原则，建立群众诉求受理、办理、反馈、评价、回访全过程闭环管理机制。</w:t>
      </w:r>
    </w:p>
    <w:p>
      <w:pPr>
        <w:pStyle w:val="168"/>
      </w:pPr>
      <w:r>
        <w:rPr>
          <w:rFonts w:hint="eastAsia"/>
        </w:rPr>
        <w:t>应采用一窗受理模式受理各类矛盾纠纷事项。</w:t>
      </w:r>
    </w:p>
    <w:p>
      <w:pPr>
        <w:pStyle w:val="108"/>
        <w:spacing w:before="156" w:after="156"/>
      </w:pPr>
      <w:bookmarkStart w:id="180" w:name="_Toc161839171"/>
      <w:bookmarkStart w:id="181" w:name="_Toc161653045"/>
      <w:bookmarkStart w:id="182" w:name="_Toc165985949"/>
      <w:bookmarkStart w:id="183" w:name="_Toc163809953"/>
      <w:bookmarkStart w:id="184" w:name="_Toc166011749"/>
      <w:bookmarkStart w:id="185" w:name="_Toc163761862"/>
      <w:bookmarkStart w:id="186" w:name="_Toc161653001"/>
      <w:bookmarkStart w:id="187" w:name="_Toc163052805"/>
      <w:bookmarkStart w:id="188" w:name="_Toc164261831"/>
      <w:r>
        <w:rPr>
          <w:rFonts w:hint="eastAsia"/>
        </w:rPr>
        <w:t>线上受理</w:t>
      </w:r>
      <w:bookmarkEnd w:id="180"/>
      <w:bookmarkEnd w:id="181"/>
      <w:bookmarkEnd w:id="182"/>
      <w:bookmarkEnd w:id="183"/>
      <w:bookmarkEnd w:id="184"/>
      <w:bookmarkEnd w:id="185"/>
      <w:bookmarkEnd w:id="186"/>
      <w:bookmarkEnd w:id="187"/>
      <w:bookmarkEnd w:id="188"/>
    </w:p>
    <w:p>
      <w:pPr>
        <w:pStyle w:val="168"/>
      </w:pPr>
      <w:r>
        <w:rPr>
          <w:rFonts w:hint="eastAsia"/>
        </w:rPr>
        <w:t>对接由政法、信访、司法、法院等多部门联动的线上分类化解体系，为群众提供专业优质服务。</w:t>
      </w:r>
    </w:p>
    <w:p>
      <w:pPr>
        <w:pStyle w:val="168"/>
      </w:pPr>
      <w:r>
        <w:rPr>
          <w:rFonts w:hint="eastAsia"/>
        </w:rPr>
        <w:t>通过矛盾纠纷多元调解线上平台，包括建议、调解、诉讼等服务功能，设置群众提出申请、分类分级转办、人民调解员受理承办、全程跟踪督办、办理结果反馈、办结归档6个流程。</w:t>
      </w:r>
    </w:p>
    <w:p>
      <w:pPr>
        <w:pStyle w:val="108"/>
        <w:spacing w:before="156" w:after="156"/>
      </w:pPr>
      <w:bookmarkStart w:id="189" w:name="_Toc161653046"/>
      <w:bookmarkStart w:id="190" w:name="_Toc163761863"/>
      <w:bookmarkStart w:id="191" w:name="_Toc163809954"/>
      <w:bookmarkStart w:id="192" w:name="_Toc161653002"/>
      <w:bookmarkStart w:id="193" w:name="_Toc161839172"/>
      <w:bookmarkStart w:id="194" w:name="_Toc164261832"/>
      <w:bookmarkStart w:id="195" w:name="_Toc165985950"/>
      <w:bookmarkStart w:id="196" w:name="_Toc163052806"/>
      <w:bookmarkStart w:id="197" w:name="_Toc166011750"/>
      <w:r>
        <w:rPr>
          <w:rFonts w:hint="eastAsia"/>
        </w:rPr>
        <w:t>线下受理</w:t>
      </w:r>
      <w:bookmarkEnd w:id="189"/>
      <w:bookmarkEnd w:id="190"/>
      <w:bookmarkEnd w:id="191"/>
      <w:bookmarkEnd w:id="192"/>
      <w:bookmarkEnd w:id="193"/>
      <w:bookmarkEnd w:id="194"/>
      <w:bookmarkEnd w:id="195"/>
      <w:bookmarkEnd w:id="196"/>
      <w:bookmarkEnd w:id="197"/>
    </w:p>
    <w:p>
      <w:pPr>
        <w:pStyle w:val="59"/>
        <w:ind w:firstLine="420"/>
      </w:pPr>
      <w:r>
        <w:rPr>
          <w:rFonts w:hint="eastAsia"/>
        </w:rPr>
        <w:t>根据嘎查村（社区）合理划分设置网格，通过网格推动精细治理，在网格内实现矛盾纠纷调处助等工作应管尽管、资源共享，并以网格为支撑开展矛盾纠纷受理与调解，打通服务群众的末梢通道。</w:t>
      </w:r>
    </w:p>
    <w:p>
      <w:pPr>
        <w:pStyle w:val="107"/>
        <w:spacing w:before="312" w:after="312"/>
      </w:pPr>
      <w:bookmarkStart w:id="198" w:name="_Toc163761864"/>
      <w:bookmarkStart w:id="199" w:name="_Toc163809955"/>
      <w:bookmarkStart w:id="200" w:name="_Toc165985951"/>
      <w:bookmarkStart w:id="201" w:name="_Toc164261833"/>
      <w:bookmarkStart w:id="202" w:name="_Toc163052807"/>
      <w:bookmarkStart w:id="203" w:name="_Toc166011751"/>
      <w:r>
        <w:rPr>
          <w:rFonts w:hint="eastAsia"/>
        </w:rPr>
        <w:t>矛盾分类</w:t>
      </w:r>
      <w:bookmarkEnd w:id="198"/>
      <w:bookmarkEnd w:id="199"/>
      <w:bookmarkEnd w:id="200"/>
      <w:bookmarkEnd w:id="201"/>
      <w:bookmarkEnd w:id="202"/>
      <w:bookmarkEnd w:id="203"/>
    </w:p>
    <w:p>
      <w:pPr>
        <w:pStyle w:val="108"/>
        <w:spacing w:before="156" w:after="156"/>
      </w:pPr>
      <w:bookmarkStart w:id="204" w:name="_Toc165985952"/>
      <w:bookmarkStart w:id="205" w:name="_Toc166011752"/>
      <w:r>
        <w:rPr>
          <w:rFonts w:hint="eastAsia"/>
        </w:rPr>
        <w:t>一般矛盾</w:t>
      </w:r>
      <w:bookmarkEnd w:id="204"/>
      <w:r>
        <w:rPr>
          <w:rFonts w:hint="eastAsia"/>
        </w:rPr>
        <w:t>纠纷</w:t>
      </w:r>
      <w:bookmarkEnd w:id="205"/>
    </w:p>
    <w:p>
      <w:pPr>
        <w:pStyle w:val="59"/>
        <w:ind w:firstLine="420"/>
      </w:pPr>
      <w:r>
        <w:rPr>
          <w:rFonts w:hint="eastAsia"/>
        </w:rPr>
        <w:t>婚姻家庭、邻里、房屋宅基地等常见多发的矛盾纠纷。</w:t>
      </w:r>
    </w:p>
    <w:p>
      <w:pPr>
        <w:pStyle w:val="108"/>
        <w:spacing w:before="156" w:after="156"/>
      </w:pPr>
      <w:bookmarkStart w:id="206" w:name="_Toc166011753"/>
      <w:r>
        <w:rPr>
          <w:rFonts w:hint="eastAsia"/>
        </w:rPr>
        <w:t>行业和专业领域矛盾纠纷</w:t>
      </w:r>
      <w:bookmarkEnd w:id="206"/>
    </w:p>
    <w:p>
      <w:pPr>
        <w:pStyle w:val="59"/>
        <w:ind w:firstLine="420"/>
      </w:pPr>
      <w:r>
        <w:rPr>
          <w:rFonts w:hint="eastAsia"/>
        </w:rPr>
        <w:t>医疗、道路交通、劳动争议、房产物业、草牧场定界等行业和专业领域及其他领域较为复杂的矛盾纠纷。</w:t>
      </w:r>
    </w:p>
    <w:p>
      <w:pPr>
        <w:pStyle w:val="108"/>
        <w:spacing w:before="156" w:after="156"/>
      </w:pPr>
      <w:bookmarkStart w:id="207" w:name="_Toc166011754"/>
      <w:r>
        <w:rPr>
          <w:rFonts w:hint="eastAsia"/>
        </w:rPr>
        <w:t>重大疑难复杂矛盾纠纷</w:t>
      </w:r>
      <w:bookmarkEnd w:id="207"/>
    </w:p>
    <w:p>
      <w:pPr>
        <w:pStyle w:val="59"/>
        <w:ind w:firstLine="420"/>
      </w:pPr>
      <w:r>
        <w:rPr>
          <w:rFonts w:hint="eastAsia"/>
        </w:rPr>
        <w:t>涉及当事人多、案情复杂或社会影响大的矛盾纠纷，以及可能引发群体性事件、越级上访或民转刑等矛盾纠纷。</w:t>
      </w:r>
    </w:p>
    <w:p>
      <w:pPr>
        <w:pStyle w:val="107"/>
        <w:spacing w:before="312" w:after="312"/>
      </w:pPr>
      <w:bookmarkStart w:id="208" w:name="_Toc163761868"/>
      <w:bookmarkStart w:id="209" w:name="_Toc165985955"/>
      <w:bookmarkStart w:id="210" w:name="_Toc164261837"/>
      <w:bookmarkStart w:id="211" w:name="_Toc166011755"/>
      <w:bookmarkStart w:id="212" w:name="_Toc163052811"/>
      <w:bookmarkStart w:id="213" w:name="_Toc163809959"/>
      <w:r>
        <w:rPr>
          <w:rFonts w:hint="eastAsia"/>
        </w:rPr>
        <w:t>矛盾调处</w:t>
      </w:r>
      <w:bookmarkEnd w:id="208"/>
      <w:bookmarkEnd w:id="209"/>
      <w:bookmarkEnd w:id="210"/>
      <w:bookmarkEnd w:id="211"/>
      <w:bookmarkEnd w:id="212"/>
      <w:bookmarkEnd w:id="213"/>
    </w:p>
    <w:p>
      <w:pPr>
        <w:pStyle w:val="108"/>
        <w:spacing w:before="156" w:after="156"/>
      </w:pPr>
      <w:bookmarkStart w:id="214" w:name="_Toc165985956"/>
      <w:bookmarkStart w:id="215" w:name="_Toc164261838"/>
      <w:bookmarkStart w:id="216" w:name="_Toc163761869"/>
      <w:bookmarkStart w:id="217" w:name="_Toc163809960"/>
      <w:bookmarkStart w:id="218" w:name="_Toc166011756"/>
      <w:bookmarkStart w:id="219" w:name="_Toc163052812"/>
      <w:bookmarkStart w:id="220" w:name="_Toc161839173"/>
      <w:r>
        <w:rPr>
          <w:rFonts w:hint="eastAsia"/>
        </w:rPr>
        <w:t>即知即调</w:t>
      </w:r>
      <w:bookmarkEnd w:id="214"/>
      <w:bookmarkEnd w:id="215"/>
      <w:bookmarkEnd w:id="216"/>
      <w:bookmarkEnd w:id="217"/>
      <w:bookmarkEnd w:id="218"/>
      <w:bookmarkEnd w:id="219"/>
      <w:bookmarkEnd w:id="220"/>
    </w:p>
    <w:p>
      <w:pPr>
        <w:pStyle w:val="68"/>
        <w:spacing w:before="156" w:after="156"/>
      </w:pPr>
      <w:r>
        <w:rPr>
          <w:rFonts w:hint="eastAsia"/>
        </w:rPr>
        <w:t>接诉即办</w:t>
      </w:r>
    </w:p>
    <w:p>
      <w:pPr>
        <w:pStyle w:val="167"/>
      </w:pPr>
      <w:r>
        <w:rPr>
          <w:rFonts w:hint="eastAsia"/>
        </w:rPr>
        <w:t>构建旗、苏木镇（部门）、嘎查村（社区）“三级”矛盾纠纷调处服务网络，选配具备专业调解能力的调解员，聘任为专业人民调解员，联动办理“接诉即办”群众诉求工单。</w:t>
      </w:r>
    </w:p>
    <w:p>
      <w:pPr>
        <w:pStyle w:val="167"/>
      </w:pPr>
      <w:r>
        <w:rPr>
          <w:rFonts w:hint="eastAsia"/>
        </w:rPr>
        <w:t>按照有固定的服务场所、有专职的调解队伍、有严格的制度流程、有健全的档案资料、有便捷的服务设施、有必要的经费保障的要求进行建设。</w:t>
      </w:r>
    </w:p>
    <w:p>
      <w:pPr>
        <w:pStyle w:val="68"/>
        <w:spacing w:before="156" w:after="156"/>
      </w:pPr>
      <w:bookmarkStart w:id="221" w:name="_Toc161653049"/>
      <w:bookmarkStart w:id="222" w:name="_Toc161653005"/>
      <w:bookmarkStart w:id="223" w:name="_Toc161839175"/>
      <w:r>
        <w:rPr>
          <w:rFonts w:hint="eastAsia"/>
        </w:rPr>
        <w:t>网格调解</w:t>
      </w:r>
      <w:bookmarkEnd w:id="221"/>
      <w:bookmarkEnd w:id="222"/>
      <w:bookmarkEnd w:id="223"/>
    </w:p>
    <w:p>
      <w:pPr>
        <w:pStyle w:val="167"/>
      </w:pPr>
      <w:r>
        <w:rPr>
          <w:rFonts w:hint="eastAsia"/>
        </w:rPr>
        <w:t>配强配优网格长、网格员、联户长，组织开展网格内各项工作，绘制网格地图，广泛发动群众参与网格化服务管理，优化“全科网格”。</w:t>
      </w:r>
    </w:p>
    <w:p>
      <w:pPr>
        <w:pStyle w:val="167"/>
      </w:pPr>
      <w:r>
        <w:rPr>
          <w:rFonts w:hint="eastAsia"/>
        </w:rPr>
        <w:t>因地制宜在网格内打造老支书调解室、地企议事厅等一批调解堡垒，组织嘎查村（社区）“两委”成员、网格员、法律顾问、“两代表一委员”、乡贤等专兼职调解员深入网格开展走访活动，常态化收集社情民意、化解矛盾纠纷，实现“小事不出网格”，有效避免基层矛盾向上传导。</w:t>
      </w:r>
    </w:p>
    <w:p>
      <w:pPr>
        <w:pStyle w:val="167"/>
      </w:pPr>
      <w:r>
        <w:rPr>
          <w:rFonts w:hint="eastAsia"/>
        </w:rPr>
        <w:t>推动在职党员下沉网格担任兼职网格员，认领政策法规宣传员、纠纷矛盾调解员、社情民意联络员等岗位，服务居民、融入网格治理，实现“群众点单、网格派单、党员接单”。</w:t>
      </w:r>
    </w:p>
    <w:p>
      <w:pPr>
        <w:pStyle w:val="108"/>
        <w:spacing w:before="156" w:after="156"/>
      </w:pPr>
      <w:bookmarkStart w:id="224" w:name="_Toc165985957"/>
      <w:bookmarkStart w:id="225" w:name="_Toc161839177"/>
      <w:bookmarkStart w:id="226" w:name="_Toc164261839"/>
      <w:bookmarkStart w:id="227" w:name="_Toc163809961"/>
      <w:bookmarkStart w:id="228" w:name="_Toc166011757"/>
      <w:bookmarkStart w:id="229" w:name="_Toc163761870"/>
      <w:bookmarkStart w:id="230" w:name="_Toc163052813"/>
      <w:r>
        <w:rPr>
          <w:rFonts w:hint="eastAsia"/>
        </w:rPr>
        <w:t>分流分调</w:t>
      </w:r>
      <w:bookmarkEnd w:id="224"/>
      <w:bookmarkEnd w:id="225"/>
      <w:bookmarkEnd w:id="226"/>
      <w:bookmarkEnd w:id="227"/>
      <w:bookmarkEnd w:id="228"/>
      <w:bookmarkEnd w:id="229"/>
      <w:bookmarkEnd w:id="230"/>
    </w:p>
    <w:p>
      <w:pPr>
        <w:pStyle w:val="68"/>
        <w:spacing w:before="156" w:after="156"/>
      </w:pPr>
      <w:r>
        <w:rPr>
          <w:rFonts w:hint="eastAsia"/>
        </w:rPr>
        <w:t>分流调解</w:t>
      </w:r>
    </w:p>
    <w:p>
      <w:pPr>
        <w:pStyle w:val="167"/>
      </w:pPr>
      <w:r>
        <w:rPr>
          <w:rFonts w:hint="eastAsia"/>
        </w:rPr>
        <w:t>人民调解员受理问题后，对于能够处理的，由调解员直接协调解决，解决不了的分类流转嘎查村（社区）综治中心或党群服务中心进行解决，分层、分类、分级调解处置，推动矛盾纠纷及时化解。</w:t>
      </w:r>
    </w:p>
    <w:p>
      <w:pPr>
        <w:pStyle w:val="167"/>
      </w:pPr>
      <w:r>
        <w:rPr>
          <w:rFonts w:hint="eastAsia"/>
        </w:rPr>
        <w:t>嘎查村（社区）综治中心或党群服务中心对网格员和人民调解组织上报的矛盾纠纷进行分析研判并分流至“两委”成员、第一书记、“一村一警”、法律顾问等调解力量进行调处化解，经调解未果或明显超过调处能力的疑难纠纷，经嘎查村（社区）综治中心分流至上级综治中心调处化解。</w:t>
      </w:r>
    </w:p>
    <w:p>
      <w:pPr>
        <w:pStyle w:val="167"/>
      </w:pPr>
      <w:r>
        <w:rPr>
          <w:rFonts w:hint="eastAsia"/>
        </w:rPr>
        <w:t>经苏木镇综治中心对平安建设办、镇级人民调解组织和社会组织调解未果的矛盾纠纷进行分析研判并分流转办至城建管理、社会事务、乡村振兴、综合执法等事权部门调处化解，经调解未果或明显超过调处能力的疑难纠纷，经苏木镇综治中心分流至上级综治中心调处化解。</w:t>
      </w:r>
    </w:p>
    <w:p>
      <w:pPr>
        <w:pStyle w:val="167"/>
      </w:pPr>
      <w:r>
        <w:rPr>
          <w:rFonts w:hint="eastAsia"/>
        </w:rPr>
        <w:t>旗综治中心对旗直职能部门、旗级各类调解组织和社会组织调解未果的、情况复杂、事项交叉的矛盾纠纷进行分析研判，明确牵头部门和相关配合单位进行分类调处化解，经调解未果的，再次报至旗综治中心进行分析研判。</w:t>
      </w:r>
    </w:p>
    <w:p>
      <w:pPr>
        <w:pStyle w:val="68"/>
        <w:spacing w:before="156" w:after="156"/>
      </w:pPr>
      <w:bookmarkStart w:id="231" w:name="_Toc161653053"/>
      <w:bookmarkStart w:id="232" w:name="_Toc161839179"/>
      <w:bookmarkStart w:id="233" w:name="_Toc161653009"/>
      <w:r>
        <w:rPr>
          <w:rFonts w:hint="eastAsia"/>
        </w:rPr>
        <w:t>多元调解</w:t>
      </w:r>
      <w:bookmarkEnd w:id="231"/>
      <w:bookmarkEnd w:id="232"/>
      <w:bookmarkEnd w:id="233"/>
    </w:p>
    <w:p>
      <w:pPr>
        <w:pStyle w:val="167"/>
      </w:pPr>
      <w:r>
        <w:rPr>
          <w:rFonts w:hint="eastAsia"/>
        </w:rPr>
        <w:t>综合运用行政、法律、经济、调解、心理咨询等手段，推动事关群众切身利益的矛盾纠纷事项得到妥善解决。</w:t>
      </w:r>
    </w:p>
    <w:p>
      <w:pPr>
        <w:pStyle w:val="167"/>
      </w:pPr>
      <w:r>
        <w:rPr>
          <w:rFonts w:hint="eastAsia"/>
        </w:rPr>
        <w:t>针对一般矛盾纠纷嘎查村(社区)、苏木镇人民调解委员会应采取法理情相结合等方法实行即知即调，实现小事不出嘎查村(社区)、大事不出苏木镇。</w:t>
      </w:r>
    </w:p>
    <w:p>
      <w:pPr>
        <w:pStyle w:val="167"/>
      </w:pPr>
      <w:r>
        <w:rPr>
          <w:rFonts w:hint="eastAsia"/>
        </w:rPr>
        <w:t>针对行业和专业领域矛盾纠纷人民调解组织应运用专业知识，借助专业力量开展调解，同时加强劳动争议、道路交通、医疗卫生、旅游、物业管理、消费者权益保护、土地承包、生态环境保护、金融、保险、知识产权以及其他新业态等领域的矛盾纠纷调解工作。</w:t>
      </w:r>
    </w:p>
    <w:p>
      <w:pPr>
        <w:pStyle w:val="167"/>
      </w:pPr>
      <w:r>
        <w:rPr>
          <w:rFonts w:hint="eastAsia"/>
        </w:rPr>
        <w:t>针对重大疑难复杂矛盾纠纷应统筹律师、基层法律服务、公证、法律援助等法律服务资源，加强与行政调解、行业性专业性调解、仲裁、行政裁决、行政复议和诉讼相衔接。</w:t>
      </w:r>
    </w:p>
    <w:p>
      <w:pPr>
        <w:pStyle w:val="167"/>
      </w:pPr>
      <w:r>
        <w:rPr>
          <w:rFonts w:hint="eastAsia"/>
        </w:rPr>
        <w:t>各级综治中心、行政机关、人民调解委员会、商事调解组织或者行业性、专业性调解组织以及其他具有调解职能的组织应加强协调配合，实现矛盾纠纷多元化解。</w:t>
      </w:r>
    </w:p>
    <w:p>
      <w:pPr>
        <w:pStyle w:val="167"/>
      </w:pPr>
      <w:r>
        <w:rPr>
          <w:rFonts w:hint="eastAsia"/>
        </w:rPr>
        <w:t>公安机关应当建立人民调解与非警务警情对接分流机制，将适合人民调解的矛盾纠纷分流至人民调解组织进行调解。</w:t>
      </w:r>
    </w:p>
    <w:p>
      <w:pPr>
        <w:pStyle w:val="167"/>
      </w:pPr>
      <w:r>
        <w:rPr>
          <w:rFonts w:hint="eastAsia"/>
        </w:rPr>
        <w:t>人民法院应加强诉前调解，推行网格、诉前、诉中、诉后“四线调解”，健全诉调、警调、检调、专调、访调“五调联动+下沉联动”工作体系，通过“咨询、评估、调解、仲裁、诉讼”的顺序将矛盾纠纷逐层消化分流。</w:t>
      </w:r>
    </w:p>
    <w:p>
      <w:pPr>
        <w:pStyle w:val="167"/>
      </w:pPr>
      <w:r>
        <w:rPr>
          <w:rFonts w:hint="eastAsia"/>
        </w:rPr>
        <w:t>人民检察院在办理刑事诉讼、公益诉讼案件，以及开展民事、行政诉讼监督工作过程中，对于具备法定和解条件的，应当建议和引导当事人通过和解的方式解决纠纷；经当事人同意，可以邀请相关组织和人员参与，以促成和解。</w:t>
      </w:r>
    </w:p>
    <w:p>
      <w:pPr>
        <w:pStyle w:val="167"/>
      </w:pPr>
      <w:r>
        <w:rPr>
          <w:rFonts w:hint="eastAsia"/>
        </w:rPr>
        <w:t>民商事仲裁机构、劳动争议仲裁机构、农村土地承包仲裁机构应当依法开展矛盾纠纷化解工作，对受理的案件依法调解，调解不成的应当及时作出裁决。</w:t>
      </w:r>
    </w:p>
    <w:p>
      <w:pPr>
        <w:pStyle w:val="108"/>
        <w:spacing w:before="156" w:after="156"/>
      </w:pPr>
      <w:bookmarkStart w:id="234" w:name="_Toc163809962"/>
      <w:bookmarkStart w:id="235" w:name="_Toc164261840"/>
      <w:bookmarkStart w:id="236" w:name="_Toc161839180"/>
      <w:bookmarkStart w:id="237" w:name="_Toc163052814"/>
      <w:bookmarkStart w:id="238" w:name="_Toc161653016"/>
      <w:bookmarkStart w:id="239" w:name="_Toc161653054"/>
      <w:bookmarkStart w:id="240" w:name="_Toc163761871"/>
      <w:bookmarkStart w:id="241" w:name="_Toc165985958"/>
      <w:bookmarkStart w:id="242" w:name="_Toc166011758"/>
      <w:r>
        <w:rPr>
          <w:rFonts w:hint="eastAsia"/>
        </w:rPr>
        <w:t>联管联调</w:t>
      </w:r>
      <w:bookmarkEnd w:id="234"/>
      <w:bookmarkEnd w:id="235"/>
      <w:bookmarkEnd w:id="236"/>
      <w:bookmarkEnd w:id="237"/>
      <w:bookmarkEnd w:id="238"/>
      <w:bookmarkEnd w:id="239"/>
      <w:bookmarkEnd w:id="240"/>
      <w:bookmarkEnd w:id="241"/>
      <w:bookmarkEnd w:id="242"/>
    </w:p>
    <w:p>
      <w:pPr>
        <w:pStyle w:val="68"/>
        <w:spacing w:before="156" w:after="156"/>
      </w:pPr>
      <w:bookmarkStart w:id="243" w:name="_Toc161653017"/>
      <w:bookmarkStart w:id="244" w:name="_Toc161839181"/>
      <w:r>
        <w:rPr>
          <w:rFonts w:hint="eastAsia"/>
        </w:rPr>
        <w:t>领导包案</w:t>
      </w:r>
      <w:bookmarkEnd w:id="243"/>
      <w:bookmarkEnd w:id="244"/>
    </w:p>
    <w:p>
      <w:pPr>
        <w:pStyle w:val="167"/>
      </w:pPr>
      <w:r>
        <w:rPr>
          <w:rFonts w:hint="eastAsia"/>
        </w:rPr>
        <w:t>建立党政主要领导干部积案化解机制，落实包掌握情况到底、包思想疏导到底、包教育稳控到底、包解决化解到底、包息诉罢访到底“五个一包到底”责任。</w:t>
      </w:r>
    </w:p>
    <w:p>
      <w:pPr>
        <w:pStyle w:val="167"/>
      </w:pPr>
      <w:r>
        <w:rPr>
          <w:rFonts w:hint="eastAsia"/>
        </w:rPr>
        <w:t>明确包案领导（第一责任人），协调各方资源力量，由包案领导负责统筹处置，综合运用行政、法律、经济等手段，有效推动积案化解。</w:t>
      </w:r>
    </w:p>
    <w:p>
      <w:pPr>
        <w:pStyle w:val="68"/>
        <w:spacing w:before="156" w:after="156"/>
      </w:pPr>
      <w:bookmarkStart w:id="245" w:name="_Toc161653018"/>
      <w:bookmarkStart w:id="246" w:name="_Toc161839182"/>
      <w:r>
        <w:rPr>
          <w:rFonts w:hint="eastAsia"/>
        </w:rPr>
        <w:t>联席会议</w:t>
      </w:r>
      <w:bookmarkEnd w:id="245"/>
      <w:bookmarkEnd w:id="246"/>
    </w:p>
    <w:p>
      <w:pPr>
        <w:pStyle w:val="167"/>
      </w:pPr>
      <w:r>
        <w:rPr>
          <w:rFonts w:hint="eastAsia"/>
        </w:rPr>
        <w:t>建立旗、苏木镇两级矛盾纠纷化解工作联席会议机制，发挥联席会议综合协调、组织推动、督导落实等职能作用，各相关部门各司其职、相互配合。</w:t>
      </w:r>
    </w:p>
    <w:p>
      <w:pPr>
        <w:pStyle w:val="167"/>
      </w:pPr>
      <w:r>
        <w:rPr>
          <w:rFonts w:hint="eastAsia"/>
        </w:rPr>
        <w:t>根据实际开展人民调解、行政调解、司法调解联动化解，牵头组织复杂、疑难矛盾纠纷的联调会商，实现“调解优先、应调尽调”。</w:t>
      </w:r>
    </w:p>
    <w:p>
      <w:pPr>
        <w:pStyle w:val="167"/>
      </w:pPr>
      <w:r>
        <w:rPr>
          <w:rFonts w:hint="eastAsia"/>
        </w:rPr>
        <w:t>对于重大疑难矛盾纠纷当事人，加强释法说理和心理疏导，做好教育说服工作，防止矛盾纠纷转型升级。</w:t>
      </w:r>
    </w:p>
    <w:p>
      <w:pPr>
        <w:pStyle w:val="167"/>
      </w:pPr>
      <w:r>
        <w:rPr>
          <w:rFonts w:hint="eastAsia"/>
        </w:rPr>
        <w:t>在调解过程中，如遇涉及群体多、情况复杂，有引发群体性或极端事件倾向的矛盾纠纷，应及时依法果断处置，防止矛盾激化，并立即向上级综治中心和同级党委政府报告案情及处置情况。</w:t>
      </w:r>
    </w:p>
    <w:p>
      <w:pPr>
        <w:pStyle w:val="68"/>
        <w:spacing w:before="156" w:after="156"/>
      </w:pPr>
      <w:bookmarkStart w:id="247" w:name="_Toc161653019"/>
      <w:bookmarkStart w:id="248" w:name="_Toc161839183"/>
      <w:r>
        <w:rPr>
          <w:rFonts w:hint="eastAsia"/>
        </w:rPr>
        <w:t>联合下访</w:t>
      </w:r>
      <w:bookmarkEnd w:id="247"/>
      <w:bookmarkEnd w:id="248"/>
      <w:r>
        <w:rPr>
          <w:rFonts w:hint="eastAsia"/>
        </w:rPr>
        <w:t>接访</w:t>
      </w:r>
    </w:p>
    <w:p>
      <w:pPr>
        <w:pStyle w:val="167"/>
      </w:pPr>
      <w:r>
        <w:rPr>
          <w:rFonts w:hint="eastAsia"/>
        </w:rPr>
        <w:t>坚持“提前介入、防早防小”原则，注重化解工作权责匹配，组建工作组定期开展“联合下访”，召集司法所、派出所、法庭等驻地部门以及法律顾问，必要时邀请旗直职能部门等进行联合调解。</w:t>
      </w:r>
    </w:p>
    <w:p>
      <w:pPr>
        <w:pStyle w:val="167"/>
      </w:pPr>
      <w:r>
        <w:rPr>
          <w:rFonts w:hint="eastAsia"/>
        </w:rPr>
        <w:t>针对群众合理诉求，及时作出承诺并限期办结答复；对诉求无理的，正面予以回应，并做好思想教育；对生活困难的群众，积极争取司法救助和困难帮扶。</w:t>
      </w:r>
    </w:p>
    <w:p>
      <w:pPr>
        <w:pStyle w:val="68"/>
        <w:spacing w:before="156" w:after="156"/>
      </w:pPr>
      <w:r>
        <w:rPr>
          <w:rFonts w:hint="eastAsia"/>
        </w:rPr>
        <w:t>三调衔接</w:t>
      </w:r>
    </w:p>
    <w:p>
      <w:pPr>
        <w:pStyle w:val="167"/>
      </w:pPr>
      <w:r>
        <w:rPr>
          <w:rFonts w:hint="eastAsia"/>
        </w:rPr>
        <w:t>行政机关在进行行政调解时，可以邀请人民调解员参与行政调解。行政机关就行政调解的民事部分，可以委托人民调解委员会调解。</w:t>
      </w:r>
    </w:p>
    <w:p>
      <w:pPr>
        <w:pStyle w:val="167"/>
      </w:pPr>
      <w:r>
        <w:rPr>
          <w:rFonts w:hint="eastAsia"/>
        </w:rPr>
        <w:t>对于重大疑难纠纷等历史遗留疑难纠纷，应充分整合劳动保障、国土、林业等行政专业力量，聘请人民调解员、乡贤、法律顾问等第三方社会资源化解矛盾纠纷。</w:t>
      </w:r>
    </w:p>
    <w:p>
      <w:pPr>
        <w:pStyle w:val="167"/>
      </w:pPr>
      <w:r>
        <w:rPr>
          <w:rFonts w:hint="eastAsia"/>
        </w:rPr>
        <w:t>人民法院受理民事案件后，在司法调解时，可邀请人民调解员或人民调解组织参与调解，经调解达成协议的，人民调解员将生效的人民调解协议书移送人民法院；未达成协议的，出具终结人民调解反馈函告知法院。</w:t>
      </w:r>
    </w:p>
    <w:p>
      <w:pPr>
        <w:pStyle w:val="167"/>
      </w:pPr>
      <w:r>
        <w:rPr>
          <w:rFonts w:hint="eastAsia"/>
        </w:rPr>
        <w:t>经调解生效的人民调解协议，引导当事人双方及时到人民法院申请司法确认，人民法院依法受理确认申请，经法院确认的人民调解协议与人民法院的判决具有同等法律效力。</w:t>
      </w:r>
    </w:p>
    <w:p>
      <w:pPr>
        <w:pStyle w:val="107"/>
        <w:spacing w:before="312" w:after="312"/>
      </w:pPr>
      <w:bookmarkStart w:id="249" w:name="_Toc161653055"/>
      <w:bookmarkStart w:id="250" w:name="_Toc163052815"/>
      <w:bookmarkStart w:id="251" w:name="_Toc161653020"/>
      <w:bookmarkStart w:id="252" w:name="_Toc163809963"/>
      <w:bookmarkStart w:id="253" w:name="_Toc161839184"/>
      <w:bookmarkStart w:id="254" w:name="_Toc166011759"/>
      <w:bookmarkStart w:id="255" w:name="_Toc165985959"/>
      <w:bookmarkStart w:id="256" w:name="_Toc163761872"/>
      <w:bookmarkStart w:id="257" w:name="_Toc164261841"/>
      <w:r>
        <w:rPr>
          <w:rFonts w:hint="eastAsia"/>
        </w:rPr>
        <w:t>档案管理</w:t>
      </w:r>
      <w:bookmarkEnd w:id="249"/>
      <w:bookmarkEnd w:id="250"/>
      <w:bookmarkEnd w:id="251"/>
      <w:bookmarkEnd w:id="252"/>
      <w:bookmarkEnd w:id="253"/>
      <w:bookmarkEnd w:id="254"/>
      <w:bookmarkEnd w:id="255"/>
      <w:bookmarkEnd w:id="256"/>
      <w:bookmarkEnd w:id="257"/>
    </w:p>
    <w:p>
      <w:pPr>
        <w:pStyle w:val="165"/>
      </w:pPr>
      <w:r>
        <w:rPr>
          <w:rFonts w:hint="eastAsia"/>
        </w:rPr>
        <w:t>建立矛盾纠纷化解全过程档案整理、留存、使用制度。</w:t>
      </w:r>
    </w:p>
    <w:p>
      <w:pPr>
        <w:pStyle w:val="165"/>
      </w:pPr>
      <w:r>
        <w:rPr>
          <w:rFonts w:hint="eastAsia"/>
        </w:rPr>
        <w:t>采用电子档案和纸质台账同步存档。</w:t>
      </w:r>
    </w:p>
    <w:p>
      <w:pPr>
        <w:pStyle w:val="165"/>
      </w:pPr>
      <w:r>
        <w:rPr>
          <w:rFonts w:hint="eastAsia"/>
        </w:rPr>
        <w:t>做好矛盾调解服务对象和服务内容的保密。</w:t>
      </w:r>
    </w:p>
    <w:p>
      <w:pPr>
        <w:pStyle w:val="107"/>
        <w:spacing w:before="312" w:after="312"/>
      </w:pPr>
      <w:bookmarkStart w:id="258" w:name="_Toc161653056"/>
      <w:bookmarkStart w:id="259" w:name="_Toc165985960"/>
      <w:bookmarkStart w:id="260" w:name="_Toc163052816"/>
      <w:bookmarkStart w:id="261" w:name="_Toc161653021"/>
      <w:bookmarkStart w:id="262" w:name="_Toc161839185"/>
      <w:bookmarkStart w:id="263" w:name="_Toc166011760"/>
      <w:bookmarkStart w:id="264" w:name="_Toc163809964"/>
      <w:bookmarkStart w:id="265" w:name="_Toc163761873"/>
      <w:bookmarkStart w:id="266" w:name="_Toc164261842"/>
      <w:r>
        <w:rPr>
          <w:rFonts w:hint="eastAsia"/>
        </w:rPr>
        <w:t>评价与改进</w:t>
      </w:r>
      <w:bookmarkEnd w:id="258"/>
      <w:bookmarkEnd w:id="259"/>
      <w:bookmarkEnd w:id="260"/>
      <w:bookmarkEnd w:id="261"/>
      <w:bookmarkEnd w:id="262"/>
      <w:bookmarkEnd w:id="263"/>
      <w:bookmarkEnd w:id="264"/>
      <w:bookmarkEnd w:id="265"/>
      <w:bookmarkEnd w:id="266"/>
    </w:p>
    <w:p>
      <w:pPr>
        <w:pStyle w:val="108"/>
        <w:spacing w:before="156" w:after="156"/>
      </w:pPr>
      <w:bookmarkStart w:id="267" w:name="_Toc161839186"/>
      <w:bookmarkStart w:id="268" w:name="_Toc163761874"/>
      <w:bookmarkStart w:id="269" w:name="_Toc161653057"/>
      <w:bookmarkStart w:id="270" w:name="_Toc163052817"/>
      <w:bookmarkStart w:id="271" w:name="_Toc163809965"/>
      <w:bookmarkStart w:id="272" w:name="_Toc165985961"/>
      <w:bookmarkStart w:id="273" w:name="_Toc161653022"/>
      <w:bookmarkStart w:id="274" w:name="_Toc164261843"/>
      <w:bookmarkStart w:id="275" w:name="_Toc166011761"/>
      <w:r>
        <w:rPr>
          <w:rFonts w:hint="eastAsia"/>
        </w:rPr>
        <w:t>评价</w:t>
      </w:r>
      <w:bookmarkEnd w:id="267"/>
      <w:bookmarkEnd w:id="268"/>
      <w:bookmarkEnd w:id="269"/>
      <w:bookmarkEnd w:id="270"/>
      <w:bookmarkEnd w:id="271"/>
      <w:bookmarkEnd w:id="272"/>
      <w:bookmarkEnd w:id="273"/>
      <w:bookmarkEnd w:id="274"/>
      <w:bookmarkEnd w:id="275"/>
    </w:p>
    <w:p>
      <w:pPr>
        <w:pStyle w:val="168"/>
      </w:pPr>
      <w:r>
        <w:rPr>
          <w:rFonts w:hint="eastAsia"/>
        </w:rPr>
        <w:t>矛盾纠纷调解管理部门宜制定矛盾调解评价指标体系，统计矛盾纠纷发生率、调解成功率、诉中调撤率、复杂疑难纠纷办结率等指标，采用自我评价、第三方评价等方式，对矛盾纠纷调解工作进行评估，评估内容包括目标评估、过程评估、结果评估和影响评估。</w:t>
      </w:r>
    </w:p>
    <w:p>
      <w:pPr>
        <w:pStyle w:val="168"/>
      </w:pPr>
      <w:r>
        <w:rPr>
          <w:rFonts w:hint="eastAsia"/>
        </w:rPr>
        <w:t>矛盾纠纷调解管理部门宜对矛盾纠纷调解工作进行效果评估，对调解成果进行持续跟踪。</w:t>
      </w:r>
    </w:p>
    <w:p>
      <w:pPr>
        <w:pStyle w:val="168"/>
      </w:pPr>
      <w:r>
        <w:rPr>
          <w:rFonts w:hint="eastAsia"/>
        </w:rPr>
        <w:t>矛盾纠纷调解管理部门宜对人民调解委员会、社会调解组织的调解工作进行评价和奖励。</w:t>
      </w:r>
    </w:p>
    <w:p>
      <w:pPr>
        <w:pStyle w:val="108"/>
        <w:spacing w:before="156" w:after="156"/>
      </w:pPr>
      <w:bookmarkStart w:id="276" w:name="_Toc161653023"/>
      <w:bookmarkStart w:id="277" w:name="_Toc166011762"/>
      <w:bookmarkStart w:id="278" w:name="_Toc165985962"/>
      <w:bookmarkStart w:id="279" w:name="_Toc161839187"/>
      <w:bookmarkStart w:id="280" w:name="_Toc163761875"/>
      <w:bookmarkStart w:id="281" w:name="_Toc163052818"/>
      <w:bookmarkStart w:id="282" w:name="_Toc164261844"/>
      <w:bookmarkStart w:id="283" w:name="_Toc161653058"/>
      <w:bookmarkStart w:id="284" w:name="_Toc163809966"/>
      <w:r>
        <w:rPr>
          <w:rFonts w:hint="eastAsia"/>
        </w:rPr>
        <w:t>改进</w:t>
      </w:r>
      <w:bookmarkEnd w:id="276"/>
      <w:bookmarkEnd w:id="277"/>
      <w:bookmarkEnd w:id="278"/>
      <w:bookmarkEnd w:id="279"/>
      <w:bookmarkEnd w:id="280"/>
      <w:bookmarkEnd w:id="281"/>
      <w:bookmarkEnd w:id="282"/>
      <w:bookmarkEnd w:id="283"/>
      <w:bookmarkEnd w:id="284"/>
    </w:p>
    <w:p>
      <w:pPr>
        <w:pStyle w:val="168"/>
      </w:pPr>
      <w:r>
        <w:rPr>
          <w:rFonts w:hint="eastAsia"/>
        </w:rPr>
        <w:t>矛盾纠纷调解组织及调解员应根据调解效果评估情况，做好问题的沟通，持续提升矛盾调解工作质量。</w:t>
      </w:r>
    </w:p>
    <w:p>
      <w:pPr>
        <w:pStyle w:val="168"/>
      </w:pPr>
      <w:r>
        <w:rPr>
          <w:rFonts w:hint="eastAsia"/>
        </w:rPr>
        <w:t>矛盾纠纷调解管理部门应积极总结提炼全市各地矛盾纠纷多元化解的经验做法，加大宣传推广力度。</w:t>
      </w:r>
    </w:p>
    <w:p>
      <w:pPr>
        <w:pStyle w:val="59"/>
        <w:ind w:firstLine="420"/>
      </w:pPr>
    </w:p>
    <w:p>
      <w:pPr>
        <w:pStyle w:val="59"/>
        <w:ind w:firstLine="420"/>
      </w:pPr>
    </w:p>
    <w:p>
      <w:pPr>
        <w:pStyle w:val="168"/>
        <w:sectPr>
          <w:pgSz w:w="11906" w:h="16838"/>
          <w:pgMar w:top="1928" w:right="1134" w:bottom="1134" w:left="1134" w:header="1418" w:footer="1134" w:gutter="284"/>
          <w:pgNumType w:start="1"/>
          <w:cols w:space="425" w:num="1"/>
          <w:formProt w:val="0"/>
          <w:docGrid w:type="lines" w:linePitch="312" w:charSpace="0"/>
        </w:sectPr>
      </w:pPr>
    </w:p>
    <w:bookmarkEnd w:id="32"/>
    <w:p>
      <w:pPr>
        <w:pStyle w:val="201"/>
      </w:pPr>
      <w:bookmarkStart w:id="285" w:name="BookMark5"/>
    </w:p>
    <w:p>
      <w:pPr>
        <w:pStyle w:val="202"/>
      </w:pPr>
    </w:p>
    <w:p>
      <w:pPr>
        <w:pStyle w:val="79"/>
        <w:spacing w:after="156"/>
      </w:pPr>
      <w:r>
        <w:br w:type="textWrapping"/>
      </w:r>
      <w:bookmarkStart w:id="286" w:name="_Toc161839188"/>
      <w:bookmarkStart w:id="287" w:name="_Toc163052819"/>
      <w:bookmarkStart w:id="288" w:name="_Toc164261845"/>
      <w:bookmarkStart w:id="289" w:name="_Toc165985963"/>
      <w:bookmarkStart w:id="290" w:name="_Toc163809967"/>
      <w:bookmarkStart w:id="291" w:name="_Toc163761876"/>
      <w:bookmarkStart w:id="292" w:name="_Toc166011763"/>
      <w:r>
        <w:rPr>
          <w:rFonts w:hint="eastAsia"/>
        </w:rPr>
        <w:t>（资料性）</w:t>
      </w:r>
      <w:r>
        <w:br w:type="textWrapping"/>
      </w:r>
      <w:r>
        <w:rPr>
          <w:rFonts w:hint="eastAsia"/>
        </w:rPr>
        <w:t>矛盾纠纷分级分类多元化解流程图</w:t>
      </w:r>
      <w:bookmarkEnd w:id="286"/>
      <w:bookmarkEnd w:id="287"/>
      <w:bookmarkEnd w:id="288"/>
      <w:bookmarkEnd w:id="289"/>
      <w:bookmarkEnd w:id="290"/>
      <w:bookmarkEnd w:id="291"/>
      <w:bookmarkEnd w:id="292"/>
    </w:p>
    <w:p>
      <w:pPr>
        <w:pStyle w:val="59"/>
        <w:ind w:firstLine="420"/>
      </w:pPr>
      <w:r>
        <w:rPr>
          <w:rFonts w:hint="eastAsia"/>
        </w:rPr>
        <w:t>矛盾纠纷分级分类多元化解流程图见图A.1。</w:t>
      </w:r>
    </w:p>
    <w:p>
      <w:pPr>
        <w:pStyle w:val="59"/>
        <w:ind w:firstLine="420"/>
      </w:pPr>
      <w:r>
        <w:object>
          <v:shape id="_x0000_i1025" o:spt="75" type="#_x0000_t75" style="height:411pt;width:467.5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pPr>
        <w:pStyle w:val="59"/>
        <w:ind w:firstLine="420"/>
      </w:pPr>
    </w:p>
    <w:p>
      <w:pPr>
        <w:pStyle w:val="59"/>
        <w:ind w:firstLine="420"/>
        <w:jc w:val="center"/>
      </w:pPr>
    </w:p>
    <w:p>
      <w:pPr>
        <w:pStyle w:val="86"/>
        <w:spacing w:before="156" w:after="156"/>
      </w:pPr>
      <w:r>
        <w:rPr>
          <w:rFonts w:hint="eastAsia"/>
        </w:rPr>
        <w:t>矛盾纠纷分级分类多元化解工作流程图</w:t>
      </w:r>
    </w:p>
    <w:bookmarkEnd w:id="285"/>
    <w:p>
      <w:pPr>
        <w:pStyle w:val="59"/>
        <w:ind w:firstLine="0" w:firstLineChars="0"/>
        <w:jc w:val="center"/>
      </w:pPr>
      <w:bookmarkStart w:id="293" w:name="BookMark8"/>
      <w:r>
        <w:drawing>
          <wp:inline distT="0" distB="0" distL="0" distR="0">
            <wp:extent cx="1485900" cy="317500"/>
            <wp:effectExtent l="0" t="0" r="0" b="6350"/>
            <wp:docPr id="420846570" name="图片 1"/>
            <wp:cNvGraphicFramePr/>
            <a:graphic xmlns:a="http://schemas.openxmlformats.org/drawingml/2006/main">
              <a:graphicData uri="http://schemas.openxmlformats.org/drawingml/2006/picture">
                <pic:pic xmlns:pic="http://schemas.openxmlformats.org/drawingml/2006/picture">
                  <pic:nvPicPr>
                    <pic:cNvPr id="420846570"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425"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41"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attachedTemplate r:id="rId1"/>
  <w:documentProtection w:edit="forms" w:enforcement="1" w:cryptProviderType="rsaAES" w:cryptAlgorithmClass="hash" w:cryptAlgorithmType="typeAny" w:cryptAlgorithmSid="14" w:cryptSpinCount="100000" w:hash="Q4G5KSnm66pCXWph7wXP06VnqAhaDg36hS5aIALXH75934K3ZvLdnHj+sFoHBtm+VvhyiOhIwIuAFOJOJJvrCg==" w:salt="XcLbKnkcMAjRjUmp4Jsv6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GM5ZDc4ZDZkNTUyYjlkMDU4YzExNjI1NDczOWIifQ=="/>
  </w:docVars>
  <w:rsids>
    <w:rsidRoot w:val="00503435"/>
    <w:rsid w:val="0000040A"/>
    <w:rsid w:val="00000A94"/>
    <w:rsid w:val="0000194F"/>
    <w:rsid w:val="00001972"/>
    <w:rsid w:val="00001B08"/>
    <w:rsid w:val="00001D9A"/>
    <w:rsid w:val="00003B35"/>
    <w:rsid w:val="00006A09"/>
    <w:rsid w:val="00007B3A"/>
    <w:rsid w:val="000107E0"/>
    <w:rsid w:val="00011FDE"/>
    <w:rsid w:val="00012FFD"/>
    <w:rsid w:val="00014162"/>
    <w:rsid w:val="00014340"/>
    <w:rsid w:val="00014623"/>
    <w:rsid w:val="00016A9C"/>
    <w:rsid w:val="00022184"/>
    <w:rsid w:val="00022762"/>
    <w:rsid w:val="000238E0"/>
    <w:rsid w:val="000249DB"/>
    <w:rsid w:val="0002595E"/>
    <w:rsid w:val="000303C3"/>
    <w:rsid w:val="000331D3"/>
    <w:rsid w:val="000346A5"/>
    <w:rsid w:val="000359C3"/>
    <w:rsid w:val="00035A7D"/>
    <w:rsid w:val="000365ED"/>
    <w:rsid w:val="0004249A"/>
    <w:rsid w:val="0004270A"/>
    <w:rsid w:val="00043282"/>
    <w:rsid w:val="00044286"/>
    <w:rsid w:val="00046CF7"/>
    <w:rsid w:val="00047F28"/>
    <w:rsid w:val="000503AA"/>
    <w:rsid w:val="000506A1"/>
    <w:rsid w:val="000515DD"/>
    <w:rsid w:val="0005265A"/>
    <w:rsid w:val="000539DD"/>
    <w:rsid w:val="00053BD3"/>
    <w:rsid w:val="000556ED"/>
    <w:rsid w:val="00055FE2"/>
    <w:rsid w:val="0005616F"/>
    <w:rsid w:val="000579F7"/>
    <w:rsid w:val="00057F48"/>
    <w:rsid w:val="00060C2E"/>
    <w:rsid w:val="00061033"/>
    <w:rsid w:val="000619E9"/>
    <w:rsid w:val="00061EC9"/>
    <w:rsid w:val="000622D4"/>
    <w:rsid w:val="0006357D"/>
    <w:rsid w:val="00067F1E"/>
    <w:rsid w:val="000715B6"/>
    <w:rsid w:val="00071CC0"/>
    <w:rsid w:val="000734CE"/>
    <w:rsid w:val="00073C8C"/>
    <w:rsid w:val="00077B64"/>
    <w:rsid w:val="00080A1C"/>
    <w:rsid w:val="00082317"/>
    <w:rsid w:val="00083D2C"/>
    <w:rsid w:val="00086AA1"/>
    <w:rsid w:val="00087861"/>
    <w:rsid w:val="00087A77"/>
    <w:rsid w:val="00090CA6"/>
    <w:rsid w:val="00092B8A"/>
    <w:rsid w:val="00092FB0"/>
    <w:rsid w:val="000934C5"/>
    <w:rsid w:val="00093D25"/>
    <w:rsid w:val="00093DAB"/>
    <w:rsid w:val="00094D73"/>
    <w:rsid w:val="00096D63"/>
    <w:rsid w:val="000A0B60"/>
    <w:rsid w:val="000A0EB8"/>
    <w:rsid w:val="000A118C"/>
    <w:rsid w:val="000A19FC"/>
    <w:rsid w:val="000A296B"/>
    <w:rsid w:val="000A7311"/>
    <w:rsid w:val="000B060F"/>
    <w:rsid w:val="000B1592"/>
    <w:rsid w:val="000B1FF2"/>
    <w:rsid w:val="000B3CDA"/>
    <w:rsid w:val="000B6A0B"/>
    <w:rsid w:val="000C0B3D"/>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3D7"/>
    <w:rsid w:val="000E4C9E"/>
    <w:rsid w:val="000E6FD7"/>
    <w:rsid w:val="000F06E1"/>
    <w:rsid w:val="000F0839"/>
    <w:rsid w:val="000F0E3C"/>
    <w:rsid w:val="000F19D5"/>
    <w:rsid w:val="000F4AEA"/>
    <w:rsid w:val="000F59ED"/>
    <w:rsid w:val="000F633F"/>
    <w:rsid w:val="000F67E9"/>
    <w:rsid w:val="00104926"/>
    <w:rsid w:val="0010665F"/>
    <w:rsid w:val="00110D31"/>
    <w:rsid w:val="00113B1E"/>
    <w:rsid w:val="00115DD6"/>
    <w:rsid w:val="001170F0"/>
    <w:rsid w:val="0011711C"/>
    <w:rsid w:val="0012059C"/>
    <w:rsid w:val="00122C0A"/>
    <w:rsid w:val="00124E4F"/>
    <w:rsid w:val="001260B7"/>
    <w:rsid w:val="001265CB"/>
    <w:rsid w:val="00127A7C"/>
    <w:rsid w:val="00127D01"/>
    <w:rsid w:val="001321C6"/>
    <w:rsid w:val="001325C4"/>
    <w:rsid w:val="00133010"/>
    <w:rsid w:val="001338EE"/>
    <w:rsid w:val="00133AAE"/>
    <w:rsid w:val="00133CF1"/>
    <w:rsid w:val="00135323"/>
    <w:rsid w:val="001356C4"/>
    <w:rsid w:val="00141114"/>
    <w:rsid w:val="00142969"/>
    <w:rsid w:val="001446C2"/>
    <w:rsid w:val="001457E7"/>
    <w:rsid w:val="00145D9D"/>
    <w:rsid w:val="00146388"/>
    <w:rsid w:val="00152688"/>
    <w:rsid w:val="001529E5"/>
    <w:rsid w:val="00153C7E"/>
    <w:rsid w:val="00156B25"/>
    <w:rsid w:val="00156E1A"/>
    <w:rsid w:val="00157894"/>
    <w:rsid w:val="00157B55"/>
    <w:rsid w:val="00160CB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50E3"/>
    <w:rsid w:val="001B06E8"/>
    <w:rsid w:val="001B23E9"/>
    <w:rsid w:val="001B536B"/>
    <w:rsid w:val="001B71D0"/>
    <w:rsid w:val="001B71EE"/>
    <w:rsid w:val="001C04A8"/>
    <w:rsid w:val="001C2C03"/>
    <w:rsid w:val="001C42F7"/>
    <w:rsid w:val="001C49E5"/>
    <w:rsid w:val="001C680C"/>
    <w:rsid w:val="001C6CB3"/>
    <w:rsid w:val="001C7FEA"/>
    <w:rsid w:val="001D0499"/>
    <w:rsid w:val="001D0BBE"/>
    <w:rsid w:val="001D0ED4"/>
    <w:rsid w:val="001D212F"/>
    <w:rsid w:val="001D29D7"/>
    <w:rsid w:val="001D2DE7"/>
    <w:rsid w:val="001D411C"/>
    <w:rsid w:val="001E1B6A"/>
    <w:rsid w:val="001E2484"/>
    <w:rsid w:val="001E378C"/>
    <w:rsid w:val="001E3CC4"/>
    <w:rsid w:val="001E4882"/>
    <w:rsid w:val="001E73AB"/>
    <w:rsid w:val="001F092D"/>
    <w:rsid w:val="001F143A"/>
    <w:rsid w:val="001F1605"/>
    <w:rsid w:val="001F2508"/>
    <w:rsid w:val="001F4816"/>
    <w:rsid w:val="001F4EE9"/>
    <w:rsid w:val="001F5213"/>
    <w:rsid w:val="001F69B4"/>
    <w:rsid w:val="001F77C7"/>
    <w:rsid w:val="00200183"/>
    <w:rsid w:val="00200333"/>
    <w:rsid w:val="0020107D"/>
    <w:rsid w:val="00202AA4"/>
    <w:rsid w:val="002031F7"/>
    <w:rsid w:val="002040E6"/>
    <w:rsid w:val="0020527B"/>
    <w:rsid w:val="002054D3"/>
    <w:rsid w:val="00205F2C"/>
    <w:rsid w:val="0020711A"/>
    <w:rsid w:val="00210B15"/>
    <w:rsid w:val="002142EA"/>
    <w:rsid w:val="002204BB"/>
    <w:rsid w:val="00221B79"/>
    <w:rsid w:val="00221C6B"/>
    <w:rsid w:val="00224039"/>
    <w:rsid w:val="002253A1"/>
    <w:rsid w:val="00225CF8"/>
    <w:rsid w:val="002268E2"/>
    <w:rsid w:val="00226C8C"/>
    <w:rsid w:val="002277CC"/>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75F"/>
    <w:rsid w:val="00263D25"/>
    <w:rsid w:val="002643C3"/>
    <w:rsid w:val="00264A0C"/>
    <w:rsid w:val="00266EEB"/>
    <w:rsid w:val="00267EF4"/>
    <w:rsid w:val="00270CB8"/>
    <w:rsid w:val="00272B08"/>
    <w:rsid w:val="00275F81"/>
    <w:rsid w:val="002771AC"/>
    <w:rsid w:val="00277DE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A34"/>
    <w:rsid w:val="002A3AAB"/>
    <w:rsid w:val="002A4CEA"/>
    <w:rsid w:val="002A5977"/>
    <w:rsid w:val="002A5A13"/>
    <w:rsid w:val="002A757F"/>
    <w:rsid w:val="002A7F44"/>
    <w:rsid w:val="002B0C40"/>
    <w:rsid w:val="002B10D3"/>
    <w:rsid w:val="002B1966"/>
    <w:rsid w:val="002B4508"/>
    <w:rsid w:val="002B5779"/>
    <w:rsid w:val="002B7332"/>
    <w:rsid w:val="002B7F51"/>
    <w:rsid w:val="002C09E7"/>
    <w:rsid w:val="002C1E06"/>
    <w:rsid w:val="002C1E1C"/>
    <w:rsid w:val="002C3F07"/>
    <w:rsid w:val="002C4666"/>
    <w:rsid w:val="002C5278"/>
    <w:rsid w:val="002C7EBB"/>
    <w:rsid w:val="002D06C1"/>
    <w:rsid w:val="002D25C1"/>
    <w:rsid w:val="002D2980"/>
    <w:rsid w:val="002D42B5"/>
    <w:rsid w:val="002D4F1A"/>
    <w:rsid w:val="002D5EDB"/>
    <w:rsid w:val="002D6EC6"/>
    <w:rsid w:val="002D79AC"/>
    <w:rsid w:val="002E039D"/>
    <w:rsid w:val="002E04EA"/>
    <w:rsid w:val="002E3A30"/>
    <w:rsid w:val="002E4D5A"/>
    <w:rsid w:val="002E6326"/>
    <w:rsid w:val="002F1990"/>
    <w:rsid w:val="002F30E0"/>
    <w:rsid w:val="002F35E4"/>
    <w:rsid w:val="002F3730"/>
    <w:rsid w:val="002F38E1"/>
    <w:rsid w:val="002F6DB1"/>
    <w:rsid w:val="002F7AF6"/>
    <w:rsid w:val="00300E63"/>
    <w:rsid w:val="00302EFB"/>
    <w:rsid w:val="00302F5F"/>
    <w:rsid w:val="0030441D"/>
    <w:rsid w:val="00306063"/>
    <w:rsid w:val="00307EAB"/>
    <w:rsid w:val="0031220A"/>
    <w:rsid w:val="00313B85"/>
    <w:rsid w:val="00317988"/>
    <w:rsid w:val="003221B4"/>
    <w:rsid w:val="0032258D"/>
    <w:rsid w:val="00322E62"/>
    <w:rsid w:val="00324D13"/>
    <w:rsid w:val="00324D2A"/>
    <w:rsid w:val="00324EDD"/>
    <w:rsid w:val="00327D8C"/>
    <w:rsid w:val="003331E4"/>
    <w:rsid w:val="00336C64"/>
    <w:rsid w:val="00337162"/>
    <w:rsid w:val="0034194F"/>
    <w:rsid w:val="00344605"/>
    <w:rsid w:val="003474AA"/>
    <w:rsid w:val="00347E02"/>
    <w:rsid w:val="00350D1D"/>
    <w:rsid w:val="00352C83"/>
    <w:rsid w:val="003615D2"/>
    <w:rsid w:val="0036429C"/>
    <w:rsid w:val="00364A53"/>
    <w:rsid w:val="003654CB"/>
    <w:rsid w:val="00365AA9"/>
    <w:rsid w:val="00365F86"/>
    <w:rsid w:val="00365F87"/>
    <w:rsid w:val="00366E89"/>
    <w:rsid w:val="003705F4"/>
    <w:rsid w:val="00370D58"/>
    <w:rsid w:val="00371316"/>
    <w:rsid w:val="00371B1C"/>
    <w:rsid w:val="00376713"/>
    <w:rsid w:val="00381815"/>
    <w:rsid w:val="003819AF"/>
    <w:rsid w:val="003820E9"/>
    <w:rsid w:val="00382DE7"/>
    <w:rsid w:val="00384FFC"/>
    <w:rsid w:val="003872FC"/>
    <w:rsid w:val="00387472"/>
    <w:rsid w:val="00387ADC"/>
    <w:rsid w:val="00390020"/>
    <w:rsid w:val="003900B6"/>
    <w:rsid w:val="003903D6"/>
    <w:rsid w:val="00390EE6"/>
    <w:rsid w:val="0039118F"/>
    <w:rsid w:val="00392AD7"/>
    <w:rsid w:val="003938D9"/>
    <w:rsid w:val="00394376"/>
    <w:rsid w:val="003943FF"/>
    <w:rsid w:val="00395700"/>
    <w:rsid w:val="003974EB"/>
    <w:rsid w:val="00397CC5"/>
    <w:rsid w:val="003A1582"/>
    <w:rsid w:val="003A4077"/>
    <w:rsid w:val="003A5C25"/>
    <w:rsid w:val="003A7FC1"/>
    <w:rsid w:val="003B09AD"/>
    <w:rsid w:val="003B1F18"/>
    <w:rsid w:val="003B572C"/>
    <w:rsid w:val="003B5BF0"/>
    <w:rsid w:val="003B60BF"/>
    <w:rsid w:val="003B6BE3"/>
    <w:rsid w:val="003C010C"/>
    <w:rsid w:val="003C0A6C"/>
    <w:rsid w:val="003C14F8"/>
    <w:rsid w:val="003C174E"/>
    <w:rsid w:val="003C4511"/>
    <w:rsid w:val="003C5A43"/>
    <w:rsid w:val="003C6241"/>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BE9"/>
    <w:rsid w:val="00432DAA"/>
    <w:rsid w:val="00434305"/>
    <w:rsid w:val="00435DF7"/>
    <w:rsid w:val="0044083F"/>
    <w:rsid w:val="00441AE7"/>
    <w:rsid w:val="00445574"/>
    <w:rsid w:val="004467FB"/>
    <w:rsid w:val="0045240E"/>
    <w:rsid w:val="00452D6B"/>
    <w:rsid w:val="00454484"/>
    <w:rsid w:val="0045517B"/>
    <w:rsid w:val="00461BA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99E"/>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E6A"/>
    <w:rsid w:val="00503435"/>
    <w:rsid w:val="0050363E"/>
    <w:rsid w:val="005039BC"/>
    <w:rsid w:val="005043BB"/>
    <w:rsid w:val="00504A3D"/>
    <w:rsid w:val="005052A2"/>
    <w:rsid w:val="00505767"/>
    <w:rsid w:val="005073F0"/>
    <w:rsid w:val="00510A7B"/>
    <w:rsid w:val="00512F6E"/>
    <w:rsid w:val="00513038"/>
    <w:rsid w:val="00514174"/>
    <w:rsid w:val="00516088"/>
    <w:rsid w:val="00516B0B"/>
    <w:rsid w:val="005220EC"/>
    <w:rsid w:val="00523F95"/>
    <w:rsid w:val="00524D65"/>
    <w:rsid w:val="00525B16"/>
    <w:rsid w:val="00526D2A"/>
    <w:rsid w:val="00532060"/>
    <w:rsid w:val="00533D04"/>
    <w:rsid w:val="00534804"/>
    <w:rsid w:val="00534BDF"/>
    <w:rsid w:val="005354EA"/>
    <w:rsid w:val="0053585F"/>
    <w:rsid w:val="00535EC4"/>
    <w:rsid w:val="00535ED9"/>
    <w:rsid w:val="0053692B"/>
    <w:rsid w:val="00541853"/>
    <w:rsid w:val="00543BDA"/>
    <w:rsid w:val="005441CC"/>
    <w:rsid w:val="00544925"/>
    <w:rsid w:val="005479DA"/>
    <w:rsid w:val="00547BCC"/>
    <w:rsid w:val="0055013B"/>
    <w:rsid w:val="00551F6F"/>
    <w:rsid w:val="00555044"/>
    <w:rsid w:val="00561475"/>
    <w:rsid w:val="0056318F"/>
    <w:rsid w:val="0056487B"/>
    <w:rsid w:val="00564FB9"/>
    <w:rsid w:val="005662BA"/>
    <w:rsid w:val="00573D9E"/>
    <w:rsid w:val="00577CEA"/>
    <w:rsid w:val="005801E3"/>
    <w:rsid w:val="00581802"/>
    <w:rsid w:val="005836A8"/>
    <w:rsid w:val="0058409C"/>
    <w:rsid w:val="00584262"/>
    <w:rsid w:val="00584C56"/>
    <w:rsid w:val="00586630"/>
    <w:rsid w:val="00586A11"/>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C82"/>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3B5"/>
    <w:rsid w:val="005F4712"/>
    <w:rsid w:val="00600963"/>
    <w:rsid w:val="006015CE"/>
    <w:rsid w:val="00604784"/>
    <w:rsid w:val="00606419"/>
    <w:rsid w:val="00607D29"/>
    <w:rsid w:val="00612952"/>
    <w:rsid w:val="00614B03"/>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027"/>
    <w:rsid w:val="00647E55"/>
    <w:rsid w:val="00651ACB"/>
    <w:rsid w:val="00651C47"/>
    <w:rsid w:val="00652AB2"/>
    <w:rsid w:val="00653FED"/>
    <w:rsid w:val="00654EC0"/>
    <w:rsid w:val="0065525B"/>
    <w:rsid w:val="00655D4F"/>
    <w:rsid w:val="00656D29"/>
    <w:rsid w:val="0065773E"/>
    <w:rsid w:val="00661EB8"/>
    <w:rsid w:val="006640E5"/>
    <w:rsid w:val="006646F1"/>
    <w:rsid w:val="00664929"/>
    <w:rsid w:val="00664F62"/>
    <w:rsid w:val="006655E1"/>
    <w:rsid w:val="00672060"/>
    <w:rsid w:val="00672BFD"/>
    <w:rsid w:val="00675EEE"/>
    <w:rsid w:val="006770F4"/>
    <w:rsid w:val="00677A84"/>
    <w:rsid w:val="0068026D"/>
    <w:rsid w:val="00680A27"/>
    <w:rsid w:val="006816A4"/>
    <w:rsid w:val="006819B8"/>
    <w:rsid w:val="006840A6"/>
    <w:rsid w:val="006850CD"/>
    <w:rsid w:val="00685AAB"/>
    <w:rsid w:val="00686B6E"/>
    <w:rsid w:val="00692A59"/>
    <w:rsid w:val="00693017"/>
    <w:rsid w:val="00695D22"/>
    <w:rsid w:val="006A07AA"/>
    <w:rsid w:val="006A25E5"/>
    <w:rsid w:val="006A2B46"/>
    <w:rsid w:val="006A336D"/>
    <w:rsid w:val="006A37B9"/>
    <w:rsid w:val="006A6DE0"/>
    <w:rsid w:val="006B2672"/>
    <w:rsid w:val="006B54BF"/>
    <w:rsid w:val="006B5F44"/>
    <w:rsid w:val="006B5F90"/>
    <w:rsid w:val="006B62E4"/>
    <w:rsid w:val="006C1BBA"/>
    <w:rsid w:val="006C2079"/>
    <w:rsid w:val="006C2F95"/>
    <w:rsid w:val="006C5A62"/>
    <w:rsid w:val="006C5D68"/>
    <w:rsid w:val="006C6976"/>
    <w:rsid w:val="006C6DD0"/>
    <w:rsid w:val="006D04EA"/>
    <w:rsid w:val="006D0AB7"/>
    <w:rsid w:val="006D16C4"/>
    <w:rsid w:val="006D3E96"/>
    <w:rsid w:val="006D4515"/>
    <w:rsid w:val="006D4BB1"/>
    <w:rsid w:val="006D6593"/>
    <w:rsid w:val="006E23EA"/>
    <w:rsid w:val="006F03A8"/>
    <w:rsid w:val="006F0449"/>
    <w:rsid w:val="006F2ACA"/>
    <w:rsid w:val="006F2ADC"/>
    <w:rsid w:val="006F2BFE"/>
    <w:rsid w:val="006F31E9"/>
    <w:rsid w:val="006F6284"/>
    <w:rsid w:val="007002C5"/>
    <w:rsid w:val="00702206"/>
    <w:rsid w:val="00702A48"/>
    <w:rsid w:val="00704387"/>
    <w:rsid w:val="00707669"/>
    <w:rsid w:val="00711CBA"/>
    <w:rsid w:val="00711FB5"/>
    <w:rsid w:val="00712A01"/>
    <w:rsid w:val="00714F58"/>
    <w:rsid w:val="00717B9C"/>
    <w:rsid w:val="00722FBF"/>
    <w:rsid w:val="00722FC2"/>
    <w:rsid w:val="00724879"/>
    <w:rsid w:val="00724E1B"/>
    <w:rsid w:val="00725949"/>
    <w:rsid w:val="00727FA2"/>
    <w:rsid w:val="007322D9"/>
    <w:rsid w:val="00732BC0"/>
    <w:rsid w:val="0073720F"/>
    <w:rsid w:val="00737796"/>
    <w:rsid w:val="00740A3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EA6"/>
    <w:rsid w:val="00756050"/>
    <w:rsid w:val="00756B26"/>
    <w:rsid w:val="00756EDF"/>
    <w:rsid w:val="007600E3"/>
    <w:rsid w:val="00765492"/>
    <w:rsid w:val="00765C43"/>
    <w:rsid w:val="00765EFB"/>
    <w:rsid w:val="007671CA"/>
    <w:rsid w:val="00767C61"/>
    <w:rsid w:val="0077008A"/>
    <w:rsid w:val="0077103A"/>
    <w:rsid w:val="00773C1F"/>
    <w:rsid w:val="00774CDA"/>
    <w:rsid w:val="00774DA4"/>
    <w:rsid w:val="00776599"/>
    <w:rsid w:val="0078114B"/>
    <w:rsid w:val="00781DD2"/>
    <w:rsid w:val="00783ECF"/>
    <w:rsid w:val="0078413A"/>
    <w:rsid w:val="00790860"/>
    <w:rsid w:val="007959E8"/>
    <w:rsid w:val="00795B67"/>
    <w:rsid w:val="00795E9C"/>
    <w:rsid w:val="007A0521"/>
    <w:rsid w:val="007A054A"/>
    <w:rsid w:val="007A1181"/>
    <w:rsid w:val="007A2E12"/>
    <w:rsid w:val="007A3475"/>
    <w:rsid w:val="007A4016"/>
    <w:rsid w:val="007A41C8"/>
    <w:rsid w:val="007A54CE"/>
    <w:rsid w:val="007A6FD9"/>
    <w:rsid w:val="007A7FFA"/>
    <w:rsid w:val="007B04EB"/>
    <w:rsid w:val="007B0D4F"/>
    <w:rsid w:val="007B1318"/>
    <w:rsid w:val="007B5A3D"/>
    <w:rsid w:val="007B5B95"/>
    <w:rsid w:val="007B68EA"/>
    <w:rsid w:val="007B7453"/>
    <w:rsid w:val="007C1E8B"/>
    <w:rsid w:val="007C2693"/>
    <w:rsid w:val="007C2D89"/>
    <w:rsid w:val="007C3E59"/>
    <w:rsid w:val="007C4593"/>
    <w:rsid w:val="007C5309"/>
    <w:rsid w:val="007C6069"/>
    <w:rsid w:val="007D06C4"/>
    <w:rsid w:val="007D1352"/>
    <w:rsid w:val="007D2508"/>
    <w:rsid w:val="007D346A"/>
    <w:rsid w:val="007D6518"/>
    <w:rsid w:val="007D76BD"/>
    <w:rsid w:val="007E0BF1"/>
    <w:rsid w:val="007E2652"/>
    <w:rsid w:val="007E5958"/>
    <w:rsid w:val="007F0ED8"/>
    <w:rsid w:val="007F0F63"/>
    <w:rsid w:val="007F3879"/>
    <w:rsid w:val="007F75CE"/>
    <w:rsid w:val="008013A4"/>
    <w:rsid w:val="008027CE"/>
    <w:rsid w:val="00802F42"/>
    <w:rsid w:val="00804383"/>
    <w:rsid w:val="00804BB7"/>
    <w:rsid w:val="00804D41"/>
    <w:rsid w:val="00810257"/>
    <w:rsid w:val="008104F5"/>
    <w:rsid w:val="00811072"/>
    <w:rsid w:val="00811369"/>
    <w:rsid w:val="00815079"/>
    <w:rsid w:val="00815419"/>
    <w:rsid w:val="008163C8"/>
    <w:rsid w:val="008164A1"/>
    <w:rsid w:val="00817325"/>
    <w:rsid w:val="008208F9"/>
    <w:rsid w:val="008209E6"/>
    <w:rsid w:val="0082103A"/>
    <w:rsid w:val="008220C8"/>
    <w:rsid w:val="00823303"/>
    <w:rsid w:val="008233B2"/>
    <w:rsid w:val="00823A9F"/>
    <w:rsid w:val="00823C85"/>
    <w:rsid w:val="00825138"/>
    <w:rsid w:val="008265F7"/>
    <w:rsid w:val="008269DD"/>
    <w:rsid w:val="00830621"/>
    <w:rsid w:val="00833318"/>
    <w:rsid w:val="0083348C"/>
    <w:rsid w:val="008373D3"/>
    <w:rsid w:val="00840617"/>
    <w:rsid w:val="00840F84"/>
    <w:rsid w:val="008427B2"/>
    <w:rsid w:val="00842A47"/>
    <w:rsid w:val="00843C13"/>
    <w:rsid w:val="008454F8"/>
    <w:rsid w:val="0085173A"/>
    <w:rsid w:val="00856316"/>
    <w:rsid w:val="0085655B"/>
    <w:rsid w:val="008603CE"/>
    <w:rsid w:val="00861964"/>
    <w:rsid w:val="008620FC"/>
    <w:rsid w:val="008627A5"/>
    <w:rsid w:val="00863E05"/>
    <w:rsid w:val="008642F8"/>
    <w:rsid w:val="00865ACA"/>
    <w:rsid w:val="00865D28"/>
    <w:rsid w:val="00865F85"/>
    <w:rsid w:val="0086749B"/>
    <w:rsid w:val="00867C10"/>
    <w:rsid w:val="00870439"/>
    <w:rsid w:val="00870DA1"/>
    <w:rsid w:val="00883F93"/>
    <w:rsid w:val="0088401B"/>
    <w:rsid w:val="00884DB3"/>
    <w:rsid w:val="00885A9D"/>
    <w:rsid w:val="00885EB5"/>
    <w:rsid w:val="008864F6"/>
    <w:rsid w:val="00886AE8"/>
    <w:rsid w:val="0089049D"/>
    <w:rsid w:val="008928C9"/>
    <w:rsid w:val="008930CB"/>
    <w:rsid w:val="008938DC"/>
    <w:rsid w:val="00893FD1"/>
    <w:rsid w:val="0089471F"/>
    <w:rsid w:val="00894836"/>
    <w:rsid w:val="00895172"/>
    <w:rsid w:val="00895680"/>
    <w:rsid w:val="00896DFF"/>
    <w:rsid w:val="0089762C"/>
    <w:rsid w:val="008A1893"/>
    <w:rsid w:val="008A3215"/>
    <w:rsid w:val="008A57E6"/>
    <w:rsid w:val="008A6F81"/>
    <w:rsid w:val="008A769A"/>
    <w:rsid w:val="008B0BE5"/>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60A"/>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479"/>
    <w:rsid w:val="00913CA9"/>
    <w:rsid w:val="009145AE"/>
    <w:rsid w:val="009146CE"/>
    <w:rsid w:val="00914CA7"/>
    <w:rsid w:val="00915C3E"/>
    <w:rsid w:val="009161A8"/>
    <w:rsid w:val="009232B0"/>
    <w:rsid w:val="009245F5"/>
    <w:rsid w:val="009249EC"/>
    <w:rsid w:val="00926E52"/>
    <w:rsid w:val="009273B3"/>
    <w:rsid w:val="009305B5"/>
    <w:rsid w:val="00931479"/>
    <w:rsid w:val="009429D5"/>
    <w:rsid w:val="00942BF1"/>
    <w:rsid w:val="00945180"/>
    <w:rsid w:val="00945428"/>
    <w:rsid w:val="0094607B"/>
    <w:rsid w:val="009462F3"/>
    <w:rsid w:val="00952988"/>
    <w:rsid w:val="00953604"/>
    <w:rsid w:val="0095496B"/>
    <w:rsid w:val="009610DC"/>
    <w:rsid w:val="00961490"/>
    <w:rsid w:val="0096381A"/>
    <w:rsid w:val="00965E04"/>
    <w:rsid w:val="009674AD"/>
    <w:rsid w:val="00970CDC"/>
    <w:rsid w:val="00972C50"/>
    <w:rsid w:val="00977010"/>
    <w:rsid w:val="00977D02"/>
    <w:rsid w:val="009809BB"/>
    <w:rsid w:val="0098364B"/>
    <w:rsid w:val="009911AF"/>
    <w:rsid w:val="00991875"/>
    <w:rsid w:val="00991F92"/>
    <w:rsid w:val="00992985"/>
    <w:rsid w:val="00993889"/>
    <w:rsid w:val="0099551B"/>
    <w:rsid w:val="00997BF1"/>
    <w:rsid w:val="009A07F7"/>
    <w:rsid w:val="009A089C"/>
    <w:rsid w:val="009A118E"/>
    <w:rsid w:val="009A21CD"/>
    <w:rsid w:val="009A278C"/>
    <w:rsid w:val="009A2BC2"/>
    <w:rsid w:val="009A2CD8"/>
    <w:rsid w:val="009A3628"/>
    <w:rsid w:val="009A42C1"/>
    <w:rsid w:val="009A450C"/>
    <w:rsid w:val="009A5429"/>
    <w:rsid w:val="009A5E51"/>
    <w:rsid w:val="009A72AD"/>
    <w:rsid w:val="009B09E0"/>
    <w:rsid w:val="009B0BC5"/>
    <w:rsid w:val="009B1247"/>
    <w:rsid w:val="009B46F9"/>
    <w:rsid w:val="009B6029"/>
    <w:rsid w:val="009B6971"/>
    <w:rsid w:val="009B7C3E"/>
    <w:rsid w:val="009C0028"/>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3C8"/>
    <w:rsid w:val="009F03B3"/>
    <w:rsid w:val="009F17B7"/>
    <w:rsid w:val="00A0096C"/>
    <w:rsid w:val="00A01757"/>
    <w:rsid w:val="00A028C0"/>
    <w:rsid w:val="00A02BAE"/>
    <w:rsid w:val="00A04CA1"/>
    <w:rsid w:val="00A06A6B"/>
    <w:rsid w:val="00A07E47"/>
    <w:rsid w:val="00A129D0"/>
    <w:rsid w:val="00A12C33"/>
    <w:rsid w:val="00A138BA"/>
    <w:rsid w:val="00A14484"/>
    <w:rsid w:val="00A14C8E"/>
    <w:rsid w:val="00A153D9"/>
    <w:rsid w:val="00A15F09"/>
    <w:rsid w:val="00A169B6"/>
    <w:rsid w:val="00A210C9"/>
    <w:rsid w:val="00A2271D"/>
    <w:rsid w:val="00A237D5"/>
    <w:rsid w:val="00A27ADA"/>
    <w:rsid w:val="00A30EFC"/>
    <w:rsid w:val="00A314A4"/>
    <w:rsid w:val="00A31984"/>
    <w:rsid w:val="00A32D73"/>
    <w:rsid w:val="00A3367B"/>
    <w:rsid w:val="00A3597D"/>
    <w:rsid w:val="00A36DD1"/>
    <w:rsid w:val="00A4006C"/>
    <w:rsid w:val="00A40091"/>
    <w:rsid w:val="00A4030F"/>
    <w:rsid w:val="00A41C79"/>
    <w:rsid w:val="00A41CB5"/>
    <w:rsid w:val="00A42CDF"/>
    <w:rsid w:val="00A4452E"/>
    <w:rsid w:val="00A4472C"/>
    <w:rsid w:val="00A4498B"/>
    <w:rsid w:val="00A44E69"/>
    <w:rsid w:val="00A4661E"/>
    <w:rsid w:val="00A4737A"/>
    <w:rsid w:val="00A52408"/>
    <w:rsid w:val="00A55BD6"/>
    <w:rsid w:val="00A55D50"/>
    <w:rsid w:val="00A57142"/>
    <w:rsid w:val="00A648CD"/>
    <w:rsid w:val="00A6537A"/>
    <w:rsid w:val="00A659B4"/>
    <w:rsid w:val="00A67866"/>
    <w:rsid w:val="00A70B07"/>
    <w:rsid w:val="00A723F8"/>
    <w:rsid w:val="00A77CCB"/>
    <w:rsid w:val="00A83D8D"/>
    <w:rsid w:val="00A8446B"/>
    <w:rsid w:val="00A8473F"/>
    <w:rsid w:val="00A85F91"/>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26C"/>
    <w:rsid w:val="00AB2A3B"/>
    <w:rsid w:val="00AB41D5"/>
    <w:rsid w:val="00AB6309"/>
    <w:rsid w:val="00AB6C5F"/>
    <w:rsid w:val="00AB7129"/>
    <w:rsid w:val="00AC174B"/>
    <w:rsid w:val="00AC26F0"/>
    <w:rsid w:val="00AC27A6"/>
    <w:rsid w:val="00AC30F7"/>
    <w:rsid w:val="00AC3A5A"/>
    <w:rsid w:val="00AC4D95"/>
    <w:rsid w:val="00AC5DF4"/>
    <w:rsid w:val="00AD0AEF"/>
    <w:rsid w:val="00AD11B7"/>
    <w:rsid w:val="00AD1851"/>
    <w:rsid w:val="00AD1A94"/>
    <w:rsid w:val="00AD1C05"/>
    <w:rsid w:val="00AD4126"/>
    <w:rsid w:val="00AD421C"/>
    <w:rsid w:val="00AD44FA"/>
    <w:rsid w:val="00AD4B77"/>
    <w:rsid w:val="00AE024D"/>
    <w:rsid w:val="00AE070A"/>
    <w:rsid w:val="00AE101C"/>
    <w:rsid w:val="00AE1F2B"/>
    <w:rsid w:val="00AE37E5"/>
    <w:rsid w:val="00AE5EB4"/>
    <w:rsid w:val="00AF0C18"/>
    <w:rsid w:val="00AF47C5"/>
    <w:rsid w:val="00AF5365"/>
    <w:rsid w:val="00AF5398"/>
    <w:rsid w:val="00B01A85"/>
    <w:rsid w:val="00B02D54"/>
    <w:rsid w:val="00B049AF"/>
    <w:rsid w:val="00B07242"/>
    <w:rsid w:val="00B10534"/>
    <w:rsid w:val="00B113DB"/>
    <w:rsid w:val="00B11D8A"/>
    <w:rsid w:val="00B12981"/>
    <w:rsid w:val="00B147DD"/>
    <w:rsid w:val="00B15498"/>
    <w:rsid w:val="00B156FD"/>
    <w:rsid w:val="00B205EF"/>
    <w:rsid w:val="00B21F61"/>
    <w:rsid w:val="00B24D94"/>
    <w:rsid w:val="00B261F1"/>
    <w:rsid w:val="00B265BC"/>
    <w:rsid w:val="00B31FB1"/>
    <w:rsid w:val="00B32193"/>
    <w:rsid w:val="00B33952"/>
    <w:rsid w:val="00B33C5E"/>
    <w:rsid w:val="00B342F4"/>
    <w:rsid w:val="00B34369"/>
    <w:rsid w:val="00B34DC2"/>
    <w:rsid w:val="00B378E5"/>
    <w:rsid w:val="00B4346D"/>
    <w:rsid w:val="00B440F4"/>
    <w:rsid w:val="00B447A5"/>
    <w:rsid w:val="00B44811"/>
    <w:rsid w:val="00B44897"/>
    <w:rsid w:val="00B4654C"/>
    <w:rsid w:val="00B46AF0"/>
    <w:rsid w:val="00B47293"/>
    <w:rsid w:val="00B50E50"/>
    <w:rsid w:val="00B52120"/>
    <w:rsid w:val="00B54ABC"/>
    <w:rsid w:val="00B54DDE"/>
    <w:rsid w:val="00B56FBE"/>
    <w:rsid w:val="00B6012A"/>
    <w:rsid w:val="00B60ACF"/>
    <w:rsid w:val="00B62B58"/>
    <w:rsid w:val="00B65149"/>
    <w:rsid w:val="00B66567"/>
    <w:rsid w:val="00B66F52"/>
    <w:rsid w:val="00B66FE5"/>
    <w:rsid w:val="00B70786"/>
    <w:rsid w:val="00B7212D"/>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568"/>
    <w:rsid w:val="00BB203B"/>
    <w:rsid w:val="00BB5F8F"/>
    <w:rsid w:val="00BB657A"/>
    <w:rsid w:val="00BC0C02"/>
    <w:rsid w:val="00BC1A4E"/>
    <w:rsid w:val="00BC4790"/>
    <w:rsid w:val="00BC5DC7"/>
    <w:rsid w:val="00BC5F15"/>
    <w:rsid w:val="00BC6B8B"/>
    <w:rsid w:val="00BC73D8"/>
    <w:rsid w:val="00BD52D7"/>
    <w:rsid w:val="00BD5AD2"/>
    <w:rsid w:val="00BD607D"/>
    <w:rsid w:val="00BD6C85"/>
    <w:rsid w:val="00BE22F3"/>
    <w:rsid w:val="00BE3467"/>
    <w:rsid w:val="00BE5B52"/>
    <w:rsid w:val="00BE7B8D"/>
    <w:rsid w:val="00BF0993"/>
    <w:rsid w:val="00BF10A9"/>
    <w:rsid w:val="00BF1703"/>
    <w:rsid w:val="00BF231C"/>
    <w:rsid w:val="00BF51E5"/>
    <w:rsid w:val="00BF74A6"/>
    <w:rsid w:val="00C013AD"/>
    <w:rsid w:val="00C04904"/>
    <w:rsid w:val="00C056B3"/>
    <w:rsid w:val="00C103E5"/>
    <w:rsid w:val="00C13319"/>
    <w:rsid w:val="00C13C3D"/>
    <w:rsid w:val="00C13EE9"/>
    <w:rsid w:val="00C16F4B"/>
    <w:rsid w:val="00C21540"/>
    <w:rsid w:val="00C21906"/>
    <w:rsid w:val="00C21BFA"/>
    <w:rsid w:val="00C22148"/>
    <w:rsid w:val="00C24C8D"/>
    <w:rsid w:val="00C25FE2"/>
    <w:rsid w:val="00C26B53"/>
    <w:rsid w:val="00C279B2"/>
    <w:rsid w:val="00C33E50"/>
    <w:rsid w:val="00C34C20"/>
    <w:rsid w:val="00C35A3E"/>
    <w:rsid w:val="00C42130"/>
    <w:rsid w:val="00C423A4"/>
    <w:rsid w:val="00C43296"/>
    <w:rsid w:val="00C44BF5"/>
    <w:rsid w:val="00C521D6"/>
    <w:rsid w:val="00C55232"/>
    <w:rsid w:val="00C553A4"/>
    <w:rsid w:val="00C55A06"/>
    <w:rsid w:val="00C55B37"/>
    <w:rsid w:val="00C55D03"/>
    <w:rsid w:val="00C601BC"/>
    <w:rsid w:val="00C6329F"/>
    <w:rsid w:val="00C63340"/>
    <w:rsid w:val="00C643F9"/>
    <w:rsid w:val="00C64E95"/>
    <w:rsid w:val="00C71372"/>
    <w:rsid w:val="00C72410"/>
    <w:rsid w:val="00C7287F"/>
    <w:rsid w:val="00C77CF5"/>
    <w:rsid w:val="00C80CB8"/>
    <w:rsid w:val="00C819F8"/>
    <w:rsid w:val="00C8248C"/>
    <w:rsid w:val="00C84E33"/>
    <w:rsid w:val="00C86D6F"/>
    <w:rsid w:val="00C86DE5"/>
    <w:rsid w:val="00C905FC"/>
    <w:rsid w:val="00C91542"/>
    <w:rsid w:val="00C9248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83F"/>
    <w:rsid w:val="00CC038D"/>
    <w:rsid w:val="00CC08DB"/>
    <w:rsid w:val="00CC39FF"/>
    <w:rsid w:val="00CC3C2F"/>
    <w:rsid w:val="00CC4AC8"/>
    <w:rsid w:val="00CC5233"/>
    <w:rsid w:val="00CC5DE6"/>
    <w:rsid w:val="00CC6E4E"/>
    <w:rsid w:val="00CC6FE8"/>
    <w:rsid w:val="00CC7202"/>
    <w:rsid w:val="00CD1D14"/>
    <w:rsid w:val="00CD2808"/>
    <w:rsid w:val="00CD28BF"/>
    <w:rsid w:val="00CD3ED3"/>
    <w:rsid w:val="00CD4092"/>
    <w:rsid w:val="00CD4A20"/>
    <w:rsid w:val="00CD50A1"/>
    <w:rsid w:val="00CD519E"/>
    <w:rsid w:val="00CD561D"/>
    <w:rsid w:val="00CE0C4F"/>
    <w:rsid w:val="00CE30EA"/>
    <w:rsid w:val="00CE52AF"/>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4B"/>
    <w:rsid w:val="00D25E37"/>
    <w:rsid w:val="00D2661A"/>
    <w:rsid w:val="00D27582"/>
    <w:rsid w:val="00D27EC4"/>
    <w:rsid w:val="00D32719"/>
    <w:rsid w:val="00D33333"/>
    <w:rsid w:val="00D33457"/>
    <w:rsid w:val="00D345F7"/>
    <w:rsid w:val="00D352A2"/>
    <w:rsid w:val="00D4162B"/>
    <w:rsid w:val="00D4514F"/>
    <w:rsid w:val="00D451E2"/>
    <w:rsid w:val="00D45E89"/>
    <w:rsid w:val="00D45E8D"/>
    <w:rsid w:val="00D466AE"/>
    <w:rsid w:val="00D4734F"/>
    <w:rsid w:val="00D50ECB"/>
    <w:rsid w:val="00D51BF3"/>
    <w:rsid w:val="00D66846"/>
    <w:rsid w:val="00D675FB"/>
    <w:rsid w:val="00D71F25"/>
    <w:rsid w:val="00D72A9C"/>
    <w:rsid w:val="00D77031"/>
    <w:rsid w:val="00D84941"/>
    <w:rsid w:val="00D84FA1"/>
    <w:rsid w:val="00D851F0"/>
    <w:rsid w:val="00D86B19"/>
    <w:rsid w:val="00D86DB7"/>
    <w:rsid w:val="00D926D0"/>
    <w:rsid w:val="00D93030"/>
    <w:rsid w:val="00D94D43"/>
    <w:rsid w:val="00D950E1"/>
    <w:rsid w:val="00D952A6"/>
    <w:rsid w:val="00D97711"/>
    <w:rsid w:val="00D97F99"/>
    <w:rsid w:val="00DA1E08"/>
    <w:rsid w:val="00DA24F8"/>
    <w:rsid w:val="00DA28E8"/>
    <w:rsid w:val="00DA38D3"/>
    <w:rsid w:val="00DA3932"/>
    <w:rsid w:val="00DA3AFC"/>
    <w:rsid w:val="00DA5191"/>
    <w:rsid w:val="00DA64F8"/>
    <w:rsid w:val="00DA6C15"/>
    <w:rsid w:val="00DA6DC8"/>
    <w:rsid w:val="00DB0258"/>
    <w:rsid w:val="00DB38EE"/>
    <w:rsid w:val="00DB498B"/>
    <w:rsid w:val="00DB66CA"/>
    <w:rsid w:val="00DB6BCA"/>
    <w:rsid w:val="00DB73F7"/>
    <w:rsid w:val="00DC0321"/>
    <w:rsid w:val="00DC3067"/>
    <w:rsid w:val="00DC370B"/>
    <w:rsid w:val="00DC3F31"/>
    <w:rsid w:val="00DC5B90"/>
    <w:rsid w:val="00DD00FF"/>
    <w:rsid w:val="00DD0619"/>
    <w:rsid w:val="00DD07FB"/>
    <w:rsid w:val="00DD25C6"/>
    <w:rsid w:val="00DD4FE5"/>
    <w:rsid w:val="00DD54B0"/>
    <w:rsid w:val="00DD57EE"/>
    <w:rsid w:val="00DD6BCC"/>
    <w:rsid w:val="00DE0A4B"/>
    <w:rsid w:val="00DE14E3"/>
    <w:rsid w:val="00DE2410"/>
    <w:rsid w:val="00DE2939"/>
    <w:rsid w:val="00DE3A19"/>
    <w:rsid w:val="00DE45BF"/>
    <w:rsid w:val="00DE5F00"/>
    <w:rsid w:val="00DE6E81"/>
    <w:rsid w:val="00DE703F"/>
    <w:rsid w:val="00DE7595"/>
    <w:rsid w:val="00DF1961"/>
    <w:rsid w:val="00DF2839"/>
    <w:rsid w:val="00DF44DE"/>
    <w:rsid w:val="00DF5F11"/>
    <w:rsid w:val="00E01138"/>
    <w:rsid w:val="00E02DFB"/>
    <w:rsid w:val="00E030F9"/>
    <w:rsid w:val="00E0311A"/>
    <w:rsid w:val="00E03138"/>
    <w:rsid w:val="00E06404"/>
    <w:rsid w:val="00E065D2"/>
    <w:rsid w:val="00E100EA"/>
    <w:rsid w:val="00E11A85"/>
    <w:rsid w:val="00E12495"/>
    <w:rsid w:val="00E15CCD"/>
    <w:rsid w:val="00E202EF"/>
    <w:rsid w:val="00E20931"/>
    <w:rsid w:val="00E210B5"/>
    <w:rsid w:val="00E225BE"/>
    <w:rsid w:val="00E23D99"/>
    <w:rsid w:val="00E24B55"/>
    <w:rsid w:val="00E2552F"/>
    <w:rsid w:val="00E25C4B"/>
    <w:rsid w:val="00E3137A"/>
    <w:rsid w:val="00E32CCF"/>
    <w:rsid w:val="00E34A98"/>
    <w:rsid w:val="00E35D1E"/>
    <w:rsid w:val="00E364F9"/>
    <w:rsid w:val="00E365FA"/>
    <w:rsid w:val="00E36789"/>
    <w:rsid w:val="00E371BB"/>
    <w:rsid w:val="00E4111A"/>
    <w:rsid w:val="00E41421"/>
    <w:rsid w:val="00E41DE4"/>
    <w:rsid w:val="00E42134"/>
    <w:rsid w:val="00E44A83"/>
    <w:rsid w:val="00E502C1"/>
    <w:rsid w:val="00E502DD"/>
    <w:rsid w:val="00E50D3A"/>
    <w:rsid w:val="00E51387"/>
    <w:rsid w:val="00E51E68"/>
    <w:rsid w:val="00E5294D"/>
    <w:rsid w:val="00E52EFD"/>
    <w:rsid w:val="00E531EE"/>
    <w:rsid w:val="00E5408A"/>
    <w:rsid w:val="00E56800"/>
    <w:rsid w:val="00E60C63"/>
    <w:rsid w:val="00E62FF9"/>
    <w:rsid w:val="00E635D6"/>
    <w:rsid w:val="00E639BC"/>
    <w:rsid w:val="00E65C9F"/>
    <w:rsid w:val="00E664CC"/>
    <w:rsid w:val="00E70388"/>
    <w:rsid w:val="00E70F92"/>
    <w:rsid w:val="00E712BD"/>
    <w:rsid w:val="00E73B04"/>
    <w:rsid w:val="00E74C54"/>
    <w:rsid w:val="00E77A03"/>
    <w:rsid w:val="00E822E8"/>
    <w:rsid w:val="00E82554"/>
    <w:rsid w:val="00E82606"/>
    <w:rsid w:val="00E83A32"/>
    <w:rsid w:val="00E846C8"/>
    <w:rsid w:val="00E84957"/>
    <w:rsid w:val="00E84A55"/>
    <w:rsid w:val="00E85BFF"/>
    <w:rsid w:val="00E90391"/>
    <w:rsid w:val="00E906C2"/>
    <w:rsid w:val="00E91385"/>
    <w:rsid w:val="00E919CB"/>
    <w:rsid w:val="00E9311F"/>
    <w:rsid w:val="00E934D1"/>
    <w:rsid w:val="00E94AF0"/>
    <w:rsid w:val="00E95D13"/>
    <w:rsid w:val="00E95DD3"/>
    <w:rsid w:val="00E969D5"/>
    <w:rsid w:val="00EA0053"/>
    <w:rsid w:val="00EA58D1"/>
    <w:rsid w:val="00EA61BC"/>
    <w:rsid w:val="00EA681A"/>
    <w:rsid w:val="00EA735B"/>
    <w:rsid w:val="00EB17DE"/>
    <w:rsid w:val="00EB1E69"/>
    <w:rsid w:val="00EB2086"/>
    <w:rsid w:val="00EB21FF"/>
    <w:rsid w:val="00EB31F0"/>
    <w:rsid w:val="00EB42BA"/>
    <w:rsid w:val="00EB5EDF"/>
    <w:rsid w:val="00EB60FE"/>
    <w:rsid w:val="00EB74DB"/>
    <w:rsid w:val="00EC07EF"/>
    <w:rsid w:val="00EC1F7F"/>
    <w:rsid w:val="00EC5359"/>
    <w:rsid w:val="00EC562A"/>
    <w:rsid w:val="00ED037C"/>
    <w:rsid w:val="00ED067A"/>
    <w:rsid w:val="00ED2B50"/>
    <w:rsid w:val="00EE0350"/>
    <w:rsid w:val="00EE0719"/>
    <w:rsid w:val="00EE0E80"/>
    <w:rsid w:val="00EE2852"/>
    <w:rsid w:val="00EE54A6"/>
    <w:rsid w:val="00EE613F"/>
    <w:rsid w:val="00EE7295"/>
    <w:rsid w:val="00EE7869"/>
    <w:rsid w:val="00EF054A"/>
    <w:rsid w:val="00EF18F8"/>
    <w:rsid w:val="00EF3235"/>
    <w:rsid w:val="00EF4451"/>
    <w:rsid w:val="00EF7E72"/>
    <w:rsid w:val="00F0029E"/>
    <w:rsid w:val="00F03C9F"/>
    <w:rsid w:val="00F06D37"/>
    <w:rsid w:val="00F07B9D"/>
    <w:rsid w:val="00F100C5"/>
    <w:rsid w:val="00F11586"/>
    <w:rsid w:val="00F1183B"/>
    <w:rsid w:val="00F11C9F"/>
    <w:rsid w:val="00F12263"/>
    <w:rsid w:val="00F13B24"/>
    <w:rsid w:val="00F1409D"/>
    <w:rsid w:val="00F14214"/>
    <w:rsid w:val="00F14EA5"/>
    <w:rsid w:val="00F157A9"/>
    <w:rsid w:val="00F24EE3"/>
    <w:rsid w:val="00F25BB6"/>
    <w:rsid w:val="00F26363"/>
    <w:rsid w:val="00F26B7E"/>
    <w:rsid w:val="00F27A3B"/>
    <w:rsid w:val="00F33817"/>
    <w:rsid w:val="00F34749"/>
    <w:rsid w:val="00F420D5"/>
    <w:rsid w:val="00F451EA"/>
    <w:rsid w:val="00F45416"/>
    <w:rsid w:val="00F45447"/>
    <w:rsid w:val="00F456C6"/>
    <w:rsid w:val="00F4577B"/>
    <w:rsid w:val="00F46496"/>
    <w:rsid w:val="00F474D0"/>
    <w:rsid w:val="00F50179"/>
    <w:rsid w:val="00F512D1"/>
    <w:rsid w:val="00F515EE"/>
    <w:rsid w:val="00F56511"/>
    <w:rsid w:val="00F6194E"/>
    <w:rsid w:val="00F623AC"/>
    <w:rsid w:val="00F6412A"/>
    <w:rsid w:val="00F65893"/>
    <w:rsid w:val="00F661B1"/>
    <w:rsid w:val="00F66A4A"/>
    <w:rsid w:val="00F71E22"/>
    <w:rsid w:val="00F72142"/>
    <w:rsid w:val="00F72AE7"/>
    <w:rsid w:val="00F76E2E"/>
    <w:rsid w:val="00F81141"/>
    <w:rsid w:val="00F833BA"/>
    <w:rsid w:val="00F84FD0"/>
    <w:rsid w:val="00F859A8"/>
    <w:rsid w:val="00F86D87"/>
    <w:rsid w:val="00F87E7E"/>
    <w:rsid w:val="00F9108B"/>
    <w:rsid w:val="00F91349"/>
    <w:rsid w:val="00F93A8A"/>
    <w:rsid w:val="00F95248"/>
    <w:rsid w:val="00F956A9"/>
    <w:rsid w:val="00F963ED"/>
    <w:rsid w:val="00F966CF"/>
    <w:rsid w:val="00F96CAE"/>
    <w:rsid w:val="00F97C99"/>
    <w:rsid w:val="00FA3A8A"/>
    <w:rsid w:val="00FA4BF3"/>
    <w:rsid w:val="00FA4DAC"/>
    <w:rsid w:val="00FA662D"/>
    <w:rsid w:val="00FA73B1"/>
    <w:rsid w:val="00FA7FB4"/>
    <w:rsid w:val="00FB0CB9"/>
    <w:rsid w:val="00FB231D"/>
    <w:rsid w:val="00FB45F1"/>
    <w:rsid w:val="00FB4A72"/>
    <w:rsid w:val="00FB54E8"/>
    <w:rsid w:val="00FB7054"/>
    <w:rsid w:val="00FC17B7"/>
    <w:rsid w:val="00FC29A8"/>
    <w:rsid w:val="00FC2CB7"/>
    <w:rsid w:val="00FC4090"/>
    <w:rsid w:val="00FC4375"/>
    <w:rsid w:val="00FC55B4"/>
    <w:rsid w:val="00FD00E6"/>
    <w:rsid w:val="00FD09A1"/>
    <w:rsid w:val="00FD2A7C"/>
    <w:rsid w:val="00FD59EB"/>
    <w:rsid w:val="00FD7299"/>
    <w:rsid w:val="00FE1FBE"/>
    <w:rsid w:val="00FE3901"/>
    <w:rsid w:val="00FE39D3"/>
    <w:rsid w:val="00FE4BCE"/>
    <w:rsid w:val="00FE54AE"/>
    <w:rsid w:val="00FE576A"/>
    <w:rsid w:val="00FE759B"/>
    <w:rsid w:val="00FE7E79"/>
    <w:rsid w:val="00FF3E7D"/>
    <w:rsid w:val="00FF5B99"/>
    <w:rsid w:val="00FF730C"/>
    <w:rsid w:val="00FF73F4"/>
    <w:rsid w:val="00FF7CE4"/>
    <w:rsid w:val="00FF7E39"/>
    <w:rsid w:val="18D1240E"/>
    <w:rsid w:val="5D74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4"/>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autoRedefine/>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19"/>
    <w:autoRedefine/>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6"/>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autoRedefine/>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semiHidden/>
    <w:qFormat/>
    <w:uiPriority w:val="99"/>
    <w:rPr>
      <w:kern w:val="2"/>
      <w:sz w:val="21"/>
      <w:szCs w:val="21"/>
    </w:rPr>
  </w:style>
  <w:style w:type="character" w:customStyle="1" w:styleId="235">
    <w:name w:val="批注主题 字符"/>
    <w:basedOn w:val="234"/>
    <w:link w:val="27"/>
    <w:autoRedefine/>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emf"/><Relationship Id="rId16" Type="http://schemas.openxmlformats.org/officeDocument/2006/relationships/package" Target="embeddings/Microsoft_Visio___1.vsdx"/><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6D2755CEDA482BB1C012EC92B9A0E1"/>
        <w:style w:val=""/>
        <w:category>
          <w:name w:val="常规"/>
          <w:gallery w:val="placeholder"/>
        </w:category>
        <w:types>
          <w:type w:val="bbPlcHdr"/>
        </w:types>
        <w:behaviors>
          <w:behavior w:val="content"/>
        </w:behaviors>
        <w:description w:val=""/>
        <w:guid w:val="{A05D4265-E586-4088-8FA7-7A9A4D546804}"/>
      </w:docPartPr>
      <w:docPartBody>
        <w:p>
          <w:pPr>
            <w:pStyle w:val="5"/>
          </w:pPr>
          <w:r>
            <w:rPr>
              <w:rStyle w:val="4"/>
              <w:rFonts w:hint="eastAsia"/>
            </w:rPr>
            <w:t>单击或点击此处输入文字。</w:t>
          </w:r>
        </w:p>
      </w:docPartBody>
    </w:docPart>
    <w:docPart>
      <w:docPartPr>
        <w:name w:val="DAD605CF09E341C790CF40BEDA88B8BA"/>
        <w:style w:val=""/>
        <w:category>
          <w:name w:val="常规"/>
          <w:gallery w:val="placeholder"/>
        </w:category>
        <w:types>
          <w:type w:val="bbPlcHdr"/>
        </w:types>
        <w:behaviors>
          <w:behavior w:val="content"/>
        </w:behaviors>
        <w:description w:val=""/>
        <w:guid w:val="{52BC708E-1CE1-415D-84B5-1CF0EBEA4AE8}"/>
      </w:docPartPr>
      <w:docPartBody>
        <w:p>
          <w:pPr>
            <w:pStyle w:val="6"/>
          </w:pPr>
          <w:r>
            <w:rPr>
              <w:rStyle w:val="4"/>
              <w:rFonts w:hint="eastAsia"/>
            </w:rPr>
            <w:t>选择一项。</w:t>
          </w:r>
        </w:p>
      </w:docPartBody>
    </w:docPart>
    <w:docPart>
      <w:docPartPr>
        <w:name w:val="AEA3993FA8E947318823A07F2A15AF12"/>
        <w:style w:val=""/>
        <w:category>
          <w:name w:val="常规"/>
          <w:gallery w:val="placeholder"/>
        </w:category>
        <w:types>
          <w:type w:val="bbPlcHdr"/>
        </w:types>
        <w:behaviors>
          <w:behavior w:val="content"/>
        </w:behaviors>
        <w:description w:val=""/>
        <w:guid w:val="{00DD80BF-0364-4ECF-B800-68593E92A32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04"/>
    <w:rsid w:val="00000AA5"/>
    <w:rsid w:val="000640C2"/>
    <w:rsid w:val="000A6325"/>
    <w:rsid w:val="00122E73"/>
    <w:rsid w:val="00144EDA"/>
    <w:rsid w:val="00237AC3"/>
    <w:rsid w:val="002A7635"/>
    <w:rsid w:val="002E78B8"/>
    <w:rsid w:val="00420ACC"/>
    <w:rsid w:val="00420B12"/>
    <w:rsid w:val="00481D6E"/>
    <w:rsid w:val="004949D1"/>
    <w:rsid w:val="00506C25"/>
    <w:rsid w:val="005354F9"/>
    <w:rsid w:val="00730A9E"/>
    <w:rsid w:val="0081676F"/>
    <w:rsid w:val="0088119A"/>
    <w:rsid w:val="009064F9"/>
    <w:rsid w:val="00924AD6"/>
    <w:rsid w:val="00A00ED3"/>
    <w:rsid w:val="00B7358B"/>
    <w:rsid w:val="00C62500"/>
    <w:rsid w:val="00C81A01"/>
    <w:rsid w:val="00D069D7"/>
    <w:rsid w:val="00DA0387"/>
    <w:rsid w:val="00DC4E1B"/>
    <w:rsid w:val="00E3592A"/>
    <w:rsid w:val="00EE3C5E"/>
    <w:rsid w:val="00E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A6D2755CEDA482BB1C012EC92B9A0E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DAD605CF09E341C790CF40BEDA88B8BA"/>
    <w:autoRedefin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EA3993FA8E947318823A07F2A15AF1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4120</Words>
  <Characters>5152</Characters>
  <Lines>858</Lines>
  <Paragraphs>772</Paragraphs>
  <TotalTime>0</TotalTime>
  <ScaleCrop>false</ScaleCrop>
  <LinksUpToDate>false</LinksUpToDate>
  <CharactersWithSpaces>8500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2024-05-07T01:41:00Z</dcterms:created>
  <dc:creator>admin</dc:creator>
  <dc:description>&lt;config cover="true" show_menu="true" version="1.0.0" doctype="SDKXY"&gt;_x000d_
&lt;/config&gt;</dc:description>
  <cp:lastModifiedBy>Zihuatanejo</cp:lastModifiedBy>
  <cp:lastPrinted>2020-08-30T10:00:00Z</cp:lastPrinted>
  <dcterms:modified xsi:type="dcterms:W3CDTF">2024-05-24T07:59:14Z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7B58854DCD694A0385C56EC1684F7FFD_13</vt:lpwstr>
  </property>
</Properties>
</file>