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入河排口分类整治要求</w:t>
      </w:r>
    </w:p>
    <w:tbl>
      <w:tblPr>
        <w:tblStyle w:val="3"/>
        <w:tblW w:w="14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825"/>
        <w:gridCol w:w="1118"/>
        <w:gridCol w:w="1637"/>
        <w:gridCol w:w="10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类  型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整治类型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明 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  <w:t>工业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排口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取缔类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饮用水水源保护区内的工业企业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，由旗区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以上地方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人民政府责令限期拆除。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集中污水处理设施管网覆盖范围内的工业企业直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人民政府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责令限期拆除，接入区域污水管网。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企业逃避监管私自设置的入河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相关执法部门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依法查处，责令限期拆除，涉嫌污染环境罪的移送公安部门。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整治类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未经批准的工业企业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原则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取缔拆除，确实不能取缔拆除的在地方人民政府同意的前提下，补办相关手续后，开展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规范化整改，经验收合格后，纳入日常管理。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存在超标排放的，应查找超标原因，立即整改，限期达标。限期不能达标的，由生态环境部门责令改正或者责令限制生产、停产整治，并处罚款；情节严重的，报经有批准权的人民政府批准，责令停业、关闭。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工业企业未实现雨污分流的，由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地方人民政府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责令按规范要求限期整改，验收合格后，纳入日常管理。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所有工业企业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都应按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树标立牌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企业生产废水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、混合污水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根据实际情况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安装在线监测和视频监控设施，并与生态环境部门联网。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  <w:t>城镇污水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  <w:t>处理厂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  <w:t>排口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取缔类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饮用水水源保护区内的生活污水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，由旗区以上地方人民政府责令限期拆除。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逃避监管私自设置的生活污水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，由生态环境部门依法查处，责令限期拆除，涉嫌污染环境罪的移送公安部门。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整治类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生活污水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存在超标排放的，应查找超标原因，立即整改，限期达标。限期不能达标的，由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相关执法部门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依法进行查处。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因管网建设滞后导致收集范围内的工业、生活污水无法进管的，属地政府（管委会）应编制就近纳入污水处理厂或者新增污水处理设施的实施计划，明确建设主体、完成时间。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排水管道和收集管道存在破损、错接、混接、漏接、错位、溢漏、淤堵等情况的，应及时维护管道流通设施，确保达标排放。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城镇污水处理厂应编制排放提标改造计划，在入河前建设生态湿地或者深度处理工程，入河水质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的主要污染浓度（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化学需氧量、氨氮、总磷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等指标）要与流域断面水质和水功能区水质达标充分衔接，确保水环境质量长期稳定达标。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所有生活污水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都应按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树标立牌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安装在线监测设施和视频监控系统。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  <w:t>农业排口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取缔类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饮用水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源保护区内畜禽养殖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、水产养殖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、乡村生活集中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和乡村生活混合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人民政府责令限期拆除。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禁养区内的规模化畜禽养殖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人民政府责令限期拆除；非规模化畜禽养殖和水产养殖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，由农业农村部门报请旗区以上地方人民政府责令限期拆除。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整治类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规模化畜禽养殖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u w:val="single"/>
                <w:lang w:eastAsia="zh-CN" w:bidi="ar"/>
              </w:rPr>
              <w:t>排放污染物浓度超过行业排放标准限值的）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，应查找超标原因，立即整改，限期达标。限期不能达标的，由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相关执法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部门依法进行查处。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农业农村污水管网覆盖范围内的乡村生活集中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和混合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，由住建部门责令按规范化要求进行整改，原则上就近纳入相应生活污水集中处理设施，实现分类收集、集中分类处理，经验收合格后，纳入日常管理。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其他农业农村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所排入的水体不能满足水功能区标准或者是劣Ⅴ类水体的，应编制农村水环境污染治理整体规划，明确治理目标、责任主体、污染治理工程、实施时间、资金投入等内容，限期整改，确保环境质量得到改善。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规模化畜禽养殖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、乡村生活集中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和乡村生活混合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都应按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树标立牌；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安装在线监测设施和视频监控系统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的要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与生态环境部门联网。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32"/>
                <w:szCs w:val="32"/>
                <w:highlight w:val="none"/>
                <w:vertAlign w:val="baseline"/>
              </w:rPr>
              <w:t>其他排口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</w:rPr>
              <w:t>城镇雨洪排口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取缔类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在饮用水水源保护区的混合排放的城镇雨洪排口，由旗区以上地方人民政府责令限期拆除；逾期不拆除的，强制拆除。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整治类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晴天有污水流出的分流制城镇雨洪排口，在保证防洪泄涝、城市安全的前提下，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住建部门部门应开展溯源调查，整改混接错接管网，采取有效措施防止向雨水管网倾倒污染物的行为。雨污管网混接点已规范整改，取得有住建主管部门盖章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确认的竣工验收文件且非降雨期间无污水出流的，纳入日常管理。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降雨期间存在雨水径流被污染的分流制城镇雨洪排口，应采取源头雨水收集处理和资源化利用、定期巡查雨水管网、清掏管道沉积物等维护措施，控制雨水径流污染。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存在溢流污染的截流式合流制城镇雨洪排口，应编制消减城市雨水径流污染整改方案，方案应包含城市面源成因分析、任务目标、工作内容、职能部门分工、时限要求等。有条件的地区实施雨污分流改造；不具备此条件的地区，在保证防洪排涝、保障城市安全的前提下，应采取源头雨水收集处理和资源化利用、截流井改造、增加截流干管截流倍数、扩大污水处理厂规模、建设调蓄设施等措施，控制溢流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规范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城镇雨洪排口应按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树标立牌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要制定雨洪径流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日常监测计划，并按计划进行监测，开展数据综合分析，确保受纳水体水质改善。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10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由属地政府开展整改，确保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排口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排放达标，规范管理。</w:t>
            </w:r>
          </w:p>
        </w:tc>
      </w:tr>
    </w:tbl>
    <w:p>
      <w:pPr>
        <w:widowControl/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701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YzNiZWYwYjRjY2IxNjliYWIwMmI5OGQzYTg1ODIifQ=="/>
  </w:docVars>
  <w:rsids>
    <w:rsidRoot w:val="7EAD0DDB"/>
    <w:rsid w:val="7B9F8A9F"/>
    <w:rsid w:val="7EAD0DDB"/>
    <w:rsid w:val="DD8D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1923</Words>
  <Characters>1943</Characters>
  <Lines>0</Lines>
  <Paragraphs>0</Paragraphs>
  <TotalTime>8</TotalTime>
  <ScaleCrop>false</ScaleCrop>
  <LinksUpToDate>false</LinksUpToDate>
  <CharactersWithSpaces>1947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2022-07-29T10:41:00Z</dcterms:created>
  <dc:creator>高成方</dc:creator>
  <cp:lastModifiedBy>EEDS-CZJ</cp:lastModifiedBy>
  <dcterms:modified xsi:type="dcterms:W3CDTF">2022-08-04T11:36:03Z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B3E80F1B136041E4B5127A84ECC60856</vt:lpwstr>
  </property>
</Properties>
</file>