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40"/>
        <w:gridCol w:w="1041"/>
        <w:gridCol w:w="1401"/>
        <w:gridCol w:w="1622"/>
        <w:gridCol w:w="1990"/>
        <w:gridCol w:w="1203"/>
        <w:gridCol w:w="1229"/>
        <w:gridCol w:w="2330"/>
        <w:gridCol w:w="734"/>
        <w:gridCol w:w="623"/>
        <w:gridCol w:w="734"/>
        <w:gridCol w:w="726"/>
        <w:gridCol w:w="691"/>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21736" w:type="dxa"/>
            <w:gridSpan w:val="14"/>
            <w:tcBorders>
              <w:top w:val="nil"/>
              <w:left w:val="nil"/>
              <w:bottom w:val="nil"/>
              <w:right w:val="nil"/>
            </w:tcBorders>
            <w:shd w:val="clear"/>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bookmarkStart w:id="0" w:name="_GoBack"/>
            <w:r>
              <w:rPr>
                <w:rFonts w:hint="eastAsia" w:ascii="方正小标宋_GBK" w:hAnsi="方正小标宋_GBK" w:eastAsia="方正小标宋_GBK" w:cs="方正小标宋_GBK"/>
                <w:i w:val="0"/>
                <w:iCs w:val="0"/>
                <w:color w:val="000000"/>
                <w:kern w:val="0"/>
                <w:sz w:val="44"/>
                <w:szCs w:val="44"/>
                <w:u w:val="none"/>
                <w:bdr w:val="none" w:color="auto" w:sz="0" w:space="0"/>
                <w:lang w:val="en-US" w:eastAsia="zh-CN" w:bidi="ar"/>
              </w:rPr>
              <w:t>统计领域基层政务公开标准目录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序号</w:t>
            </w:r>
          </w:p>
        </w:tc>
        <w:tc>
          <w:tcPr>
            <w:tcW w:w="34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公开事项</w:t>
            </w:r>
          </w:p>
        </w:tc>
        <w:tc>
          <w:tcPr>
            <w:tcW w:w="23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公开内容（要素）</w:t>
            </w:r>
          </w:p>
        </w:tc>
        <w:tc>
          <w:tcPr>
            <w:tcW w:w="27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公开依据</w:t>
            </w:r>
          </w:p>
        </w:tc>
        <w:tc>
          <w:tcPr>
            <w:tcW w:w="17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公开时限</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公开主体</w:t>
            </w:r>
          </w:p>
        </w:tc>
        <w:tc>
          <w:tcPr>
            <w:tcW w:w="3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公开渠道和载体</w:t>
            </w:r>
          </w:p>
        </w:tc>
        <w:tc>
          <w:tcPr>
            <w:tcW w:w="16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公开对象</w:t>
            </w:r>
          </w:p>
        </w:tc>
        <w:tc>
          <w:tcPr>
            <w:tcW w:w="1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公开方式</w:t>
            </w:r>
          </w:p>
        </w:tc>
        <w:tc>
          <w:tcPr>
            <w:tcW w:w="16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一级事项</w:t>
            </w: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二级事项</w:t>
            </w:r>
          </w:p>
        </w:tc>
        <w:tc>
          <w:tcPr>
            <w:tcW w:w="23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3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全社会</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特定群体</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主动</w:t>
            </w:r>
            <w:r>
              <w:rPr>
                <w:rFonts w:hint="eastAsia" w:ascii="黑体" w:hAnsi="宋体" w:eastAsia="黑体" w:cs="黑体"/>
                <w:i w:val="0"/>
                <w:iCs w:val="0"/>
                <w:color w:val="000000"/>
                <w:kern w:val="0"/>
                <w:sz w:val="24"/>
                <w:szCs w:val="24"/>
                <w:u w:val="none"/>
                <w:bdr w:val="none" w:color="auto" w:sz="0" w:space="0"/>
                <w:lang w:val="en-US" w:eastAsia="zh-CN" w:bidi="ar"/>
              </w:rPr>
              <w:br w:type="textWrapping"/>
            </w:r>
            <w:r>
              <w:rPr>
                <w:rFonts w:hint="eastAsia" w:ascii="黑体" w:hAnsi="宋体" w:eastAsia="黑体" w:cs="黑体"/>
                <w:i w:val="0"/>
                <w:iCs w:val="0"/>
                <w:color w:val="000000"/>
                <w:kern w:val="0"/>
                <w:sz w:val="24"/>
                <w:szCs w:val="24"/>
                <w:u w:val="none"/>
                <w:bdr w:val="none" w:color="auto" w:sz="0" w:space="0"/>
                <w:lang w:val="en-US" w:eastAsia="zh-CN" w:bidi="ar"/>
              </w:rPr>
              <w:t>公开</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依申请</w:t>
            </w:r>
            <w:r>
              <w:rPr>
                <w:rFonts w:hint="eastAsia" w:ascii="黑体" w:hAnsi="宋体" w:eastAsia="黑体" w:cs="黑体"/>
                <w:i w:val="0"/>
                <w:iCs w:val="0"/>
                <w:color w:val="000000"/>
                <w:kern w:val="0"/>
                <w:sz w:val="24"/>
                <w:szCs w:val="24"/>
                <w:u w:val="none"/>
                <w:bdr w:val="none" w:color="auto" w:sz="0" w:space="0"/>
                <w:lang w:val="en-US" w:eastAsia="zh-CN" w:bidi="ar"/>
              </w:rPr>
              <w:br w:type="textWrapping"/>
            </w:r>
            <w:r>
              <w:rPr>
                <w:rFonts w:hint="eastAsia" w:ascii="黑体" w:hAnsi="宋体" w:eastAsia="黑体" w:cs="黑体"/>
                <w:i w:val="0"/>
                <w:iCs w:val="0"/>
                <w:color w:val="000000"/>
                <w:kern w:val="0"/>
                <w:sz w:val="24"/>
                <w:szCs w:val="24"/>
                <w:u w:val="none"/>
                <w:bdr w:val="none" w:color="auto" w:sz="0" w:space="0"/>
                <w:lang w:val="en-US" w:eastAsia="zh-CN" w:bidi="ar"/>
              </w:rPr>
              <w:t>公开</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县级</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4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统计法律</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规范</w:t>
            </w: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统计法律</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法规规章</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统计领域相关法律、法规、规章</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《中华人民共和国统计法》《中华人民共和国政府信息公开条例》《中华人民共和国统计法实施条例》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信息形成或者变更之日起20个工作日内</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6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规范性文件</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统计领域相关规范性文件</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《中华人民共和国统计法》《中华人民共和国政府信息公开条例》《中华人民共和国统计法实施条例》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信息形成或者变更之日起20个工作日内</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w:t>
            </w:r>
          </w:p>
        </w:tc>
        <w:tc>
          <w:tcPr>
            <w:tcW w:w="14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统计调查</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制度</w:t>
            </w: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国家统计</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调查制度</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开展统计调查工作中执行的国家统计调查制度的主要内容</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《中华人民共和国统计法》《中华人民共和国政府信息公开条例》《中华人民共和国统计法实施条例》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实时更新</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4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w:t>
            </w: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地方统计</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调查制度</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开展统计调查工作中执行的地方统计调查制度的主要内容</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《中华人民共和国统计法》《中华人民共和国政府信息公开条例》《中华人民共和国统计法实施条例》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实时更新</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w:t>
            </w:r>
          </w:p>
        </w:tc>
        <w:tc>
          <w:tcPr>
            <w:tcW w:w="14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统计数据</w:t>
            </w: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数据发布</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统计公报，年度、季度、月度主要统计数据，按国家规定对外发布的重大国情国力普查数据和重要统计调查相关数据</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《中华人民共和国统计法》《中华人民共和国政府信息公开条例》《中华人民共和国统计法实施条例》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适时发布</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w:t>
            </w: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数据解读</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统计数据发布后的配套解读</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《中华人民共和国统计法》《中华人民共和国政府信息公开条例》《中华人民共和国统计法实施条例》</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适时发布</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6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w:t>
            </w:r>
          </w:p>
        </w:tc>
        <w:tc>
          <w:tcPr>
            <w:tcW w:w="14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统计执法</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监督</w:t>
            </w: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信息公示</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作出的行政处罚决定信息（法律、行政法规另有规定的除外）</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行政处罚法》《中华人民共和国统计法》《中华人民共和国政府信息公开条例》《中华人民共和国统计法实施条例》《统计执法监督检查办法》《国家发展改革委办公厅关于进一步完善行政许可和行政处罚等信用信息公示工作的指导意见》</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适时公开</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■其他（地方信用门户网站或信用中国网站）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w:t>
            </w: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“双随机”抽查</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统计“双随机”抽查名单和结果</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《中华人民共和国政府信息公开条例》《国务院办公厅关于推广随机抽查规范事中事后监管的通知》《国家统计局统计执法“双随机”抽查办法（试行）》</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适时公开</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w:t>
            </w: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统计严重失信</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企业公示</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统计严重失信企业失信信息</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《国务院办公厅关于进一步完善失信约束制度构建诚信建设长效机制的指导意见》</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适时公开</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县级统计机构</w:t>
            </w: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■政府网站  □政府公报</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□两微一端  □发布会/听证会   □广播电视  □纸质媒体           □公开查阅点□政务服务中心</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□便民服务站□入户/现场</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□社区/企事业单位/村公示栏（电子屏）</w:t>
            </w:r>
            <w:r>
              <w:rPr>
                <w:rFonts w:hint="eastAsia" w:ascii="仿宋_GB2312" w:hAnsi="宋体" w:eastAsia="仿宋_GB2312" w:cs="仿宋_GB2312"/>
                <w:i w:val="0"/>
                <w:iCs w:val="0"/>
                <w:color w:val="000000"/>
                <w:kern w:val="0"/>
                <w:sz w:val="22"/>
                <w:szCs w:val="22"/>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2"/>
                <w:szCs w:val="22"/>
                <w:u w:val="none"/>
                <w:bdr w:val="none" w:color="auto" w:sz="0" w:space="0"/>
                <w:lang w:val="en-US" w:eastAsia="zh-CN" w:bidi="ar"/>
              </w:rPr>
              <w:t xml:space="preserve">□精准推送  ■其他（地方信用门户网站或信用中国网站）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OTcxNjYyOTk4MGQ4ODExNTFiZmZmOGYxYjc0YTAifQ=="/>
  </w:docVars>
  <w:rsids>
    <w:rsidRoot w:val="7FE02DDA"/>
    <w:rsid w:val="7FE0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2022-07-18T08:05:00Z</dcterms:created>
  <dc:creator>演示人</dc:creator>
  <cp:lastModifiedBy>演示人</cp:lastModifiedBy>
  <dcterms:modified xsi:type="dcterms:W3CDTF">2022-07-18T08:09:22Z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EE4533C5FCAA4A84864B9B28F78913DB</vt:lpwstr>
  </property>
</Properties>
</file>