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 w:val="32"/>
          <w:szCs w:val="24"/>
        </w:rPr>
      </w:pPr>
      <w:r>
        <w:rPr>
          <w:rFonts w:hint="eastAsia" w:ascii="黑体" w:hAnsi="黑体" w:eastAsia="黑体" w:cs="Times New Roman"/>
          <w:color w:val="000000"/>
          <w:sz w:val="32"/>
          <w:szCs w:val="24"/>
        </w:rPr>
        <w:t>附件</w:t>
      </w:r>
    </w:p>
    <w:p>
      <w:pPr>
        <w:tabs>
          <w:tab w:val="right" w:pos="8845"/>
        </w:tabs>
        <w:spacing w:line="560" w:lineRule="exact"/>
        <w:rPr>
          <w:rFonts w:hint="eastAsia" w:ascii="方正小标宋简体" w:hAnsi="方正小标宋简体" w:eastAsia="方正小标宋简体" w:cs="Times New Roman"/>
          <w:color w:val="000000"/>
          <w:sz w:val="39"/>
          <w:szCs w:val="24"/>
        </w:rPr>
      </w:pPr>
    </w:p>
    <w:p>
      <w:pPr>
        <w:tabs>
          <w:tab w:val="right" w:pos="8845"/>
        </w:tabs>
        <w:spacing w:line="560" w:lineRule="exact"/>
        <w:jc w:val="center"/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</w:rPr>
        <w:t>2018年1—3月份政务信息采用情况统计表</w:t>
      </w:r>
    </w:p>
    <w:bookmarkEnd w:id="0"/>
    <w:p>
      <w:pPr>
        <w:tabs>
          <w:tab w:val="right" w:pos="8845"/>
        </w:tabs>
        <w:spacing w:line="560" w:lineRule="exact"/>
        <w:jc w:val="center"/>
        <w:rPr>
          <w:rFonts w:hint="eastAsia" w:ascii="方正小标宋简体" w:hAnsi="方正小标宋简体" w:eastAsia="方正小标宋简体" w:cs="Times New Roman"/>
          <w:color w:val="000000"/>
          <w:sz w:val="44"/>
          <w:szCs w:val="44"/>
        </w:rPr>
      </w:pPr>
    </w:p>
    <w:p>
      <w:pPr>
        <w:widowControl/>
        <w:spacing w:line="720" w:lineRule="auto"/>
        <w:jc w:val="center"/>
        <w:rPr>
          <w:rFonts w:hint="eastAsia" w:ascii="楷体_GB2312" w:hAnsi="宋体" w:eastAsia="楷体_GB2312" w:cs="仿宋_GB2312"/>
          <w:kern w:val="0"/>
          <w:sz w:val="28"/>
        </w:rPr>
      </w:pPr>
      <w:r>
        <w:rPr>
          <w:rFonts w:hint="eastAsia" w:ascii="楷体_GB2312" w:hAnsi="宋体" w:eastAsia="楷体_GB2312" w:cs="仿宋_GB2312"/>
          <w:kern w:val="0"/>
          <w:sz w:val="28"/>
        </w:rPr>
        <w:t>（一）旗区信息采用情况</w:t>
      </w:r>
    </w:p>
    <w:tbl>
      <w:tblPr>
        <w:tblStyle w:val="2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1276"/>
        <w:gridCol w:w="1276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单  位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信息刊物采用情况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自治区采用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政讯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报自治区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准格尔旗人民政府办公室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伊金霍洛旗人民政府办公室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鄂托克前旗人民政府办公室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东胜区人民政府办公室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乌审旗人民政府办公室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鄂托克旗人民政府办公室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达拉特旗人民政府办公室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康巴什区人民政府办公室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杭锦旗人民政府办公室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30</w:t>
            </w:r>
          </w:p>
        </w:tc>
      </w:tr>
    </w:tbl>
    <w:p>
      <w:pPr>
        <w:widowControl/>
        <w:spacing w:line="720" w:lineRule="auto"/>
        <w:jc w:val="center"/>
        <w:rPr>
          <w:rFonts w:hint="eastAsia" w:ascii="楷体_GB2312" w:hAnsi="宋体" w:eastAsia="楷体_GB2312" w:cs="仿宋_GB2312"/>
          <w:kern w:val="0"/>
          <w:sz w:val="28"/>
        </w:rPr>
      </w:pPr>
      <w:r>
        <w:rPr>
          <w:rFonts w:hint="eastAsia" w:ascii="楷体_GB2312" w:hAnsi="宋体" w:eastAsia="楷体_GB2312" w:cs="仿宋_GB2312"/>
          <w:kern w:val="0"/>
          <w:sz w:val="28"/>
        </w:rPr>
        <w:t>（二）市人民政府组成部门信息采用情况</w:t>
      </w:r>
    </w:p>
    <w:tbl>
      <w:tblPr>
        <w:tblStyle w:val="2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"/>
        <w:gridCol w:w="3396"/>
        <w:gridCol w:w="1276"/>
        <w:gridCol w:w="1276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单  位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信息刊物采用条数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自治区采用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政讯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报自治区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市发展和改革委员会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市煤炭局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市工商行政管理局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市统计局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市经济和信息化委员会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市农牧业局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市人力资源和社会保障局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市金融工作办公室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市旅游发展委员会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市财政局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市安全生产监督管理局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市水务局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市环境保护局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市商务局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市文化新闻出版广电局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市住房保障和房屋管理局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市质量技术监督局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市公安局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市粮食局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市教育局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市扶贫开发办公室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市交通运输局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市城乡建设委员会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市水土保持局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市科学技术局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市林业局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市卫生和计划生育委员会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市民政局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市规划局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市民族事务委员会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市国土资源局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市体育局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市人民防空办公室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市国有资产监督管理委员会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市食品药品监督管理局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市城市管理综合执法局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市审计局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市信访局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trHeight w:val="482" w:hRule="exact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市司法局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>
      <w:pPr>
        <w:widowControl/>
        <w:spacing w:line="720" w:lineRule="auto"/>
        <w:jc w:val="center"/>
        <w:rPr>
          <w:rFonts w:hint="eastAsia" w:ascii="仿宋_GB2312" w:hAnsi="Times New Roman" w:eastAsia="仿宋_GB2312" w:cs="Times New Roman"/>
          <w:b/>
          <w:bCs/>
        </w:rPr>
      </w:pPr>
      <w:r>
        <w:rPr>
          <w:rFonts w:hint="eastAsia" w:ascii="楷体_GB2312" w:hAnsi="宋体" w:eastAsia="楷体_GB2312" w:cs="仿宋_GB2312"/>
          <w:kern w:val="0"/>
          <w:sz w:val="28"/>
        </w:rPr>
        <w:t>（三）直属单位信息采用情况</w:t>
      </w:r>
    </w:p>
    <w:tbl>
      <w:tblPr>
        <w:tblStyle w:val="2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1276"/>
        <w:gridCol w:w="1276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单  位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信息刊物采用条数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自治区采用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政讯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报自治区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市国家税务局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市地方税务局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国家统计局鄂尔多斯调查队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市气象局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市邮政管理局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鄂尔多斯海关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鄂尔多斯电业局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720" w:lineRule="auto"/>
        <w:jc w:val="center"/>
        <w:rPr>
          <w:rFonts w:hint="eastAsia" w:ascii="楷体_GB2312" w:hAnsi="宋体" w:eastAsia="楷体_GB2312" w:cs="仿宋_GB2312"/>
          <w:kern w:val="0"/>
          <w:sz w:val="28"/>
        </w:rPr>
      </w:pPr>
      <w:r>
        <w:rPr>
          <w:rFonts w:hint="eastAsia" w:ascii="楷体_GB2312" w:hAnsi="宋体" w:eastAsia="楷体_GB2312" w:cs="仿宋_GB2312"/>
          <w:kern w:val="0"/>
          <w:sz w:val="28"/>
        </w:rPr>
        <w:t>（四）办事机构信息采用情况</w:t>
      </w:r>
    </w:p>
    <w:tbl>
      <w:tblPr>
        <w:tblStyle w:val="2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1162"/>
        <w:gridCol w:w="1276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单  位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信息刊物采用条数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自治区采用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政讯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报自治区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市公共资源交易综合管理办公室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市政务服务中心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市铁路民航中心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鄂尔多斯机场管理集团有限公司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市国有资产投资集团有限公司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720" w:lineRule="auto"/>
        <w:jc w:val="center"/>
        <w:rPr>
          <w:rFonts w:hint="eastAsia" w:ascii="楷体_GB2312" w:hAnsi="宋体" w:eastAsia="楷体_GB2312" w:cs="仿宋_GB2312"/>
          <w:kern w:val="0"/>
          <w:sz w:val="28"/>
        </w:rPr>
      </w:pPr>
    </w:p>
    <w:p>
      <w:pPr>
        <w:widowControl/>
        <w:spacing w:line="720" w:lineRule="auto"/>
        <w:jc w:val="center"/>
        <w:rPr>
          <w:rFonts w:hint="eastAsia" w:ascii="楷体_GB2312" w:hAnsi="宋体" w:eastAsia="楷体_GB2312" w:cs="仿宋_GB2312"/>
          <w:kern w:val="0"/>
          <w:sz w:val="28"/>
        </w:rPr>
      </w:pPr>
      <w:r>
        <w:rPr>
          <w:rFonts w:hint="eastAsia" w:ascii="楷体_GB2312" w:hAnsi="宋体" w:eastAsia="楷体_GB2312" w:cs="仿宋_GB2312"/>
          <w:kern w:val="0"/>
          <w:sz w:val="28"/>
        </w:rPr>
        <w:t>（五）驻外机构信息采用情况</w:t>
      </w:r>
    </w:p>
    <w:tbl>
      <w:tblPr>
        <w:tblStyle w:val="2"/>
        <w:tblW w:w="8469" w:type="dxa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1134"/>
        <w:gridCol w:w="1276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单  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信息刊物采用条数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自治区采用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政讯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报自治区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市人民政府驻上海联络处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市人民政府驻北京联络处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720" w:lineRule="auto"/>
        <w:jc w:val="center"/>
        <w:rPr>
          <w:rFonts w:hint="eastAsia" w:ascii="楷体_GB2312" w:hAnsi="宋体" w:eastAsia="楷体_GB2312" w:cs="仿宋_GB2312"/>
          <w:kern w:val="0"/>
          <w:sz w:val="28"/>
        </w:rPr>
      </w:pPr>
      <w:r>
        <w:rPr>
          <w:rFonts w:hint="eastAsia" w:ascii="楷体_GB2312" w:hAnsi="宋体" w:eastAsia="楷体_GB2312" w:cs="仿宋_GB2312"/>
          <w:kern w:val="0"/>
          <w:sz w:val="28"/>
        </w:rPr>
        <w:t>（六）开发区（园区、基地）信息采用情况</w:t>
      </w:r>
    </w:p>
    <w:tbl>
      <w:tblPr>
        <w:tblStyle w:val="2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1134"/>
        <w:gridCol w:w="1276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单  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信息刊物采用条数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自治区采用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政讯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报自治区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鄂尔多斯空港物流园区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管理委员会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市高新技术产业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开发区管理委员会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鄂尔多斯大路煤化工基地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管理委员会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达拉特经济开发区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管理委员会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成吉思汗陵旅游区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管理委员会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纳林河工业园区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管理委员会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鄂尔多斯江苏工业园区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管理委员会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上海庙经济开发区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管理委员会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鄂尔多斯装备制造基地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管理委员会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苏里格经济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shd w:val="clear" w:color="auto" w:fill="FFFFFF"/>
              </w:rPr>
              <w:t>开发区管理委员会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</w:tbl>
    <w:p>
      <w:pPr>
        <w:widowControl/>
        <w:spacing w:line="720" w:lineRule="auto"/>
        <w:jc w:val="center"/>
        <w:rPr>
          <w:rFonts w:hint="eastAsia" w:ascii="楷体_GB2312" w:hAnsi="宋体" w:eastAsia="楷体_GB2312" w:cs="仿宋_GB2312"/>
          <w:kern w:val="0"/>
          <w:sz w:val="28"/>
        </w:rPr>
      </w:pPr>
    </w:p>
    <w:p>
      <w:pPr>
        <w:widowControl/>
        <w:spacing w:line="720" w:lineRule="auto"/>
        <w:jc w:val="center"/>
        <w:rPr>
          <w:rFonts w:hint="eastAsia" w:ascii="楷体_GB2312" w:hAnsi="宋体" w:eastAsia="楷体_GB2312" w:cs="仿宋_GB2312"/>
          <w:kern w:val="0"/>
          <w:sz w:val="28"/>
        </w:rPr>
      </w:pPr>
      <w:r>
        <w:rPr>
          <w:rFonts w:hint="eastAsia" w:ascii="楷体_GB2312" w:hAnsi="宋体" w:eastAsia="楷体_GB2312" w:cs="仿宋_GB2312"/>
          <w:kern w:val="0"/>
          <w:sz w:val="28"/>
        </w:rPr>
        <w:t>（七）金融机构信息采用情况</w:t>
      </w:r>
    </w:p>
    <w:tbl>
      <w:tblPr>
        <w:tblStyle w:val="2"/>
        <w:tblW w:w="8469" w:type="dxa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1155"/>
        <w:gridCol w:w="1255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单  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信息刊物采用条数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自治区采用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政讯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报自治区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人民银行鄂尔多斯市中心支行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鄂尔多斯市银监分局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</w:tr>
    </w:tbl>
    <w:p>
      <w:pPr>
        <w:widowControl/>
        <w:spacing w:line="720" w:lineRule="auto"/>
        <w:jc w:val="center"/>
        <w:rPr>
          <w:rFonts w:hint="eastAsia" w:ascii="楷体_GB2312" w:hAnsi="宋体" w:eastAsia="楷体_GB2312" w:cs="仿宋_GB2312"/>
          <w:kern w:val="0"/>
          <w:sz w:val="28"/>
        </w:rPr>
      </w:pPr>
      <w:r>
        <w:rPr>
          <w:rFonts w:hint="eastAsia" w:ascii="楷体_GB2312" w:hAnsi="宋体" w:eastAsia="楷体_GB2312" w:cs="仿宋_GB2312"/>
          <w:kern w:val="0"/>
          <w:sz w:val="28"/>
        </w:rPr>
        <w:t>（八）法院检察院信息采用情况</w:t>
      </w:r>
    </w:p>
    <w:tbl>
      <w:tblPr>
        <w:tblStyle w:val="2"/>
        <w:tblW w:w="8463" w:type="dxa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1134"/>
        <w:gridCol w:w="1276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单  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信息刊物采用条数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自治区采用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政讯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  <w:t>报自治区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市中级人民法院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市人民检察院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</w:t>
            </w:r>
          </w:p>
        </w:tc>
      </w:tr>
    </w:tbl>
    <w:p>
      <w:r>
        <w:rPr>
          <w:rFonts w:hint="eastAsia" w:ascii="仿宋_GB2312" w:hAnsi="Times New Roman" w:eastAsia="仿宋_GB2312" w:cs="Times New Roman"/>
          <w:sz w:val="28"/>
        </w:rPr>
        <w:t>注：*表示1条信息被自治区《信息参考》采用，加20分。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80977"/>
    <w:rsid w:val="6EF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Mongolian Bait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8"/>
      <w:lang w:val="en-US" w:eastAsia="zh-CN" w:bidi="mn-Mong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2019-03-30T16:05:00Z</dcterms:created>
  <dc:creator>我愿意 你给我每天撒娇</dc:creator>
  <cp:lastModifiedBy>我愿意 你给我每天撒娇</cp:lastModifiedBy>
  <dcterms:modified xsi:type="dcterms:W3CDTF">2019-03-30T16:05:33Z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