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280"/>
        </w:tabs>
        <w:kinsoku/>
        <w:wordWrap/>
        <w:overflowPunct/>
        <w:topLinePunct w:val="0"/>
        <w:autoSpaceDE/>
        <w:autoSpaceDN/>
        <w:bidi w:val="0"/>
        <w:spacing w:line="600" w:lineRule="exact"/>
        <w:ind w:right="26" w:firstLine="0" w:firstLineChars="0"/>
        <w:jc w:val="right"/>
        <w:textAlignment w:val="auto"/>
        <w:rPr>
          <w:rFonts w:hint="eastAsia" w:eastAsia="仿宋"/>
          <w:highlight w:val="none"/>
        </w:rPr>
      </w:pPr>
    </w:p>
    <w:p>
      <w:pPr>
        <w:keepNext w:val="0"/>
        <w:keepLines w:val="0"/>
        <w:pageBreakBefore w:val="0"/>
        <w:widowControl w:val="0"/>
        <w:tabs>
          <w:tab w:val="left" w:pos="8280"/>
        </w:tabs>
        <w:kinsoku/>
        <w:wordWrap/>
        <w:overflowPunct/>
        <w:topLinePunct w:val="0"/>
        <w:autoSpaceDE/>
        <w:autoSpaceDN/>
        <w:bidi w:val="0"/>
        <w:spacing w:line="600" w:lineRule="exact"/>
        <w:ind w:right="26" w:firstLine="0" w:firstLineChars="0"/>
        <w:jc w:val="right"/>
        <w:textAlignment w:val="auto"/>
        <w:rPr>
          <w:rFonts w:eastAsia="仿宋"/>
          <w:highlight w:val="none"/>
        </w:rPr>
      </w:pPr>
    </w:p>
    <w:p>
      <w:pPr>
        <w:keepNext w:val="0"/>
        <w:keepLines w:val="0"/>
        <w:pageBreakBefore w:val="0"/>
        <w:widowControl w:val="0"/>
        <w:tabs>
          <w:tab w:val="left" w:pos="8280"/>
        </w:tabs>
        <w:kinsoku/>
        <w:wordWrap/>
        <w:overflowPunct/>
        <w:topLinePunct w:val="0"/>
        <w:autoSpaceDE/>
        <w:autoSpaceDN/>
        <w:bidi w:val="0"/>
        <w:spacing w:line="600" w:lineRule="exact"/>
        <w:ind w:right="26" w:firstLine="0" w:firstLineChars="0"/>
        <w:jc w:val="center"/>
        <w:textAlignment w:val="auto"/>
        <w:rPr>
          <w:highlight w:val="none"/>
        </w:rPr>
      </w:pPr>
    </w:p>
    <w:p>
      <w:pPr>
        <w:keepNext w:val="0"/>
        <w:keepLines w:val="0"/>
        <w:pageBreakBefore w:val="0"/>
        <w:widowControl w:val="0"/>
        <w:tabs>
          <w:tab w:val="left" w:pos="8280"/>
        </w:tabs>
        <w:kinsoku/>
        <w:wordWrap/>
        <w:overflowPunct/>
        <w:topLinePunct w:val="0"/>
        <w:autoSpaceDE/>
        <w:autoSpaceDN/>
        <w:bidi w:val="0"/>
        <w:spacing w:line="600" w:lineRule="exact"/>
        <w:ind w:right="26" w:firstLine="0" w:firstLineChars="0"/>
        <w:jc w:val="center"/>
        <w:textAlignment w:val="auto"/>
        <w:rPr>
          <w:highlight w:val="none"/>
        </w:rPr>
      </w:pPr>
    </w:p>
    <w:p>
      <w:pPr>
        <w:keepNext w:val="0"/>
        <w:keepLines w:val="0"/>
        <w:pageBreakBefore w:val="0"/>
        <w:widowControl w:val="0"/>
        <w:tabs>
          <w:tab w:val="left" w:pos="8280"/>
        </w:tabs>
        <w:kinsoku/>
        <w:wordWrap/>
        <w:overflowPunct/>
        <w:topLinePunct w:val="0"/>
        <w:autoSpaceDE/>
        <w:autoSpaceDN/>
        <w:bidi w:val="0"/>
        <w:spacing w:line="600" w:lineRule="exact"/>
        <w:ind w:right="26" w:firstLine="0" w:firstLineChars="0"/>
        <w:jc w:val="center"/>
        <w:textAlignment w:val="auto"/>
        <w:rPr>
          <w:highlight w:val="none"/>
        </w:rPr>
      </w:pPr>
    </w:p>
    <w:p>
      <w:pPr>
        <w:pStyle w:val="9"/>
        <w:keepNext w:val="0"/>
        <w:keepLines w:val="0"/>
        <w:pageBreakBefore w:val="0"/>
        <w:widowControl w:val="0"/>
        <w:kinsoku/>
        <w:wordWrap/>
        <w:overflowPunct/>
        <w:topLinePunct w:val="0"/>
        <w:autoSpaceDE/>
        <w:autoSpaceDN/>
        <w:bidi w:val="0"/>
        <w:spacing w:line="600" w:lineRule="exact"/>
        <w:ind w:firstLine="0" w:firstLineChars="0"/>
        <w:textAlignment w:val="auto"/>
        <w:rPr>
          <w:highlight w:val="none"/>
        </w:rPr>
      </w:pPr>
    </w:p>
    <w:p>
      <w:pPr>
        <w:keepNext w:val="0"/>
        <w:keepLines w:val="0"/>
        <w:pageBreakBefore w:val="0"/>
        <w:widowControl w:val="0"/>
        <w:tabs>
          <w:tab w:val="left" w:pos="8280"/>
        </w:tabs>
        <w:kinsoku/>
        <w:wordWrap/>
        <w:overflowPunct/>
        <w:topLinePunct w:val="0"/>
        <w:autoSpaceDE/>
        <w:autoSpaceDN/>
        <w:bidi w:val="0"/>
        <w:spacing w:line="600" w:lineRule="exact"/>
        <w:ind w:right="26" w:firstLine="0" w:firstLineChars="0"/>
        <w:jc w:val="center"/>
        <w:textAlignment w:val="auto"/>
        <w:rPr>
          <w:highlight w:val="none"/>
        </w:rPr>
      </w:pPr>
    </w:p>
    <w:p>
      <w:pPr>
        <w:keepNext w:val="0"/>
        <w:keepLines w:val="0"/>
        <w:pageBreakBefore w:val="0"/>
        <w:widowControl w:val="0"/>
        <w:tabs>
          <w:tab w:val="left" w:pos="8280"/>
        </w:tabs>
        <w:kinsoku/>
        <w:wordWrap/>
        <w:overflowPunct/>
        <w:topLinePunct w:val="0"/>
        <w:autoSpaceDE/>
        <w:autoSpaceDN/>
        <w:bidi w:val="0"/>
        <w:spacing w:line="600" w:lineRule="exact"/>
        <w:ind w:right="26" w:firstLine="0" w:firstLineChars="0"/>
        <w:jc w:val="center"/>
        <w:textAlignment w:val="auto"/>
        <w:rPr>
          <w:highlight w:val="none"/>
        </w:rPr>
      </w:pPr>
    </w:p>
    <w:p>
      <w:pPr>
        <w:keepNext w:val="0"/>
        <w:keepLines w:val="0"/>
        <w:pageBreakBefore w:val="0"/>
        <w:widowControl w:val="0"/>
        <w:tabs>
          <w:tab w:val="left" w:pos="8280"/>
        </w:tabs>
        <w:kinsoku/>
        <w:wordWrap/>
        <w:overflowPunct/>
        <w:topLinePunct w:val="0"/>
        <w:autoSpaceDE/>
        <w:autoSpaceDN/>
        <w:bidi w:val="0"/>
        <w:spacing w:line="600" w:lineRule="exact"/>
        <w:ind w:right="26" w:firstLine="0" w:firstLineChars="0"/>
        <w:jc w:val="center"/>
        <w:textAlignment w:val="auto"/>
        <w:rPr>
          <w:highlight w:val="none"/>
        </w:rPr>
      </w:pPr>
    </w:p>
    <w:p>
      <w:pPr>
        <w:pStyle w:val="9"/>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highlight w:val="none"/>
        </w:rPr>
      </w:pPr>
    </w:p>
    <w:p>
      <w:pPr>
        <w:keepNext w:val="0"/>
        <w:keepLines w:val="0"/>
        <w:pageBreakBefore w:val="0"/>
        <w:widowControl w:val="0"/>
        <w:tabs>
          <w:tab w:val="left" w:pos="8280"/>
        </w:tabs>
        <w:kinsoku/>
        <w:wordWrap/>
        <w:overflowPunct/>
        <w:topLinePunct w:val="0"/>
        <w:autoSpaceDE/>
        <w:autoSpaceDN/>
        <w:bidi w:val="0"/>
        <w:spacing w:line="600" w:lineRule="exact"/>
        <w:ind w:right="26" w:firstLine="0" w:firstLineChars="0"/>
        <w:jc w:val="center"/>
        <w:textAlignment w:val="auto"/>
        <w:rPr>
          <w:highlight w:val="none"/>
        </w:rPr>
      </w:pPr>
      <w:r>
        <w:rPr>
          <w:highlight w:val="none"/>
        </w:rPr>
        <w:t>鄂环</w:t>
      </w:r>
      <w:r>
        <w:rPr>
          <w:rFonts w:hint="eastAsia"/>
          <w:highlight w:val="none"/>
        </w:rPr>
        <w:t>审</w:t>
      </w:r>
      <w:r>
        <w:rPr>
          <w:highlight w:val="none"/>
        </w:rPr>
        <w:t>字〔</w:t>
      </w:r>
      <w:r>
        <w:rPr>
          <w:rFonts w:hint="eastAsia"/>
          <w:highlight w:val="none"/>
        </w:rPr>
        <w:t>202</w:t>
      </w:r>
      <w:r>
        <w:rPr>
          <w:rFonts w:hint="eastAsia"/>
          <w:highlight w:val="none"/>
          <w:lang w:val="en-US" w:eastAsia="zh-CN"/>
        </w:rPr>
        <w:t>4</w:t>
      </w:r>
      <w:r>
        <w:rPr>
          <w:highlight w:val="none"/>
        </w:rPr>
        <w:t>〕</w:t>
      </w:r>
      <w:r>
        <w:rPr>
          <w:rFonts w:hint="eastAsia"/>
          <w:highlight w:val="none"/>
          <w:lang w:val="en-US" w:eastAsia="zh-CN"/>
        </w:rPr>
        <w:t>109</w:t>
      </w:r>
      <w:r>
        <w:rPr>
          <w:highlight w:val="none"/>
        </w:rPr>
        <w:t>号</w:t>
      </w:r>
    </w:p>
    <w:p>
      <w:pPr>
        <w:keepNext w:val="0"/>
        <w:keepLines w:val="0"/>
        <w:pageBreakBefore w:val="0"/>
        <w:widowControl w:val="0"/>
        <w:tabs>
          <w:tab w:val="left" w:pos="6780"/>
        </w:tabs>
        <w:kinsoku/>
        <w:wordWrap/>
        <w:overflowPunct/>
        <w:topLinePunct w:val="0"/>
        <w:autoSpaceDE/>
        <w:autoSpaceDN/>
        <w:bidi w:val="0"/>
        <w:spacing w:line="600" w:lineRule="exact"/>
        <w:ind w:firstLine="0" w:firstLineChars="0"/>
        <w:jc w:val="center"/>
        <w:textAlignment w:val="auto"/>
        <w:rPr>
          <w:rFonts w:eastAsia="仿宋"/>
          <w:b/>
          <w:sz w:val="36"/>
          <w:szCs w:val="36"/>
          <w:highlight w:val="none"/>
        </w:rPr>
      </w:pPr>
    </w:p>
    <w:p>
      <w:pPr>
        <w:keepNext w:val="0"/>
        <w:keepLines w:val="0"/>
        <w:pageBreakBefore w:val="0"/>
        <w:widowControl w:val="0"/>
        <w:kinsoku/>
        <w:wordWrap/>
        <w:overflowPunct/>
        <w:topLinePunct w:val="0"/>
        <w:autoSpaceDE/>
        <w:autoSpaceDN/>
        <w:bidi w:val="0"/>
        <w:spacing w:line="600" w:lineRule="exact"/>
        <w:ind w:firstLine="0" w:firstLineChars="0"/>
        <w:jc w:val="center"/>
        <w:textAlignment w:val="auto"/>
        <w:rPr>
          <w:rFonts w:eastAsia="宋体"/>
          <w:b/>
          <w:w w:val="95"/>
          <w:sz w:val="44"/>
          <w:szCs w:val="44"/>
          <w:highlight w:val="none"/>
        </w:rPr>
      </w:pPr>
      <w:r>
        <w:rPr>
          <w:rFonts w:eastAsia="宋体"/>
          <w:b/>
          <w:w w:val="95"/>
          <w:sz w:val="44"/>
          <w:szCs w:val="44"/>
          <w:highlight w:val="none"/>
        </w:rPr>
        <w:t>鄂尔多斯市生态环境局</w:t>
      </w:r>
    </w:p>
    <w:p>
      <w:pPr>
        <w:keepNext w:val="0"/>
        <w:keepLines w:val="0"/>
        <w:pageBreakBefore w:val="0"/>
        <w:widowControl w:val="0"/>
        <w:kinsoku/>
        <w:wordWrap/>
        <w:overflowPunct/>
        <w:topLinePunct w:val="0"/>
        <w:autoSpaceDE/>
        <w:autoSpaceDN/>
        <w:bidi w:val="0"/>
        <w:spacing w:line="600" w:lineRule="exact"/>
        <w:ind w:firstLine="0" w:firstLineChars="0"/>
        <w:jc w:val="center"/>
        <w:textAlignment w:val="auto"/>
        <w:rPr>
          <w:rFonts w:hint="eastAsia" w:eastAsia="宋体"/>
          <w:b/>
          <w:w w:val="95"/>
          <w:sz w:val="44"/>
          <w:szCs w:val="44"/>
          <w:highlight w:val="none"/>
        </w:rPr>
      </w:pPr>
      <w:r>
        <w:rPr>
          <w:rFonts w:eastAsia="宋体"/>
          <w:b/>
          <w:w w:val="95"/>
          <w:sz w:val="44"/>
          <w:szCs w:val="44"/>
          <w:highlight w:val="none"/>
        </w:rPr>
        <w:t>关于</w:t>
      </w:r>
      <w:bookmarkStart w:id="0" w:name="_GoBack"/>
      <w:r>
        <w:rPr>
          <w:rFonts w:hint="eastAsia" w:eastAsia="宋体"/>
          <w:b/>
          <w:w w:val="95"/>
          <w:sz w:val="44"/>
          <w:szCs w:val="44"/>
          <w:highlight w:val="none"/>
        </w:rPr>
        <w:t>内蒙古镕锂电池材料有限公司高端</w:t>
      </w:r>
    </w:p>
    <w:p>
      <w:pPr>
        <w:keepNext w:val="0"/>
        <w:keepLines w:val="0"/>
        <w:pageBreakBefore w:val="0"/>
        <w:widowControl w:val="0"/>
        <w:kinsoku/>
        <w:wordWrap/>
        <w:overflowPunct/>
        <w:topLinePunct w:val="0"/>
        <w:autoSpaceDE/>
        <w:autoSpaceDN/>
        <w:bidi w:val="0"/>
        <w:spacing w:line="600" w:lineRule="exact"/>
        <w:ind w:firstLine="0" w:firstLineChars="0"/>
        <w:jc w:val="center"/>
        <w:textAlignment w:val="auto"/>
        <w:rPr>
          <w:rFonts w:hint="eastAsia" w:eastAsia="宋体"/>
          <w:b/>
          <w:w w:val="95"/>
          <w:sz w:val="44"/>
          <w:szCs w:val="44"/>
          <w:highlight w:val="none"/>
        </w:rPr>
      </w:pPr>
      <w:r>
        <w:rPr>
          <w:rFonts w:hint="eastAsia" w:eastAsia="宋体"/>
          <w:b/>
          <w:w w:val="95"/>
          <w:sz w:val="44"/>
          <w:szCs w:val="44"/>
          <w:highlight w:val="none"/>
        </w:rPr>
        <w:t>石墨材料生产项目一期工程</w:t>
      </w:r>
      <w:bookmarkEnd w:id="0"/>
    </w:p>
    <w:p>
      <w:pPr>
        <w:keepNext w:val="0"/>
        <w:keepLines w:val="0"/>
        <w:pageBreakBefore w:val="0"/>
        <w:widowControl w:val="0"/>
        <w:kinsoku/>
        <w:wordWrap/>
        <w:overflowPunct/>
        <w:topLinePunct w:val="0"/>
        <w:autoSpaceDE/>
        <w:autoSpaceDN/>
        <w:bidi w:val="0"/>
        <w:spacing w:line="600" w:lineRule="exact"/>
        <w:ind w:firstLine="0" w:firstLineChars="0"/>
        <w:jc w:val="center"/>
        <w:textAlignment w:val="auto"/>
        <w:rPr>
          <w:rFonts w:hint="eastAsia" w:eastAsia="宋体"/>
          <w:b/>
          <w:w w:val="95"/>
          <w:sz w:val="44"/>
          <w:szCs w:val="44"/>
          <w:highlight w:val="none"/>
        </w:rPr>
      </w:pPr>
      <w:r>
        <w:rPr>
          <w:rFonts w:hint="eastAsia" w:eastAsia="宋体"/>
          <w:b/>
          <w:w w:val="95"/>
          <w:sz w:val="44"/>
          <w:szCs w:val="44"/>
          <w:highlight w:val="none"/>
        </w:rPr>
        <w:t>环境影响报告书的批复</w:t>
      </w:r>
    </w:p>
    <w:p>
      <w:pPr>
        <w:keepNext w:val="0"/>
        <w:keepLines w:val="0"/>
        <w:pageBreakBefore w:val="0"/>
        <w:widowControl w:val="0"/>
        <w:kinsoku/>
        <w:wordWrap/>
        <w:overflowPunct/>
        <w:topLinePunct w:val="0"/>
        <w:autoSpaceDE/>
        <w:autoSpaceDN/>
        <w:bidi w:val="0"/>
        <w:spacing w:line="600" w:lineRule="exact"/>
        <w:ind w:firstLine="723"/>
        <w:jc w:val="center"/>
        <w:textAlignment w:val="auto"/>
        <w:rPr>
          <w:rFonts w:eastAsia="仿宋"/>
          <w:b/>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 w:hAnsi="仿宋" w:eastAsia="仿宋" w:cs="仿宋"/>
          <w:color w:val="000000"/>
          <w:szCs w:val="32"/>
          <w:highlight w:val="none"/>
        </w:rPr>
      </w:pPr>
      <w:r>
        <w:rPr>
          <w:rFonts w:hint="eastAsia" w:ascii="仿宋" w:hAnsi="仿宋" w:eastAsia="仿宋" w:cs="仿宋"/>
          <w:color w:val="000000"/>
          <w:szCs w:val="32"/>
          <w:highlight w:val="none"/>
        </w:rPr>
        <w:t>内蒙古镕锂电池材料有限公司：</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 w:hAnsi="仿宋" w:eastAsia="仿宋" w:cs="仿宋"/>
          <w:color w:val="000000"/>
          <w:szCs w:val="32"/>
          <w:highlight w:val="none"/>
        </w:rPr>
      </w:pPr>
      <w:r>
        <w:rPr>
          <w:rFonts w:hint="eastAsia" w:ascii="仿宋" w:hAnsi="仿宋" w:eastAsia="仿宋" w:cs="仿宋"/>
          <w:color w:val="000000"/>
          <w:szCs w:val="32"/>
          <w:highlight w:val="none"/>
        </w:rPr>
        <w:t>你公司报送的由北京尚世环境科技有限公司编制的《内蒙古镕锂电池材料有限公司高端石墨材料生产项目一期工程环境影响报告书》（以下简称《报告书》）收悉，我局综合保障中心组织专家对该项目进行了技术评估，并形成了技术评估报告，根据《报告书》和《技术评估报告》，经研究，现批复如下：</w:t>
      </w:r>
    </w:p>
    <w:p>
      <w:pPr>
        <w:keepNext w:val="0"/>
        <w:keepLines w:val="0"/>
        <w:pageBreakBefore w:val="0"/>
        <w:widowControl w:val="0"/>
        <w:numPr>
          <w:ilvl w:val="0"/>
          <w:numId w:val="1"/>
        </w:numPr>
        <w:kinsoku/>
        <w:wordWrap/>
        <w:overflowPunct/>
        <w:topLinePunct w:val="0"/>
        <w:autoSpaceDE/>
        <w:autoSpaceDN/>
        <w:bidi w:val="0"/>
        <w:spacing w:line="600" w:lineRule="exact"/>
        <w:ind w:firstLine="640" w:firstLineChars="200"/>
        <w:textAlignment w:val="auto"/>
        <w:rPr>
          <w:rFonts w:hint="eastAsia" w:ascii="仿宋" w:hAnsi="仿宋" w:eastAsia="仿宋" w:cs="仿宋"/>
          <w:color w:val="000000"/>
          <w:szCs w:val="32"/>
          <w:highlight w:val="none"/>
          <w:lang w:val="en-US" w:eastAsia="zh-CN"/>
        </w:rPr>
      </w:pPr>
      <w:r>
        <w:rPr>
          <w:rFonts w:hint="eastAsia" w:ascii="仿宋" w:hAnsi="仿宋" w:eastAsia="仿宋" w:cs="仿宋"/>
          <w:color w:val="000000"/>
          <w:szCs w:val="32"/>
          <w:highlight w:val="none"/>
          <w:lang w:val="en-US" w:eastAsia="zh-CN"/>
        </w:rPr>
        <w:t>该</w:t>
      </w:r>
      <w:r>
        <w:rPr>
          <w:rFonts w:hint="eastAsia" w:ascii="仿宋" w:hAnsi="仿宋" w:eastAsia="仿宋" w:cs="仿宋"/>
          <w:color w:val="000000"/>
          <w:szCs w:val="32"/>
          <w:highlight w:val="none"/>
        </w:rPr>
        <w:t>项目位于</w:t>
      </w:r>
      <w:r>
        <w:rPr>
          <w:rFonts w:hint="eastAsia" w:ascii="仿宋" w:hAnsi="仿宋" w:eastAsia="仿宋" w:cs="仿宋"/>
          <w:color w:val="auto"/>
          <w:sz w:val="32"/>
          <w:szCs w:val="32"/>
        </w:rPr>
        <w:t>内蒙古鄂尔多斯蒙苏经济开发区鄂尔多斯江苏工业园西片区</w:t>
      </w:r>
      <w:r>
        <w:rPr>
          <w:rFonts w:hint="eastAsia" w:ascii="仿宋" w:hAnsi="仿宋" w:eastAsia="仿宋" w:cs="仿宋"/>
          <w:color w:val="auto"/>
          <w:sz w:val="32"/>
          <w:szCs w:val="32"/>
          <w:lang w:val="en-US" w:eastAsia="zh-CN"/>
        </w:rPr>
        <w:t>,总占地333208.4平方米</w:t>
      </w:r>
      <w:r>
        <w:rPr>
          <w:rFonts w:hint="eastAsia" w:ascii="仿宋" w:hAnsi="仿宋" w:eastAsia="仿宋" w:cs="仿宋"/>
          <w:color w:val="000000"/>
          <w:szCs w:val="32"/>
          <w:highlight w:val="none"/>
          <w:lang w:val="en-US" w:eastAsia="zh-CN"/>
        </w:rPr>
        <w:t>。主要</w:t>
      </w:r>
      <w:r>
        <w:rPr>
          <w:rFonts w:hint="eastAsia" w:ascii="仿宋" w:hAnsi="仿宋" w:eastAsia="仿宋" w:cs="仿宋"/>
          <w:color w:val="auto"/>
          <w:sz w:val="32"/>
          <w:szCs w:val="32"/>
        </w:rPr>
        <w:t>新建前处理车间、石墨化车间一、石墨化车间二、后处理车间(预留车间)、分筛除磁车间、成品库、原料库、微粉库、空压制氮站</w:t>
      </w:r>
      <w:r>
        <w:rPr>
          <w:rFonts w:hint="eastAsia" w:ascii="仿宋" w:hAnsi="仿宋" w:eastAsia="仿宋" w:cs="仿宋"/>
          <w:b w:val="0"/>
          <w:bCs w:val="0"/>
          <w:color w:val="auto"/>
          <w:sz w:val="32"/>
          <w:szCs w:val="32"/>
        </w:rPr>
        <w:t>以及配套</w:t>
      </w:r>
      <w:r>
        <w:rPr>
          <w:rFonts w:hint="eastAsia" w:ascii="仿宋" w:hAnsi="仿宋" w:eastAsia="仿宋" w:cs="仿宋"/>
          <w:b w:val="0"/>
          <w:bCs w:val="0"/>
          <w:color w:val="auto"/>
          <w:sz w:val="32"/>
          <w:szCs w:val="32"/>
          <w:lang w:val="en-US" w:eastAsia="zh-CN"/>
        </w:rPr>
        <w:t>环保公</w:t>
      </w:r>
      <w:r>
        <w:rPr>
          <w:rFonts w:hint="eastAsia" w:ascii="仿宋" w:hAnsi="仿宋" w:eastAsia="仿宋" w:cs="仿宋"/>
          <w:b w:val="0"/>
          <w:bCs w:val="0"/>
          <w:color w:val="auto"/>
          <w:sz w:val="32"/>
          <w:szCs w:val="32"/>
        </w:rPr>
        <w:t>辅设施</w:t>
      </w:r>
      <w:r>
        <w:rPr>
          <w:rFonts w:hint="eastAsia" w:ascii="仿宋" w:hAnsi="仿宋" w:eastAsia="仿宋" w:cs="仿宋"/>
          <w:color w:val="auto"/>
          <w:sz w:val="32"/>
          <w:szCs w:val="32"/>
        </w:rPr>
        <w:t>等，建成后实现年产石墨负极材料8万吨。</w:t>
      </w:r>
      <w:r>
        <w:rPr>
          <w:rFonts w:hint="eastAsia" w:ascii="仿宋" w:hAnsi="仿宋" w:eastAsia="仿宋" w:cs="仿宋"/>
          <w:color w:val="000000"/>
          <w:szCs w:val="32"/>
          <w:highlight w:val="none"/>
          <w:lang w:val="en-US" w:eastAsia="zh-CN"/>
        </w:rPr>
        <w:t>项目总投资347857.51</w:t>
      </w:r>
      <w:r>
        <w:rPr>
          <w:rFonts w:hint="eastAsia" w:ascii="仿宋" w:hAnsi="仿宋" w:eastAsia="仿宋" w:cs="仿宋"/>
          <w:b w:val="0"/>
          <w:bCs w:val="0"/>
          <w:color w:val="auto"/>
          <w:sz w:val="32"/>
          <w:szCs w:val="32"/>
        </w:rPr>
        <w:t>万元，其中环保投资为3368.5万元</w:t>
      </w:r>
      <w:r>
        <w:rPr>
          <w:rFonts w:hint="eastAsia" w:ascii="仿宋" w:hAnsi="仿宋" w:eastAsia="仿宋" w:cs="仿宋"/>
          <w:color w:val="000000"/>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color w:val="000000"/>
          <w:szCs w:val="32"/>
          <w:highlight w:val="none"/>
        </w:rPr>
      </w:pPr>
      <w:r>
        <w:rPr>
          <w:rFonts w:hint="eastAsia" w:ascii="仿宋" w:hAnsi="仿宋" w:eastAsia="仿宋" w:cs="仿宋"/>
          <w:color w:val="000000"/>
          <w:szCs w:val="32"/>
          <w:highlight w:val="none"/>
        </w:rPr>
        <w:t>《报告书》和《技术评估报告》认为，在全面落实各项生态环境保护和环境污染防治措施的前提下，项目建设对环境的不利影响能够得到一定的缓解和控制。因此，我局原则同意你公司按照《报告书》和《技术评估报告》中所列的建设项目性质、规模、地点、工艺、环境保护措施进行建设。</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 w:hAnsi="仿宋" w:eastAsia="仿宋" w:cs="仿宋"/>
          <w:color w:val="000000"/>
          <w:szCs w:val="32"/>
          <w:highlight w:val="none"/>
        </w:rPr>
      </w:pPr>
      <w:r>
        <w:rPr>
          <w:rFonts w:hint="eastAsia" w:ascii="仿宋" w:hAnsi="仿宋" w:eastAsia="仿宋" w:cs="仿宋"/>
          <w:color w:val="000000"/>
          <w:szCs w:val="32"/>
          <w:highlight w:val="none"/>
        </w:rPr>
        <w:t>二、项目建设与运行管理中应重点做好的工作：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000000"/>
          <w:szCs w:val="32"/>
          <w:highlight w:val="yellow"/>
        </w:rPr>
      </w:pPr>
      <w:r>
        <w:rPr>
          <w:rFonts w:hint="eastAsia" w:ascii="仿宋" w:hAnsi="仿宋" w:eastAsia="仿宋" w:cs="仿宋"/>
          <w:color w:val="000000"/>
          <w:szCs w:val="32"/>
          <w:highlight w:val="none"/>
        </w:rPr>
        <w:t>1.</w:t>
      </w:r>
      <w:r>
        <w:rPr>
          <w:rFonts w:hint="eastAsia" w:ascii="仿宋" w:hAnsi="仿宋" w:eastAsia="仿宋" w:cs="仿宋"/>
          <w:highlight w:val="none"/>
        </w:rPr>
        <w:t>加</w:t>
      </w:r>
      <w:r>
        <w:rPr>
          <w:rFonts w:hint="eastAsia" w:ascii="仿宋" w:hAnsi="仿宋" w:eastAsia="仿宋" w:cs="仿宋"/>
        </w:rPr>
        <w:t>强施工期环境管理，土石方开挖及设备安装过程中应严格按照设计要求施工，尽可能缩小施工活动范围，并及时采取场地洒水等措施，减少裸露土地面积和扬尘。施工场界设围墙或遮挡物；定时对施工现场扬尘区及道路洒水；严禁在施工场地焚烧废弃物。加强车辆运输的密闭管理。施工期产生的废水和固体废弃物须集中收集后统一处置。</w:t>
      </w:r>
    </w:p>
    <w:p>
      <w:pPr>
        <w:pStyle w:val="5"/>
        <w:keepNext w:val="0"/>
        <w:keepLines w:val="0"/>
        <w:pageBreakBefore w:val="0"/>
        <w:widowControl w:val="0"/>
        <w:kinsoku/>
        <w:wordWrap/>
        <w:overflowPunct/>
        <w:topLinePunct w:val="0"/>
        <w:autoSpaceDE/>
        <w:autoSpaceDN/>
        <w:bidi w:val="0"/>
        <w:spacing w:after="0" w:line="6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000000"/>
          <w:szCs w:val="32"/>
          <w:highlight w:val="none"/>
        </w:rPr>
        <w:t>2.认真落实《报告书》中提出的大气污染防治措施。</w:t>
      </w:r>
      <w:r>
        <w:rPr>
          <w:rFonts w:hint="eastAsia" w:ascii="仿宋" w:hAnsi="仿宋" w:eastAsia="仿宋" w:cs="仿宋"/>
          <w:color w:val="auto"/>
          <w:sz w:val="32"/>
          <w:szCs w:val="32"/>
        </w:rPr>
        <w:t>运营期粗破、投（出）料、磨粉、混批、解聚打散、包装、筛分、除磁等工序废气污染物为颗粒物，废气经设备自带布袋除尘后由车间排气筒集中排放，</w:t>
      </w:r>
      <w:r>
        <w:rPr>
          <w:rFonts w:hint="eastAsia" w:ascii="仿宋" w:hAnsi="仿宋" w:eastAsia="仿宋" w:cs="仿宋"/>
          <w:color w:val="auto"/>
          <w:sz w:val="32"/>
          <w:szCs w:val="32"/>
          <w:lang w:val="en-US" w:eastAsia="zh-CN"/>
        </w:rPr>
        <w:t>满足《大气污染物综合排放标准》（GB16297-1996）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项目干燥工序采用回转窑，热源为天然气，主要污染物为颗粒物、</w:t>
      </w:r>
      <w:r>
        <w:rPr>
          <w:rFonts w:hint="eastAsia" w:ascii="仿宋" w:hAnsi="仿宋" w:eastAsia="仿宋" w:cs="仿宋"/>
          <w:color w:val="auto"/>
          <w:sz w:val="32"/>
          <w:szCs w:val="32"/>
          <w:lang w:val="en-US" w:eastAsia="zh-CN"/>
        </w:rPr>
        <w:t>二氧化硫</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氮氧化物</w:t>
      </w:r>
      <w:r>
        <w:rPr>
          <w:rFonts w:hint="eastAsia" w:ascii="仿宋" w:hAnsi="仿宋" w:eastAsia="仿宋" w:cs="仿宋"/>
          <w:color w:val="auto"/>
          <w:sz w:val="32"/>
          <w:szCs w:val="32"/>
        </w:rPr>
        <w:t>，废气经布袋除尘后由33</w:t>
      </w:r>
      <w:r>
        <w:rPr>
          <w:rFonts w:hint="eastAsia" w:ascii="仿宋" w:hAnsi="仿宋" w:eastAsia="仿宋" w:cs="仿宋"/>
          <w:color w:val="auto"/>
          <w:sz w:val="32"/>
          <w:szCs w:val="32"/>
          <w:lang w:val="en-US" w:eastAsia="zh-CN"/>
        </w:rPr>
        <w:t>米</w:t>
      </w:r>
      <w:r>
        <w:rPr>
          <w:rFonts w:hint="eastAsia" w:ascii="仿宋" w:hAnsi="仿宋" w:eastAsia="仿宋" w:cs="仿宋"/>
          <w:color w:val="auto"/>
          <w:sz w:val="32"/>
          <w:szCs w:val="32"/>
        </w:rPr>
        <w:t>高排气筒排放，颗粒物</w:t>
      </w:r>
      <w:r>
        <w:rPr>
          <w:rFonts w:hint="eastAsia" w:ascii="仿宋" w:hAnsi="仿宋" w:eastAsia="仿宋" w:cs="仿宋"/>
          <w:color w:val="auto"/>
          <w:sz w:val="32"/>
          <w:szCs w:val="32"/>
          <w:lang w:val="en-US" w:eastAsia="zh-CN"/>
        </w:rPr>
        <w:t>满足</w:t>
      </w:r>
      <w:r>
        <w:rPr>
          <w:rFonts w:hint="eastAsia" w:ascii="仿宋" w:hAnsi="仿宋" w:eastAsia="仿宋" w:cs="仿宋"/>
          <w:color w:val="auto"/>
          <w:sz w:val="32"/>
          <w:szCs w:val="32"/>
        </w:rPr>
        <w:t>《工业炉窑大气污染物排放标准》（GB9078-1996），</w:t>
      </w:r>
      <w:r>
        <w:rPr>
          <w:rFonts w:hint="eastAsia" w:ascii="仿宋" w:hAnsi="仿宋" w:eastAsia="仿宋" w:cs="仿宋"/>
          <w:color w:val="auto"/>
          <w:sz w:val="32"/>
          <w:szCs w:val="32"/>
          <w:lang w:val="en-US" w:eastAsia="zh-CN"/>
        </w:rPr>
        <w:t>二氧化硫</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氮氧化物满足</w:t>
      </w:r>
      <w:r>
        <w:rPr>
          <w:rFonts w:hint="eastAsia" w:ascii="仿宋" w:hAnsi="仿宋" w:eastAsia="仿宋" w:cs="仿宋"/>
          <w:color w:val="auto"/>
          <w:sz w:val="32"/>
          <w:szCs w:val="32"/>
        </w:rPr>
        <w:t>《大气污染物综合排放标准》（GB16297-1996）</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eastAsia" w:ascii="仿宋" w:hAnsi="仿宋" w:eastAsia="仿宋" w:cs="仿宋"/>
          <w:color w:val="auto"/>
          <w:szCs w:val="24"/>
        </w:rPr>
      </w:pPr>
      <w:r>
        <w:rPr>
          <w:rFonts w:hint="eastAsia" w:ascii="仿宋" w:hAnsi="仿宋" w:eastAsia="仿宋" w:cs="仿宋"/>
          <w:color w:val="auto"/>
          <w:sz w:val="32"/>
          <w:szCs w:val="32"/>
        </w:rPr>
        <w:t>预煅烧废气经脱硫塔（干法脱硫，脱硫剂碳酸氢钠）脱硫后与造粒废气一同进入金属丝网滤筒+冷凝罐+RTO焚烧，废气由33</w:t>
      </w:r>
      <w:r>
        <w:rPr>
          <w:rFonts w:hint="eastAsia" w:ascii="仿宋" w:hAnsi="仿宋" w:eastAsia="仿宋" w:cs="仿宋"/>
          <w:color w:val="auto"/>
          <w:sz w:val="32"/>
          <w:szCs w:val="32"/>
          <w:lang w:val="en-US" w:eastAsia="zh-CN"/>
        </w:rPr>
        <w:t>米</w:t>
      </w:r>
      <w:r>
        <w:rPr>
          <w:rFonts w:hint="eastAsia" w:ascii="仿宋" w:hAnsi="仿宋" w:eastAsia="仿宋" w:cs="仿宋"/>
          <w:color w:val="auto"/>
          <w:sz w:val="32"/>
          <w:szCs w:val="32"/>
        </w:rPr>
        <w:t>高排气筒排放，废气中颗粒物及沥青烟</w:t>
      </w:r>
      <w:r>
        <w:rPr>
          <w:rFonts w:hint="eastAsia" w:ascii="仿宋" w:hAnsi="仿宋" w:eastAsia="仿宋" w:cs="仿宋"/>
          <w:color w:val="auto"/>
          <w:sz w:val="32"/>
          <w:szCs w:val="32"/>
          <w:lang w:val="en-US" w:eastAsia="zh-CN"/>
        </w:rPr>
        <w:t>满足</w:t>
      </w:r>
      <w:r>
        <w:rPr>
          <w:rFonts w:hint="eastAsia" w:ascii="仿宋" w:hAnsi="仿宋" w:eastAsia="仿宋" w:cs="仿宋"/>
          <w:color w:val="auto"/>
          <w:sz w:val="32"/>
          <w:szCs w:val="32"/>
        </w:rPr>
        <w:t>《工业炉窑大气污染物排放标准》（GB9078-1996），二氧化硫、氮氧化物、非甲烷总烃和苯并[a]芘</w:t>
      </w:r>
      <w:r>
        <w:rPr>
          <w:rFonts w:hint="eastAsia" w:ascii="仿宋" w:hAnsi="仿宋" w:eastAsia="仿宋" w:cs="仿宋"/>
          <w:color w:val="auto"/>
          <w:sz w:val="32"/>
          <w:szCs w:val="32"/>
          <w:lang w:val="en-US" w:eastAsia="zh-CN"/>
        </w:rPr>
        <w:t>满足</w:t>
      </w:r>
      <w:r>
        <w:rPr>
          <w:rFonts w:hint="eastAsia" w:ascii="仿宋" w:hAnsi="仿宋" w:eastAsia="仿宋" w:cs="仿宋"/>
          <w:color w:val="auto"/>
          <w:sz w:val="32"/>
          <w:szCs w:val="32"/>
        </w:rPr>
        <w:t>《大气污染物综合排放标准》（GB16297-1996）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石墨化废气经石灰-石膏法脱硫+湿电除尘净化后由40</w:t>
      </w:r>
      <w:r>
        <w:rPr>
          <w:rFonts w:hint="eastAsia" w:ascii="仿宋" w:hAnsi="仿宋" w:eastAsia="仿宋" w:cs="仿宋"/>
          <w:color w:val="auto"/>
          <w:sz w:val="32"/>
          <w:szCs w:val="32"/>
          <w:lang w:val="en-US" w:eastAsia="zh-CN"/>
        </w:rPr>
        <w:t>米</w:t>
      </w:r>
      <w:r>
        <w:rPr>
          <w:rFonts w:hint="eastAsia" w:ascii="仿宋" w:hAnsi="仿宋" w:eastAsia="仿宋" w:cs="仿宋"/>
          <w:color w:val="auto"/>
          <w:sz w:val="32"/>
          <w:szCs w:val="32"/>
        </w:rPr>
        <w:t>高排气筒排放，颗粒物及沥青烟</w:t>
      </w:r>
      <w:r>
        <w:rPr>
          <w:rFonts w:hint="eastAsia" w:ascii="仿宋" w:hAnsi="仿宋" w:eastAsia="仿宋" w:cs="仿宋"/>
          <w:color w:val="auto"/>
          <w:sz w:val="32"/>
          <w:szCs w:val="32"/>
          <w:lang w:val="en-US" w:eastAsia="zh-CN"/>
        </w:rPr>
        <w:t>满足</w:t>
      </w:r>
      <w:r>
        <w:rPr>
          <w:rFonts w:hint="eastAsia" w:ascii="仿宋" w:hAnsi="仿宋" w:eastAsia="仿宋" w:cs="仿宋"/>
          <w:color w:val="auto"/>
          <w:sz w:val="32"/>
          <w:szCs w:val="32"/>
        </w:rPr>
        <w:t>《工业炉窑大气污染物排放标准》（GB9078-1996），二氧化硫、氮氧化物、非甲烷总烃和苯并[a]芘</w:t>
      </w:r>
      <w:r>
        <w:rPr>
          <w:rFonts w:hint="eastAsia" w:ascii="仿宋" w:hAnsi="仿宋" w:eastAsia="仿宋" w:cs="仿宋"/>
          <w:color w:val="auto"/>
          <w:sz w:val="32"/>
          <w:szCs w:val="32"/>
          <w:lang w:val="en-US" w:eastAsia="zh-CN"/>
        </w:rPr>
        <w:t>满足</w:t>
      </w:r>
      <w:r>
        <w:rPr>
          <w:rFonts w:hint="eastAsia" w:ascii="仿宋" w:hAnsi="仿宋" w:eastAsia="仿宋" w:cs="仿宋"/>
          <w:color w:val="auto"/>
          <w:sz w:val="32"/>
          <w:szCs w:val="32"/>
        </w:rPr>
        <w:t>《大气污染物综合排放标准》（GB9078-1996）。</w:t>
      </w:r>
      <w:r>
        <w:rPr>
          <w:rFonts w:hint="eastAsia" w:ascii="仿宋" w:hAnsi="仿宋" w:eastAsia="仿宋" w:cs="仿宋"/>
          <w:color w:val="auto"/>
          <w:sz w:val="32"/>
          <w:szCs w:val="32"/>
          <w:lang w:val="en-US" w:eastAsia="zh-CN"/>
        </w:rPr>
        <w:t>采取有效措施，确保</w:t>
      </w:r>
      <w:r>
        <w:rPr>
          <w:rFonts w:hint="eastAsia" w:ascii="仿宋" w:hAnsi="仿宋" w:eastAsia="仿宋" w:cs="仿宋"/>
          <w:color w:val="auto"/>
          <w:sz w:val="32"/>
          <w:szCs w:val="32"/>
        </w:rPr>
        <w:t>无组织排放因子颗粒物排放浓度</w:t>
      </w:r>
      <w:r>
        <w:rPr>
          <w:rFonts w:hint="eastAsia" w:ascii="仿宋" w:hAnsi="仿宋" w:eastAsia="仿宋" w:cs="仿宋"/>
          <w:color w:val="auto"/>
          <w:sz w:val="32"/>
          <w:szCs w:val="32"/>
          <w:lang w:val="en-US" w:eastAsia="zh-CN"/>
        </w:rPr>
        <w:t>满足</w:t>
      </w:r>
      <w:r>
        <w:rPr>
          <w:rFonts w:hint="eastAsia" w:ascii="仿宋" w:hAnsi="仿宋" w:eastAsia="仿宋" w:cs="仿宋"/>
          <w:color w:val="auto"/>
          <w:sz w:val="32"/>
          <w:szCs w:val="32"/>
        </w:rPr>
        <w:t>《大气污染物综合排放标准》（GB16297-1996）。</w:t>
      </w:r>
    </w:p>
    <w:p>
      <w:pPr>
        <w:pStyle w:val="5"/>
        <w:keepNext w:val="0"/>
        <w:keepLines w:val="0"/>
        <w:pageBreakBefore w:val="0"/>
        <w:widowControl w:val="0"/>
        <w:numPr>
          <w:ilvl w:val="0"/>
          <w:numId w:val="0"/>
        </w:numPr>
        <w:kinsoku/>
        <w:wordWrap/>
        <w:overflowPunct/>
        <w:topLinePunct w:val="0"/>
        <w:autoSpaceDE/>
        <w:autoSpaceDN/>
        <w:bidi w:val="0"/>
        <w:spacing w:after="0" w:line="600" w:lineRule="exact"/>
        <w:ind w:firstLine="640" w:firstLineChars="200"/>
        <w:textAlignment w:val="auto"/>
        <w:rPr>
          <w:rFonts w:hint="eastAsia" w:ascii="仿宋" w:hAnsi="仿宋" w:eastAsia="仿宋" w:cs="仿宋"/>
          <w:b w:val="0"/>
          <w:bCs w:val="0"/>
          <w:color w:val="auto"/>
          <w:sz w:val="32"/>
          <w:lang w:val="en-US" w:eastAsia="zh-CN"/>
        </w:rPr>
      </w:pPr>
      <w:r>
        <w:rPr>
          <w:rFonts w:hint="eastAsia" w:ascii="仿宋" w:hAnsi="仿宋" w:eastAsia="仿宋" w:cs="仿宋"/>
          <w:color w:val="000000"/>
          <w:szCs w:val="32"/>
          <w:highlight w:val="none"/>
          <w:lang w:val="en-US" w:eastAsia="zh-CN"/>
        </w:rPr>
        <w:t>3.</w:t>
      </w:r>
      <w:r>
        <w:rPr>
          <w:rFonts w:hint="eastAsia" w:ascii="仿宋" w:hAnsi="仿宋" w:eastAsia="仿宋" w:cs="仿宋"/>
          <w:color w:val="000000"/>
          <w:szCs w:val="32"/>
          <w:highlight w:val="none"/>
        </w:rPr>
        <w:t>按照《报告书》</w:t>
      </w:r>
      <w:r>
        <w:rPr>
          <w:rFonts w:hint="eastAsia" w:ascii="仿宋" w:hAnsi="仿宋" w:eastAsia="仿宋" w:cs="仿宋"/>
          <w:color w:val="000000"/>
          <w:szCs w:val="32"/>
          <w:highlight w:val="none"/>
          <w:lang w:val="en-US" w:eastAsia="zh-CN"/>
        </w:rPr>
        <w:t>中的</w:t>
      </w:r>
      <w:r>
        <w:rPr>
          <w:rFonts w:hint="eastAsia" w:ascii="仿宋" w:hAnsi="仿宋" w:eastAsia="仿宋" w:cs="仿宋"/>
          <w:color w:val="000000"/>
          <w:szCs w:val="32"/>
          <w:highlight w:val="none"/>
        </w:rPr>
        <w:t>相关要求，强化废水处理与回用，实行雨污分流、清污分流。</w:t>
      </w:r>
      <w:r>
        <w:rPr>
          <w:rFonts w:hint="eastAsia" w:ascii="仿宋" w:hAnsi="仿宋" w:eastAsia="仿宋" w:cs="仿宋"/>
          <w:color w:val="auto"/>
          <w:sz w:val="32"/>
          <w:szCs w:val="32"/>
        </w:rPr>
        <w:t>生产废水</w:t>
      </w:r>
      <w:r>
        <w:rPr>
          <w:rFonts w:hint="eastAsia" w:ascii="仿宋" w:hAnsi="仿宋" w:eastAsia="仿宋" w:cs="仿宋"/>
          <w:color w:val="auto"/>
          <w:sz w:val="32"/>
          <w:szCs w:val="32"/>
          <w:lang w:val="en-US" w:eastAsia="zh-CN"/>
        </w:rPr>
        <w:t>进入“零排系统”</w:t>
      </w:r>
      <w:r>
        <w:rPr>
          <w:rFonts w:hint="eastAsia" w:ascii="仿宋" w:hAnsi="仿宋" w:eastAsia="仿宋" w:cs="仿宋"/>
          <w:color w:val="auto"/>
          <w:sz w:val="32"/>
          <w:szCs w:val="32"/>
        </w:rPr>
        <w:t>处理后全部回用，</w:t>
      </w:r>
      <w:r>
        <w:rPr>
          <w:rFonts w:hint="eastAsia" w:ascii="仿宋" w:hAnsi="仿宋" w:eastAsia="仿宋" w:cs="仿宋"/>
          <w:color w:val="auto"/>
          <w:sz w:val="32"/>
          <w:szCs w:val="32"/>
          <w:lang w:val="en-US" w:eastAsia="zh-CN"/>
        </w:rPr>
        <w:t>不</w:t>
      </w:r>
      <w:r>
        <w:rPr>
          <w:rFonts w:hint="eastAsia" w:ascii="仿宋" w:hAnsi="仿宋" w:eastAsia="仿宋" w:cs="仿宋"/>
          <w:color w:val="auto"/>
          <w:sz w:val="32"/>
          <w:szCs w:val="32"/>
        </w:rPr>
        <w:t>外排。“零排系统”采用三级“多介质过滤+超滤+RO反渗透”+MVR的处理路线。生活污水经化粪池处理后经管网排入阿格图村污水处理站</w:t>
      </w:r>
      <w:r>
        <w:rPr>
          <w:rFonts w:hint="eastAsia" w:ascii="仿宋" w:hAnsi="仿宋" w:eastAsia="仿宋" w:cs="仿宋"/>
          <w:color w:val="auto"/>
          <w:sz w:val="32"/>
          <w:szCs w:val="32"/>
          <w:lang w:eastAsia="zh-CN"/>
        </w:rPr>
        <w:t>。</w:t>
      </w:r>
    </w:p>
    <w:p>
      <w:pPr>
        <w:pStyle w:val="9"/>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 w:hAnsi="仿宋" w:eastAsia="仿宋" w:cs="仿宋"/>
          <w:szCs w:val="32"/>
          <w:lang w:eastAsia="zh-CN"/>
        </w:rPr>
      </w:pPr>
      <w:r>
        <w:rPr>
          <w:rFonts w:hint="eastAsia" w:ascii="仿宋" w:hAnsi="仿宋" w:eastAsia="仿宋" w:cs="仿宋"/>
          <w:szCs w:val="32"/>
          <w:lang w:val="en-US" w:eastAsia="zh-CN"/>
        </w:rPr>
        <w:t>4.</w:t>
      </w:r>
      <w:r>
        <w:rPr>
          <w:rFonts w:hint="eastAsia" w:ascii="仿宋" w:hAnsi="仿宋" w:eastAsia="仿宋" w:cs="仿宋"/>
          <w:color w:val="auto"/>
        </w:rPr>
        <w:t>严格落实土壤和地下水污染防治措施。加强防渗设施的日常维护，对出现损害的防渗设施应及时修复和加固，确保防渗设施牢固安全。建立完善的土壤和地下水跟踪监测制度，合理设置土壤和地下水监测点，确保及时发现并处理厂区渗漏情况。如发现土壤和地下水污染状况，应根据实际情况依法开展相关污染风险管控和修复，并及时采取有效措施避免污染加重和扩散。</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lang w:val="en-US" w:eastAsia="zh-CN"/>
        </w:rPr>
        <w:t>5.</w:t>
      </w:r>
      <w:r>
        <w:rPr>
          <w:rFonts w:hint="eastAsia" w:ascii="仿宋" w:hAnsi="仿宋" w:eastAsia="仿宋" w:cs="仿宋"/>
          <w:szCs w:val="32"/>
        </w:rPr>
        <w:t>强化声环境保护措施，优先选用低噪声设备，采取减</w:t>
      </w:r>
      <w:r>
        <w:rPr>
          <w:rFonts w:hint="eastAsia" w:ascii="仿宋" w:hAnsi="仿宋" w:eastAsia="仿宋" w:cs="仿宋"/>
          <w:szCs w:val="32"/>
          <w:lang w:val="en-US" w:eastAsia="zh-CN"/>
        </w:rPr>
        <w:t>振</w:t>
      </w:r>
      <w:r>
        <w:rPr>
          <w:rFonts w:hint="eastAsia" w:ascii="仿宋" w:hAnsi="仿宋" w:eastAsia="仿宋" w:cs="仿宋"/>
          <w:szCs w:val="32"/>
        </w:rPr>
        <w:t>、隔声、消声等降噪措施，确保厂界噪声满足《工业企业厂界环境噪声排放标准》（GB12348-2008）3类标准限值要求。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000000"/>
          <w:szCs w:val="32"/>
          <w:highlight w:val="none"/>
          <w:lang w:val="en-US" w:eastAsia="zh-CN"/>
        </w:rPr>
        <w:t>6.根据《报告书》提出的固废污染防治措施，做好固体废物处置工作。建设单位须严格按照《一般工业固体废物贮存和填埋污染控制标准》（GB 18599-2020）及《危险废物贮存污染控制标准》（GB18597-2023）</w:t>
      </w:r>
      <w:r>
        <w:rPr>
          <w:rFonts w:hint="eastAsia" w:ascii="仿宋" w:hAnsi="仿宋" w:eastAsia="仿宋" w:cs="仿宋"/>
          <w:color w:val="auto"/>
          <w:szCs w:val="32"/>
        </w:rPr>
        <w:t>进行设计、建设和管理</w:t>
      </w:r>
      <w:r>
        <w:rPr>
          <w:rFonts w:hint="eastAsia" w:ascii="仿宋" w:hAnsi="仿宋" w:eastAsia="仿宋" w:cs="仿宋"/>
          <w:color w:val="auto"/>
          <w:szCs w:val="32"/>
          <w:lang w:eastAsia="zh-CN"/>
        </w:rPr>
        <w:t>，</w:t>
      </w:r>
      <w:r>
        <w:rPr>
          <w:rFonts w:hint="eastAsia" w:ascii="仿宋" w:hAnsi="仿宋" w:eastAsia="仿宋" w:cs="仿宋"/>
          <w:b w:val="0"/>
          <w:bCs w:val="0"/>
          <w:color w:val="auto"/>
          <w:sz w:val="32"/>
          <w:lang w:val="en-US" w:eastAsia="zh-CN"/>
        </w:rPr>
        <w:t>建设</w:t>
      </w:r>
      <w:r>
        <w:rPr>
          <w:rFonts w:hint="eastAsia" w:ascii="仿宋" w:hAnsi="仿宋" w:eastAsia="仿宋" w:cs="仿宋"/>
          <w:b w:val="0"/>
          <w:bCs w:val="0"/>
          <w:color w:val="auto"/>
          <w:sz w:val="32"/>
        </w:rPr>
        <w:t>1座</w:t>
      </w:r>
      <w:r>
        <w:rPr>
          <w:rFonts w:hint="eastAsia" w:ascii="仿宋" w:hAnsi="仿宋" w:eastAsia="仿宋" w:cs="仿宋"/>
          <w:b w:val="0"/>
          <w:bCs w:val="0"/>
          <w:color w:val="auto"/>
          <w:sz w:val="32"/>
          <w:lang w:val="en-US" w:eastAsia="zh-CN"/>
        </w:rPr>
        <w:t>500</w:t>
      </w:r>
      <w:r>
        <w:rPr>
          <w:rFonts w:hint="eastAsia" w:ascii="仿宋" w:hAnsi="仿宋" w:eastAsia="仿宋" w:cs="仿宋"/>
          <w:b w:val="0"/>
          <w:bCs w:val="0"/>
          <w:color w:val="auto"/>
          <w:sz w:val="32"/>
        </w:rPr>
        <w:t>平方米一般固废暂存间</w:t>
      </w:r>
      <w:r>
        <w:rPr>
          <w:rFonts w:hint="eastAsia" w:ascii="仿宋" w:hAnsi="仿宋" w:eastAsia="仿宋" w:cs="仿宋"/>
          <w:b w:val="0"/>
          <w:bCs w:val="0"/>
          <w:color w:val="auto"/>
          <w:sz w:val="32"/>
          <w:lang w:val="en-US" w:eastAsia="zh-CN"/>
        </w:rPr>
        <w:t>和</w:t>
      </w:r>
      <w:r>
        <w:rPr>
          <w:rFonts w:hint="eastAsia" w:ascii="仿宋" w:hAnsi="仿宋" w:eastAsia="仿宋" w:cs="仿宋"/>
          <w:b w:val="0"/>
          <w:bCs w:val="0"/>
          <w:color w:val="auto"/>
          <w:sz w:val="32"/>
        </w:rPr>
        <w:t>1座</w:t>
      </w:r>
      <w:r>
        <w:rPr>
          <w:rFonts w:hint="eastAsia" w:ascii="仿宋" w:hAnsi="仿宋" w:eastAsia="仿宋" w:cs="仿宋"/>
          <w:b w:val="0"/>
          <w:bCs w:val="0"/>
          <w:color w:val="auto"/>
          <w:sz w:val="32"/>
          <w:lang w:val="en-US" w:eastAsia="zh-CN"/>
        </w:rPr>
        <w:t>216</w:t>
      </w:r>
      <w:r>
        <w:rPr>
          <w:rFonts w:hint="eastAsia" w:ascii="仿宋" w:hAnsi="仿宋" w:eastAsia="仿宋" w:cs="仿宋"/>
          <w:b w:val="0"/>
          <w:bCs w:val="0"/>
          <w:color w:val="auto"/>
          <w:sz w:val="32"/>
        </w:rPr>
        <w:t>平方米</w:t>
      </w:r>
      <w:r>
        <w:rPr>
          <w:rFonts w:hint="eastAsia" w:ascii="仿宋" w:hAnsi="仿宋" w:eastAsia="仿宋" w:cs="仿宋"/>
          <w:b w:val="0"/>
          <w:bCs w:val="0"/>
          <w:color w:val="auto"/>
          <w:sz w:val="32"/>
          <w:lang w:eastAsia="zh-CN"/>
        </w:rPr>
        <w:t>的</w:t>
      </w:r>
      <w:r>
        <w:rPr>
          <w:rFonts w:hint="eastAsia" w:ascii="仿宋" w:hAnsi="仿宋" w:eastAsia="仿宋" w:cs="仿宋"/>
          <w:b w:val="0"/>
          <w:bCs w:val="0"/>
          <w:color w:val="auto"/>
          <w:sz w:val="32"/>
        </w:rPr>
        <w:t>危险废物暂存间</w:t>
      </w:r>
      <w:r>
        <w:rPr>
          <w:rFonts w:hint="eastAsia" w:ascii="仿宋" w:hAnsi="仿宋" w:eastAsia="仿宋" w:cs="仿宋"/>
          <w:b w:val="0"/>
          <w:bCs w:val="0"/>
          <w:color w:val="auto"/>
          <w:sz w:val="32"/>
          <w:lang w:eastAsia="zh-CN"/>
        </w:rPr>
        <w:t>。</w:t>
      </w:r>
      <w:r>
        <w:rPr>
          <w:rFonts w:hint="eastAsia" w:ascii="仿宋" w:hAnsi="仿宋" w:eastAsia="仿宋" w:cs="仿宋"/>
          <w:b w:val="0"/>
          <w:bCs w:val="0"/>
          <w:color w:val="auto"/>
          <w:sz w:val="32"/>
          <w:lang w:val="en-US" w:eastAsia="zh-CN"/>
        </w:rPr>
        <w:t>废铁渣、废包装袋、废箱体、废坩埚、废耐火材料、脱硫石膏、脱硫渣等外售综合利用，零排系统污泥进行</w:t>
      </w:r>
      <w:r>
        <w:rPr>
          <w:rFonts w:hint="eastAsia" w:ascii="仿宋" w:hAnsi="仿宋" w:eastAsia="仿宋" w:cs="仿宋"/>
          <w:b w:val="0"/>
          <w:bCs w:val="0"/>
          <w:color w:val="auto"/>
          <w:sz w:val="32"/>
        </w:rPr>
        <w:t>填埋处置</w:t>
      </w:r>
      <w:r>
        <w:rPr>
          <w:rFonts w:hint="eastAsia" w:ascii="仿宋" w:hAnsi="仿宋" w:eastAsia="仿宋" w:cs="仿宋"/>
          <w:b w:val="0"/>
          <w:bCs w:val="0"/>
          <w:color w:val="auto"/>
          <w:sz w:val="32"/>
          <w:lang w:eastAsia="zh-CN"/>
        </w:rPr>
        <w:t>。</w:t>
      </w:r>
      <w:r>
        <w:rPr>
          <w:rFonts w:hint="eastAsia" w:ascii="仿宋" w:hAnsi="仿宋" w:eastAsia="仿宋" w:cs="仿宋"/>
          <w:color w:val="000000"/>
          <w:szCs w:val="32"/>
          <w:highlight w:val="none"/>
          <w:lang w:val="en-US" w:eastAsia="zh-CN"/>
        </w:rPr>
        <w:t>废机油、废试剂、废试剂瓶、废焦油等</w:t>
      </w:r>
      <w:r>
        <w:rPr>
          <w:rFonts w:hint="eastAsia" w:ascii="仿宋" w:hAnsi="仿宋" w:eastAsia="仿宋" w:cs="仿宋"/>
          <w:b w:val="0"/>
          <w:bCs w:val="0"/>
          <w:color w:val="auto"/>
          <w:sz w:val="32"/>
          <w:lang w:val="en-US" w:eastAsia="zh-CN"/>
        </w:rPr>
        <w:t>暂存至危废间，交由有资质单位处理；</w:t>
      </w:r>
      <w:r>
        <w:rPr>
          <w:rFonts w:hint="eastAsia" w:ascii="仿宋" w:hAnsi="仿宋" w:eastAsia="仿宋" w:cs="仿宋"/>
          <w:color w:val="000000"/>
          <w:szCs w:val="32"/>
          <w:highlight w:val="none"/>
          <w:lang w:val="en-US" w:eastAsia="zh-CN"/>
        </w:rPr>
        <w:t>MNR杂盐、废分子筛、废RO膜</w:t>
      </w:r>
      <w:r>
        <w:rPr>
          <w:rFonts w:hint="eastAsia" w:ascii="仿宋" w:hAnsi="仿宋" w:eastAsia="仿宋" w:cs="仿宋"/>
          <w:b w:val="0"/>
          <w:bCs w:val="0"/>
          <w:color w:val="auto"/>
          <w:sz w:val="32"/>
          <w:lang w:eastAsia="zh-CN"/>
        </w:rPr>
        <w:t>在本项目投入运行后</w:t>
      </w:r>
      <w:r>
        <w:rPr>
          <w:rFonts w:hint="eastAsia" w:ascii="仿宋" w:hAnsi="仿宋" w:eastAsia="仿宋" w:cs="仿宋"/>
          <w:b w:val="0"/>
          <w:bCs w:val="0"/>
          <w:color w:val="auto"/>
          <w:sz w:val="32"/>
        </w:rPr>
        <w:t>进行固废属性鉴定，根据鉴定结果对其处理处置，</w:t>
      </w:r>
      <w:r>
        <w:rPr>
          <w:rFonts w:hint="eastAsia" w:ascii="仿宋" w:hAnsi="仿宋" w:eastAsia="仿宋" w:cs="仿宋"/>
          <w:b w:val="0"/>
          <w:bCs w:val="0"/>
          <w:color w:val="auto"/>
          <w:sz w:val="32"/>
          <w:lang w:eastAsia="zh-CN"/>
        </w:rPr>
        <w:t>如是一般固废优先综合利用，如是危险固废则暂存后委托有资质单位处置，未</w:t>
      </w:r>
      <w:r>
        <w:rPr>
          <w:rFonts w:hint="eastAsia" w:ascii="仿宋" w:hAnsi="仿宋" w:eastAsia="仿宋" w:cs="仿宋"/>
          <w:b w:val="0"/>
          <w:bCs w:val="0"/>
          <w:color w:val="auto"/>
          <w:sz w:val="32"/>
        </w:rPr>
        <w:t>鉴定前，按照危险废物管理</w:t>
      </w:r>
      <w:r>
        <w:rPr>
          <w:rFonts w:hint="eastAsia" w:ascii="仿宋" w:hAnsi="仿宋" w:eastAsia="仿宋" w:cs="仿宋"/>
          <w:b w:val="0"/>
          <w:bCs w:val="0"/>
          <w:color w:val="auto"/>
          <w:sz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000000"/>
          <w:szCs w:val="32"/>
          <w:highlight w:val="none"/>
          <w:lang w:val="en-US" w:eastAsia="zh-CN"/>
        </w:rPr>
        <w:t>7</w:t>
      </w:r>
      <w:r>
        <w:rPr>
          <w:rFonts w:hint="eastAsia" w:ascii="仿宋" w:hAnsi="仿宋" w:eastAsia="仿宋" w:cs="仿宋"/>
          <w:color w:val="000000"/>
          <w:szCs w:val="32"/>
          <w:highlight w:val="none"/>
        </w:rPr>
        <w:t>.</w:t>
      </w:r>
      <w:r>
        <w:rPr>
          <w:rFonts w:hint="eastAsia" w:ascii="仿宋" w:hAnsi="仿宋" w:eastAsia="仿宋" w:cs="仿宋"/>
          <w:color w:val="auto"/>
          <w:sz w:val="32"/>
          <w:szCs w:val="32"/>
          <w:highlight w:val="none"/>
        </w:rPr>
        <w:t>建设单位须强化环境风险防范，落实环保设施安全生产要求，项目污染防治设施须与主体工程一起按照安全生产要求设计，有效防范因污染物事故排放或安全生产事故可能引发的环境风险。</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 w:hAnsi="仿宋" w:eastAsia="仿宋" w:cs="仿宋"/>
          <w:color w:val="000000"/>
          <w:szCs w:val="32"/>
          <w:highlight w:val="none"/>
          <w:lang w:val="en-US" w:eastAsia="zh-CN"/>
        </w:rPr>
      </w:pPr>
      <w:r>
        <w:rPr>
          <w:rFonts w:hint="eastAsia" w:ascii="仿宋" w:hAnsi="仿宋" w:eastAsia="仿宋" w:cs="仿宋"/>
          <w:color w:val="000000"/>
          <w:szCs w:val="32"/>
          <w:highlight w:val="none"/>
          <w:lang w:val="en-US" w:eastAsia="zh-CN"/>
        </w:rPr>
        <w:t>四</w:t>
      </w:r>
      <w:r>
        <w:rPr>
          <w:rFonts w:hint="eastAsia" w:ascii="仿宋" w:hAnsi="仿宋" w:eastAsia="仿宋" w:cs="仿宋"/>
          <w:color w:val="000000"/>
          <w:szCs w:val="32"/>
          <w:highlight w:val="none"/>
        </w:rPr>
        <w:t>、项目建设必须严格执行环境保护“三同时”制度。项目竣工后，按照规定程序实施竣工环境保护验收，经验收合格后，方可正式投入运行</w:t>
      </w:r>
      <w:r>
        <w:rPr>
          <w:rFonts w:hint="eastAsia" w:ascii="仿宋" w:hAnsi="仿宋" w:eastAsia="仿宋" w:cs="仿宋"/>
          <w:color w:val="000000"/>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 w:hAnsi="仿宋" w:eastAsia="仿宋" w:cs="仿宋"/>
          <w:color w:val="000000"/>
          <w:szCs w:val="32"/>
          <w:highlight w:val="none"/>
        </w:rPr>
      </w:pPr>
      <w:r>
        <w:rPr>
          <w:rFonts w:hint="eastAsia" w:ascii="仿宋" w:hAnsi="仿宋" w:eastAsia="仿宋" w:cs="仿宋"/>
          <w:color w:val="000000"/>
          <w:szCs w:val="32"/>
          <w:highlight w:val="none"/>
          <w:lang w:val="en-US" w:eastAsia="zh-CN"/>
        </w:rPr>
        <w:t>五、你公司应在收到本批复20日内，将《报告书》(报批版)及批复文件送至鄂尔多斯市生态环境局伊金霍洛旗分局和内蒙古鄂尔多斯蒙苏经济开发区建设管理局，我局委托鄂尔多斯市生态环境局伊金霍洛旗分局和内蒙古鄂尔多斯蒙苏经济开发区建设管理</w:t>
      </w:r>
      <w:r>
        <w:rPr>
          <w:rFonts w:hint="eastAsia" w:ascii="仿宋" w:hAnsi="仿宋" w:eastAsia="仿宋" w:cs="仿宋"/>
          <w:color w:val="000000"/>
          <w:szCs w:val="32"/>
          <w:highlight w:val="none"/>
        </w:rPr>
        <w:t>局负责该项目的日常监管工作。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 w:hAnsi="仿宋" w:eastAsia="仿宋" w:cs="仿宋"/>
          <w:color w:val="000000"/>
          <w:szCs w:val="32"/>
          <w:highlight w:val="none"/>
        </w:rPr>
      </w:pPr>
      <w:r>
        <w:rPr>
          <w:rFonts w:hint="eastAsia" w:ascii="仿宋" w:hAnsi="仿宋" w:eastAsia="仿宋" w:cs="仿宋"/>
          <w:color w:val="000000"/>
          <w:szCs w:val="32"/>
          <w:highlight w:val="none"/>
          <w:lang w:val="en-US" w:eastAsia="zh-CN"/>
        </w:rPr>
        <w:t>六</w:t>
      </w:r>
      <w:r>
        <w:rPr>
          <w:rFonts w:hint="eastAsia" w:ascii="仿宋" w:hAnsi="仿宋" w:eastAsia="仿宋" w:cs="仿宋"/>
          <w:color w:val="000000"/>
          <w:szCs w:val="32"/>
          <w:highlight w:val="none"/>
        </w:rPr>
        <w:t>、该项目从批准之日起超</w:t>
      </w:r>
      <w:r>
        <w:rPr>
          <w:rFonts w:hint="eastAsia" w:ascii="仿宋" w:hAnsi="仿宋" w:eastAsia="仿宋" w:cs="仿宋"/>
          <w:color w:val="000000"/>
          <w:szCs w:val="32"/>
          <w:highlight w:val="none"/>
          <w:lang w:val="en-US" w:eastAsia="zh-CN"/>
        </w:rPr>
        <w:t>过5年方决定开工建设，其环评文件应重新审核。如果建设地点、规模、防治</w:t>
      </w:r>
      <w:r>
        <w:rPr>
          <w:rFonts w:hint="eastAsia" w:ascii="仿宋" w:hAnsi="仿宋" w:eastAsia="仿宋" w:cs="仿宋"/>
          <w:color w:val="000000"/>
          <w:szCs w:val="32"/>
          <w:highlight w:val="none"/>
        </w:rPr>
        <w:t>污染和防止生态破坏的措施等发生重大变化时，需重新报批环评文件。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jc w:val="right"/>
        <w:textAlignment w:val="auto"/>
        <w:rPr>
          <w:rFonts w:hint="eastAsia" w:ascii="仿宋" w:hAnsi="仿宋" w:eastAsia="仿宋" w:cs="仿宋"/>
          <w:color w:val="000000"/>
          <w:szCs w:val="32"/>
          <w:highlight w:val="none"/>
        </w:rPr>
      </w:pPr>
    </w:p>
    <w:p>
      <w:pPr>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jc w:val="center"/>
        <w:textAlignment w:val="auto"/>
        <w:rPr>
          <w:rFonts w:hint="eastAsia" w:ascii="仿宋" w:hAnsi="仿宋" w:eastAsia="仿宋" w:cs="仿宋"/>
          <w:color w:val="000000"/>
          <w:szCs w:val="32"/>
          <w:highlight w:val="none"/>
          <w:lang w:val="en-US" w:eastAsia="zh-CN"/>
        </w:rPr>
      </w:pPr>
      <w:r>
        <w:rPr>
          <w:rFonts w:hint="eastAsia" w:ascii="仿宋" w:hAnsi="仿宋" w:eastAsia="仿宋" w:cs="仿宋"/>
          <w:color w:val="000000"/>
          <w:szCs w:val="32"/>
          <w:highlight w:val="none"/>
          <w:lang w:val="en-US" w:eastAsia="zh-CN"/>
        </w:rPr>
        <w:t xml:space="preserve">                    </w:t>
      </w:r>
      <w:r>
        <w:rPr>
          <w:rFonts w:hint="eastAsia" w:ascii="仿宋" w:hAnsi="仿宋" w:eastAsia="仿宋" w:cs="仿宋"/>
          <w:color w:val="000000"/>
          <w:szCs w:val="32"/>
          <w:highlight w:val="none"/>
        </w:rPr>
        <w:t>鄂尔多斯市生态环境局</w:t>
      </w:r>
    </w:p>
    <w:p>
      <w:pPr>
        <w:keepNext w:val="0"/>
        <w:keepLines w:val="0"/>
        <w:pageBreakBefore w:val="0"/>
        <w:widowControl w:val="0"/>
        <w:kinsoku/>
        <w:wordWrap/>
        <w:overflowPunct/>
        <w:topLinePunct w:val="0"/>
        <w:autoSpaceDE/>
        <w:autoSpaceDN/>
        <w:bidi w:val="0"/>
        <w:adjustRightInd w:val="0"/>
        <w:snapToGrid w:val="0"/>
        <w:spacing w:line="600" w:lineRule="exact"/>
        <w:ind w:right="320" w:firstLine="640"/>
        <w:jc w:val="center"/>
        <w:textAlignment w:val="auto"/>
        <w:rPr>
          <w:rFonts w:hint="eastAsia" w:ascii="仿宋" w:hAnsi="仿宋" w:eastAsia="仿宋" w:cs="仿宋"/>
          <w:color w:val="000000"/>
          <w:szCs w:val="32"/>
          <w:highlight w:val="none"/>
        </w:rPr>
      </w:pPr>
      <w:r>
        <w:rPr>
          <w:rFonts w:hint="eastAsia" w:ascii="仿宋" w:hAnsi="仿宋" w:eastAsia="仿宋" w:cs="仿宋"/>
          <w:color w:val="000000"/>
          <w:szCs w:val="32"/>
          <w:highlight w:val="none"/>
          <w:lang w:val="en-US" w:eastAsia="zh-CN"/>
        </w:rPr>
        <w:t xml:space="preserve">                       </w:t>
      </w:r>
      <w:r>
        <w:rPr>
          <w:rFonts w:hint="eastAsia" w:ascii="仿宋" w:hAnsi="仿宋" w:eastAsia="仿宋" w:cs="仿宋"/>
          <w:color w:val="000000"/>
          <w:szCs w:val="32"/>
          <w:highlight w:val="none"/>
        </w:rPr>
        <w:t>202</w:t>
      </w:r>
      <w:r>
        <w:rPr>
          <w:rFonts w:hint="eastAsia" w:ascii="仿宋" w:hAnsi="仿宋" w:eastAsia="仿宋" w:cs="仿宋"/>
          <w:color w:val="000000"/>
          <w:szCs w:val="32"/>
          <w:highlight w:val="none"/>
          <w:lang w:val="en-US" w:eastAsia="zh-CN"/>
        </w:rPr>
        <w:t>4</w:t>
      </w:r>
      <w:r>
        <w:rPr>
          <w:rFonts w:hint="eastAsia" w:ascii="仿宋" w:hAnsi="仿宋" w:eastAsia="仿宋" w:cs="仿宋"/>
          <w:color w:val="000000"/>
          <w:szCs w:val="32"/>
          <w:highlight w:val="none"/>
        </w:rPr>
        <w:t>年</w:t>
      </w:r>
      <w:r>
        <w:rPr>
          <w:rFonts w:hint="eastAsia" w:ascii="仿宋" w:hAnsi="仿宋" w:eastAsia="仿宋" w:cs="仿宋"/>
          <w:color w:val="000000"/>
          <w:szCs w:val="32"/>
          <w:highlight w:val="none"/>
          <w:lang w:val="en-US" w:eastAsia="zh-CN"/>
        </w:rPr>
        <w:t>6</w:t>
      </w:r>
      <w:r>
        <w:rPr>
          <w:rFonts w:hint="eastAsia" w:ascii="仿宋" w:hAnsi="仿宋" w:eastAsia="仿宋" w:cs="仿宋"/>
          <w:color w:val="000000"/>
          <w:szCs w:val="32"/>
          <w:highlight w:val="none"/>
        </w:rPr>
        <w:t>月</w:t>
      </w:r>
      <w:r>
        <w:rPr>
          <w:rFonts w:hint="eastAsia" w:ascii="仿宋" w:hAnsi="仿宋" w:eastAsia="仿宋" w:cs="仿宋"/>
          <w:color w:val="000000"/>
          <w:szCs w:val="32"/>
          <w:highlight w:val="none"/>
          <w:lang w:val="en-US" w:eastAsia="zh-CN"/>
        </w:rPr>
        <w:t>7</w:t>
      </w:r>
      <w:r>
        <w:rPr>
          <w:rFonts w:hint="eastAsia" w:ascii="仿宋" w:hAnsi="仿宋" w:eastAsia="仿宋" w:cs="仿宋"/>
          <w:color w:val="000000"/>
          <w:szCs w:val="32"/>
          <w:highlight w:val="none"/>
        </w:rPr>
        <w:t>日</w:t>
      </w:r>
    </w:p>
    <w:p>
      <w:pPr>
        <w:pStyle w:val="2"/>
        <w:rPr>
          <w:rFonts w:hint="eastAsia" w:ascii="仿宋" w:hAnsi="仿宋" w:eastAsia="仿宋" w:cs="仿宋"/>
          <w:color w:val="000000"/>
          <w:szCs w:val="32"/>
          <w:highlight w:val="none"/>
        </w:rPr>
      </w:pPr>
    </w:p>
    <w:p>
      <w:pPr>
        <w:rPr>
          <w:rFonts w:hint="eastAsia" w:ascii="仿宋" w:hAnsi="仿宋" w:eastAsia="仿宋" w:cs="仿宋"/>
          <w:color w:val="000000"/>
          <w:szCs w:val="32"/>
          <w:highlight w:val="none"/>
        </w:rPr>
      </w:pPr>
    </w:p>
    <w:p>
      <w:pPr>
        <w:pStyle w:val="2"/>
        <w:ind w:left="0" w:leftChars="0" w:firstLine="0" w:firstLineChars="0"/>
      </w:pPr>
    </w:p>
    <w:p/>
    <w:p>
      <w:pPr>
        <w:pStyle w:val="2"/>
      </w:pPr>
    </w:p>
    <w:p>
      <w:pPr>
        <w:pStyle w:val="4"/>
      </w:pPr>
    </w:p>
    <w:p/>
    <w:p>
      <w:pPr>
        <w:pStyle w:val="2"/>
      </w:pPr>
    </w:p>
    <w:p>
      <w:pPr>
        <w:pStyle w:val="4"/>
      </w:pPr>
    </w:p>
    <w:p/>
    <w:p>
      <w:pPr>
        <w:pStyle w:val="2"/>
      </w:pPr>
    </w:p>
    <w:p>
      <w:pPr>
        <w:pStyle w:val="2"/>
        <w:ind w:left="0" w:leftChars="0" w:firstLine="0" w:firstLineChars="0"/>
      </w:pPr>
    </w:p>
    <w:p>
      <w:pPr>
        <w:pStyle w:val="4"/>
      </w:pPr>
    </w:p>
    <w:p/>
    <w:p>
      <w:pPr>
        <w:pStyle w:val="2"/>
      </w:pPr>
    </w:p>
    <w:p>
      <w:pPr>
        <w:pStyle w:val="4"/>
      </w:pPr>
    </w:p>
    <w:p/>
    <w:p>
      <w:pPr>
        <w:pStyle w:val="4"/>
        <w:ind w:left="0" w:leftChars="0" w:firstLine="0" w:firstLineChars="0"/>
      </w:pPr>
    </w:p>
    <w:p>
      <w:pPr>
        <w:pStyle w:val="16"/>
        <w:ind w:left="0" w:leftChars="0" w:firstLine="0" w:firstLineChars="0"/>
      </w:pPr>
    </w:p>
    <w:tbl>
      <w:tblPr>
        <w:tblStyle w:val="22"/>
        <w:tblW w:w="9203" w:type="dxa"/>
        <w:tblInd w:w="-163"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9203"/>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521" w:hRule="atLeast"/>
        </w:trPr>
        <w:tc>
          <w:tcPr>
            <w:tcW w:w="9203"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840" w:hanging="840" w:hangingChars="300"/>
              <w:textAlignment w:val="auto"/>
              <w:rPr>
                <w:rFonts w:ascii="仿宋_GB2312" w:hAnsi="仿宋_GB2312" w:cs="仿宋_GB2312"/>
                <w:snapToGrid/>
                <w:color w:val="000000"/>
                <w:kern w:val="2"/>
                <w:sz w:val="28"/>
                <w:szCs w:val="28"/>
                <w:highlight w:val="none"/>
              </w:rPr>
            </w:pPr>
            <w:r>
              <w:rPr>
                <w:rFonts w:ascii="仿宋_GB2312" w:hAnsi="仿宋_GB2312" w:cs="仿宋_GB2312"/>
                <w:snapToGrid/>
                <w:color w:val="000000"/>
                <w:kern w:val="2"/>
                <w:sz w:val="28"/>
                <w:szCs w:val="28"/>
                <w:highlight w:val="none"/>
              </w:rPr>
              <w:t>抄送：</w:t>
            </w:r>
            <w:r>
              <w:rPr>
                <w:rFonts w:hint="eastAsia" w:ascii="仿宋_GB2312" w:hAnsi="仿宋_GB2312" w:cs="仿宋_GB2312"/>
                <w:snapToGrid/>
                <w:color w:val="000000"/>
                <w:kern w:val="2"/>
                <w:sz w:val="28"/>
                <w:szCs w:val="28"/>
                <w:highlight w:val="none"/>
              </w:rPr>
              <w:t>鄂尔多斯市生态环境局</w:t>
            </w:r>
            <w:r>
              <w:rPr>
                <w:rFonts w:hint="eastAsia" w:ascii="仿宋_GB2312" w:hAnsi="仿宋_GB2312" w:cs="仿宋_GB2312"/>
                <w:snapToGrid/>
                <w:color w:val="000000"/>
                <w:kern w:val="2"/>
                <w:sz w:val="28"/>
                <w:szCs w:val="28"/>
                <w:highlight w:val="none"/>
                <w:lang w:val="en-US" w:eastAsia="zh-CN"/>
              </w:rPr>
              <w:t>伊金霍洛旗</w:t>
            </w:r>
            <w:r>
              <w:rPr>
                <w:rFonts w:hint="eastAsia" w:ascii="仿宋_GB2312" w:hAnsi="仿宋_GB2312" w:cs="仿宋_GB2312"/>
                <w:snapToGrid/>
                <w:color w:val="000000"/>
                <w:kern w:val="2"/>
                <w:sz w:val="28"/>
                <w:szCs w:val="28"/>
                <w:highlight w:val="none"/>
              </w:rPr>
              <w:t>分局，</w:t>
            </w:r>
            <w:r>
              <w:rPr>
                <w:rFonts w:hint="eastAsia" w:ascii="仿宋_GB2312" w:hAnsi="仿宋_GB2312" w:cs="仿宋_GB2312"/>
                <w:snapToGrid/>
                <w:color w:val="000000"/>
                <w:kern w:val="2"/>
                <w:sz w:val="28"/>
                <w:szCs w:val="28"/>
                <w:highlight w:val="none"/>
                <w:lang w:val="en-US" w:eastAsia="zh-CN"/>
              </w:rPr>
              <w:t>内蒙古鄂尔多斯蒙苏经济开发区建设管理</w:t>
            </w:r>
            <w:r>
              <w:rPr>
                <w:rFonts w:hint="eastAsia" w:ascii="仿宋_GB2312" w:hAnsi="仿宋_GB2312" w:cs="仿宋_GB2312"/>
                <w:snapToGrid/>
                <w:color w:val="000000"/>
                <w:kern w:val="2"/>
                <w:sz w:val="28"/>
                <w:szCs w:val="28"/>
                <w:highlight w:val="none"/>
              </w:rPr>
              <w:t>局</w:t>
            </w:r>
            <w:r>
              <w:rPr>
                <w:rFonts w:ascii="仿宋_GB2312" w:hAnsi="仿宋_GB2312" w:cs="仿宋_GB2312"/>
                <w:snapToGrid/>
                <w:color w:val="000000"/>
                <w:kern w:val="2"/>
                <w:sz w:val="28"/>
                <w:szCs w:val="28"/>
                <w:highlight w:val="none"/>
              </w:rPr>
              <w:t>，市生态环境综合行政执法支队，</w:t>
            </w:r>
            <w:r>
              <w:rPr>
                <w:rFonts w:hint="eastAsia" w:ascii="仿宋_GB2312" w:hAnsi="仿宋_GB2312" w:cs="仿宋_GB2312"/>
                <w:snapToGrid/>
                <w:color w:val="000000"/>
                <w:kern w:val="2"/>
                <w:sz w:val="28"/>
                <w:szCs w:val="28"/>
                <w:highlight w:val="none"/>
              </w:rPr>
              <w:t>北京尚世环境科技有限公司</w:t>
            </w:r>
            <w:r>
              <w:rPr>
                <w:rFonts w:ascii="仿宋_GB2312" w:hAnsi="仿宋_GB2312" w:cs="仿宋_GB2312"/>
                <w:snapToGrid/>
                <w:color w:val="000000"/>
                <w:kern w:val="2"/>
                <w:sz w:val="28"/>
                <w:szCs w:val="28"/>
                <w:highlight w:val="none"/>
              </w:rPr>
              <w:t>，</w:t>
            </w:r>
            <w:r>
              <w:rPr>
                <w:rFonts w:hint="eastAsia" w:ascii="仿宋_GB2312" w:hAnsi="仿宋_GB2312" w:cs="仿宋_GB2312"/>
                <w:snapToGrid/>
                <w:color w:val="000000"/>
                <w:kern w:val="2"/>
                <w:sz w:val="28"/>
                <w:szCs w:val="28"/>
                <w:highlight w:val="none"/>
              </w:rPr>
              <w:t>市生态环境局综合保障中心</w:t>
            </w:r>
            <w:r>
              <w:rPr>
                <w:rFonts w:ascii="仿宋_GB2312" w:hAnsi="仿宋_GB2312" w:cs="仿宋_GB2312"/>
                <w:snapToGrid/>
                <w:color w:val="000000"/>
                <w:kern w:val="2"/>
                <w:sz w:val="28"/>
                <w:szCs w:val="28"/>
                <w:highlight w:val="none"/>
              </w:rPr>
              <w:t>。</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83" w:hRule="atLeast"/>
        </w:trPr>
        <w:tc>
          <w:tcPr>
            <w:tcW w:w="9203"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cs="仿宋_GB2312"/>
                <w:snapToGrid/>
                <w:color w:val="000000"/>
                <w:kern w:val="2"/>
                <w:sz w:val="28"/>
                <w:szCs w:val="28"/>
                <w:highlight w:val="none"/>
              </w:rPr>
            </w:pPr>
            <w:r>
              <w:rPr>
                <w:rFonts w:ascii="仿宋_GB2312" w:hAnsi="仿宋_GB2312" w:cs="仿宋_GB2312"/>
                <w:snapToGrid/>
                <w:color w:val="000000"/>
                <w:kern w:val="2"/>
                <w:sz w:val="28"/>
                <w:szCs w:val="28"/>
                <w:highlight w:val="none"/>
              </w:rPr>
              <w:t xml:space="preserve">鄂尔多斯市生态环境局                </w:t>
            </w:r>
            <w:r>
              <w:rPr>
                <w:rFonts w:hint="eastAsia" w:ascii="仿宋_GB2312" w:hAnsi="仿宋_GB2312" w:cs="仿宋_GB2312"/>
                <w:snapToGrid/>
                <w:color w:val="000000"/>
                <w:kern w:val="2"/>
                <w:sz w:val="28"/>
                <w:szCs w:val="28"/>
                <w:highlight w:val="none"/>
                <w:lang w:val="en-US" w:eastAsia="zh-CN"/>
              </w:rPr>
              <w:t xml:space="preserve">        </w:t>
            </w:r>
            <w:r>
              <w:rPr>
                <w:rFonts w:ascii="仿宋_GB2312" w:hAnsi="仿宋_GB2312" w:cs="仿宋_GB2312"/>
                <w:snapToGrid/>
                <w:color w:val="000000"/>
                <w:kern w:val="2"/>
                <w:sz w:val="28"/>
                <w:szCs w:val="28"/>
                <w:highlight w:val="none"/>
              </w:rPr>
              <w:t xml:space="preserve"> 202</w:t>
            </w:r>
            <w:r>
              <w:rPr>
                <w:rFonts w:hint="eastAsia" w:ascii="仿宋_GB2312" w:hAnsi="仿宋_GB2312" w:cs="仿宋_GB2312"/>
                <w:snapToGrid/>
                <w:color w:val="000000"/>
                <w:kern w:val="2"/>
                <w:sz w:val="28"/>
                <w:szCs w:val="28"/>
                <w:highlight w:val="none"/>
                <w:lang w:val="en-US" w:eastAsia="zh-CN"/>
              </w:rPr>
              <w:t>4</w:t>
            </w:r>
            <w:r>
              <w:rPr>
                <w:rFonts w:ascii="仿宋_GB2312" w:hAnsi="仿宋_GB2312" w:cs="仿宋_GB2312"/>
                <w:snapToGrid/>
                <w:color w:val="000000"/>
                <w:kern w:val="2"/>
                <w:sz w:val="28"/>
                <w:szCs w:val="28"/>
                <w:highlight w:val="none"/>
              </w:rPr>
              <w:t>年</w:t>
            </w:r>
            <w:r>
              <w:rPr>
                <w:rFonts w:hint="eastAsia" w:ascii="仿宋_GB2312" w:hAnsi="仿宋_GB2312" w:cs="仿宋_GB2312"/>
                <w:snapToGrid/>
                <w:color w:val="000000"/>
                <w:kern w:val="2"/>
                <w:sz w:val="28"/>
                <w:szCs w:val="28"/>
                <w:highlight w:val="none"/>
                <w:lang w:val="en-US" w:eastAsia="zh-CN"/>
              </w:rPr>
              <w:t>6</w:t>
            </w:r>
            <w:r>
              <w:rPr>
                <w:rFonts w:ascii="仿宋_GB2312" w:hAnsi="仿宋_GB2312" w:cs="仿宋_GB2312"/>
                <w:snapToGrid/>
                <w:color w:val="000000"/>
                <w:kern w:val="2"/>
                <w:sz w:val="28"/>
                <w:szCs w:val="28"/>
                <w:highlight w:val="none"/>
              </w:rPr>
              <w:t>月</w:t>
            </w:r>
            <w:r>
              <w:rPr>
                <w:rFonts w:hint="eastAsia" w:ascii="仿宋_GB2312" w:hAnsi="仿宋_GB2312" w:cs="仿宋_GB2312"/>
                <w:snapToGrid/>
                <w:color w:val="000000"/>
                <w:kern w:val="2"/>
                <w:sz w:val="28"/>
                <w:szCs w:val="28"/>
                <w:highlight w:val="none"/>
                <w:lang w:val="en-US" w:eastAsia="zh-CN"/>
              </w:rPr>
              <w:t>7</w:t>
            </w:r>
            <w:r>
              <w:rPr>
                <w:rFonts w:ascii="仿宋_GB2312" w:hAnsi="仿宋_GB2312" w:cs="仿宋_GB2312"/>
                <w:snapToGrid/>
                <w:color w:val="000000"/>
                <w:kern w:val="2"/>
                <w:sz w:val="28"/>
                <w:szCs w:val="28"/>
                <w:highlight w:val="none"/>
              </w:rPr>
              <w:t>日印发</w:t>
            </w:r>
          </w:p>
        </w:tc>
      </w:tr>
    </w:tbl>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eastAsia="仿宋_GB231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A7454"/>
    <w:multiLevelType w:val="singleLevel"/>
    <w:tmpl w:val="1F8A74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5ZjkyNWM5NDA5YzI0MWZjNTA3MDA1ZjJiYmIxN2UifQ=="/>
  </w:docVars>
  <w:rsids>
    <w:rsidRoot w:val="00805F8E"/>
    <w:rsid w:val="002A5198"/>
    <w:rsid w:val="003160F5"/>
    <w:rsid w:val="00764803"/>
    <w:rsid w:val="00805F8E"/>
    <w:rsid w:val="00967D21"/>
    <w:rsid w:val="01D115CE"/>
    <w:rsid w:val="032213EB"/>
    <w:rsid w:val="06E94A19"/>
    <w:rsid w:val="089666B2"/>
    <w:rsid w:val="118256F3"/>
    <w:rsid w:val="173C3A66"/>
    <w:rsid w:val="198302D2"/>
    <w:rsid w:val="1ABF0EE2"/>
    <w:rsid w:val="1CB70870"/>
    <w:rsid w:val="1D3A40D5"/>
    <w:rsid w:val="241E3F25"/>
    <w:rsid w:val="259C4488"/>
    <w:rsid w:val="26C41CED"/>
    <w:rsid w:val="29F509F4"/>
    <w:rsid w:val="36B0673D"/>
    <w:rsid w:val="3AFB643D"/>
    <w:rsid w:val="3C7C2C4D"/>
    <w:rsid w:val="3CDA7DA7"/>
    <w:rsid w:val="3DE43692"/>
    <w:rsid w:val="41166990"/>
    <w:rsid w:val="46D67190"/>
    <w:rsid w:val="473420AD"/>
    <w:rsid w:val="47350E2C"/>
    <w:rsid w:val="48492F28"/>
    <w:rsid w:val="49C46EA7"/>
    <w:rsid w:val="4AF32E09"/>
    <w:rsid w:val="4F445C26"/>
    <w:rsid w:val="51DD5CA7"/>
    <w:rsid w:val="59842CF7"/>
    <w:rsid w:val="5E4B68A8"/>
    <w:rsid w:val="6632293D"/>
    <w:rsid w:val="6DE54DB4"/>
    <w:rsid w:val="720A068C"/>
    <w:rsid w:val="78793730"/>
    <w:rsid w:val="7AE6171D"/>
    <w:rsid w:val="7D392018"/>
    <w:rsid w:val="7F2D1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paragraph" w:styleId="8">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20"/>
    <w:semiHidden/>
    <w:unhideWhenUsed/>
    <w:qFormat/>
    <w:uiPriority w:val="99"/>
    <w:pPr>
      <w:ind w:firstLine="420"/>
    </w:pPr>
  </w:style>
  <w:style w:type="paragraph" w:styleId="3">
    <w:name w:val="Body Text Indent"/>
    <w:basedOn w:val="1"/>
    <w:next w:val="1"/>
    <w:link w:val="19"/>
    <w:semiHidden/>
    <w:unhideWhenUsed/>
    <w:qFormat/>
    <w:uiPriority w:val="99"/>
    <w:pPr>
      <w:spacing w:after="120"/>
      <w:ind w:left="420" w:leftChars="200"/>
    </w:pPr>
  </w:style>
  <w:style w:type="paragraph" w:styleId="4">
    <w:name w:val="Body Text First Indent"/>
    <w:basedOn w:val="5"/>
    <w:next w:val="1"/>
    <w:qFormat/>
    <w:uiPriority w:val="0"/>
    <w:pPr>
      <w:ind w:firstLine="420" w:firstLineChars="100"/>
    </w:pPr>
  </w:style>
  <w:style w:type="paragraph" w:styleId="5">
    <w:name w:val="Body Text"/>
    <w:basedOn w:val="1"/>
    <w:next w:val="6"/>
    <w:qFormat/>
    <w:uiPriority w:val="0"/>
    <w:pPr>
      <w:spacing w:after="120" w:afterLines="0" w:afterAutospacing="0"/>
    </w:pPr>
  </w:style>
  <w:style w:type="paragraph" w:customStyle="1" w:styleId="6">
    <w:name w:val="文本"/>
    <w:basedOn w:val="7"/>
    <w:autoRedefine/>
    <w:qFormat/>
    <w:uiPriority w:val="0"/>
    <w:pPr>
      <w:spacing w:line="288" w:lineRule="auto"/>
    </w:pPr>
  </w:style>
  <w:style w:type="paragraph" w:customStyle="1" w:styleId="7">
    <w:name w:val="[1]正文"/>
    <w:basedOn w:val="1"/>
    <w:autoRedefine/>
    <w:qFormat/>
    <w:uiPriority w:val="0"/>
    <w:pPr>
      <w:autoSpaceDE w:val="0"/>
      <w:autoSpaceDN w:val="0"/>
      <w:ind w:firstLine="200" w:firstLineChars="200"/>
    </w:pPr>
    <w:rPr>
      <w:color w:val="000000"/>
      <w:kern w:val="0"/>
      <w:szCs w:val="24"/>
      <w:lang w:val="zh-CN"/>
    </w:rPr>
  </w:style>
  <w:style w:type="paragraph" w:styleId="9">
    <w:name w:val="Normal Indent"/>
    <w:basedOn w:val="1"/>
    <w:next w:val="2"/>
    <w:link w:val="18"/>
    <w:qFormat/>
    <w:uiPriority w:val="0"/>
    <w:rPr>
      <w:rFonts w:asciiTheme="minorHAnsi" w:hAnsiTheme="minorHAnsi" w:cstheme="minorBidi"/>
    </w:rPr>
  </w:style>
  <w:style w:type="paragraph" w:styleId="10">
    <w:name w:val="annotation text"/>
    <w:basedOn w:val="1"/>
    <w:semiHidden/>
    <w:unhideWhenUsed/>
    <w:qFormat/>
    <w:uiPriority w:val="99"/>
    <w:pPr>
      <w:jc w:val="left"/>
    </w:pPr>
  </w:style>
  <w:style w:type="paragraph" w:styleId="11">
    <w:name w:val="Date"/>
    <w:basedOn w:val="1"/>
    <w:next w:val="1"/>
    <w:link w:val="21"/>
    <w:semiHidden/>
    <w:unhideWhenUsed/>
    <w:qFormat/>
    <w:uiPriority w:val="99"/>
    <w:pPr>
      <w:ind w:left="100" w:leftChars="2500"/>
    </w:pPr>
  </w:style>
  <w:style w:type="paragraph" w:styleId="12">
    <w:name w:val="toc 2"/>
    <w:basedOn w:val="1"/>
    <w:next w:val="1"/>
    <w:unhideWhenUsed/>
    <w:qFormat/>
    <w:uiPriority w:val="39"/>
    <w:pPr>
      <w:ind w:left="420" w:leftChars="200"/>
    </w:pPr>
    <w:rPr>
      <w:rFonts w:ascii="Calibri" w:hAnsi="Calibri"/>
      <w:szCs w:val="22"/>
    </w:rPr>
  </w:style>
  <w:style w:type="character" w:styleId="15">
    <w:name w:val="Emphasis"/>
    <w:basedOn w:val="14"/>
    <w:qFormat/>
    <w:uiPriority w:val="20"/>
    <w:rPr>
      <w:i/>
    </w:rPr>
  </w:style>
  <w:style w:type="paragraph" w:customStyle="1" w:styleId="16">
    <w:name w:val="一级标题"/>
    <w:basedOn w:val="1"/>
    <w:semiHidden/>
    <w:qFormat/>
    <w:uiPriority w:val="0"/>
    <w:pPr>
      <w:tabs>
        <w:tab w:val="left" w:pos="570"/>
        <w:tab w:val="left" w:pos="624"/>
      </w:tabs>
      <w:spacing w:line="360" w:lineRule="auto"/>
      <w:ind w:left="624" w:hanging="454"/>
    </w:pPr>
    <w:rPr>
      <w:rFonts w:ascii="Calibri" w:hAnsi="Calibri"/>
      <w:sz w:val="28"/>
    </w:rPr>
  </w:style>
  <w:style w:type="paragraph" w:customStyle="1" w:styleId="17">
    <w:name w:val="样式 正文文本缩进 + 行距: 1.5 倍行距"/>
    <w:basedOn w:val="1"/>
    <w:qFormat/>
    <w:uiPriority w:val="0"/>
    <w:pPr>
      <w:spacing w:after="120" w:line="360" w:lineRule="auto"/>
      <w:ind w:left="90" w:leftChars="32" w:firstLine="560" w:firstLineChars="200"/>
    </w:pPr>
    <w:rPr>
      <w:rFonts w:ascii="Calibri" w:hAnsi="Calibri" w:eastAsia="宋体" w:cs="宋体"/>
      <w:szCs w:val="24"/>
    </w:rPr>
  </w:style>
  <w:style w:type="character" w:customStyle="1" w:styleId="18">
    <w:name w:val="正文缩进 字符"/>
    <w:link w:val="9"/>
    <w:qFormat/>
    <w:uiPriority w:val="0"/>
    <w:rPr>
      <w:rFonts w:eastAsia="仿宋_GB2312"/>
      <w:sz w:val="32"/>
      <w:szCs w:val="24"/>
    </w:rPr>
  </w:style>
  <w:style w:type="character" w:customStyle="1" w:styleId="19">
    <w:name w:val="正文文本缩进 字符"/>
    <w:basedOn w:val="14"/>
    <w:link w:val="3"/>
    <w:semiHidden/>
    <w:qFormat/>
    <w:uiPriority w:val="99"/>
    <w:rPr>
      <w:rFonts w:ascii="Times New Roman" w:hAnsi="Times New Roman" w:eastAsia="仿宋_GB2312" w:cs="Times New Roman"/>
      <w:sz w:val="32"/>
      <w:szCs w:val="24"/>
    </w:rPr>
  </w:style>
  <w:style w:type="character" w:customStyle="1" w:styleId="20">
    <w:name w:val="正文文本首行缩进 2 字符"/>
    <w:basedOn w:val="19"/>
    <w:link w:val="2"/>
    <w:semiHidden/>
    <w:qFormat/>
    <w:uiPriority w:val="99"/>
    <w:rPr>
      <w:rFonts w:ascii="Times New Roman" w:hAnsi="Times New Roman" w:eastAsia="仿宋_GB2312" w:cs="Times New Roman"/>
      <w:sz w:val="32"/>
      <w:szCs w:val="24"/>
    </w:rPr>
  </w:style>
  <w:style w:type="character" w:customStyle="1" w:styleId="21">
    <w:name w:val="日期 字符"/>
    <w:basedOn w:val="14"/>
    <w:link w:val="11"/>
    <w:semiHidden/>
    <w:qFormat/>
    <w:uiPriority w:val="99"/>
    <w:rPr>
      <w:rFonts w:ascii="Times New Roman" w:hAnsi="Times New Roman" w:eastAsia="仿宋_GB2312" w:cs="Times New Roman"/>
      <w:sz w:val="32"/>
      <w:szCs w:val="24"/>
    </w:rPr>
  </w:style>
  <w:style w:type="table" w:customStyle="1" w:styleId="22">
    <w:name w:val="Table Normal"/>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2266</Words>
  <Characters>2443</Characters>
  <Lines>14</Lines>
  <Paragraphs>4</Paragraphs>
  <TotalTime>0</TotalTime>
  <ScaleCrop>false</ScaleCrop>
  <LinksUpToDate>false</LinksUpToDate>
  <CharactersWithSpaces>2512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2022-09-08T09:22:00Z</dcterms:created>
  <dc:creator>微软用户</dc:creator>
  <cp:lastModifiedBy>Administrator</cp:lastModifiedBy>
  <cp:lastPrinted>2022-12-12T10:39:00Z</cp:lastPrinted>
  <dcterms:modified xsi:type="dcterms:W3CDTF">2024-06-13T06:40:53Z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8F96E6736C7246B0ABEB6D5F2579F6D0_13</vt:lpwstr>
  </property>
</Properties>
</file>