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</w:rPr>
        <w:t>鄂尔多斯市能源局等4家单位所属事业单位2023年“走出去”引进高层次人才及鄂尔多斯市融媒体中心等3家单位公开引进高层次人才在线面试操作指南</w:t>
      </w:r>
    </w:p>
    <w:p>
      <w:pPr>
        <w:jc w:val="center"/>
        <w:rPr>
          <w:b/>
          <w:sz w:val="48"/>
          <w:szCs w:val="48"/>
        </w:rPr>
      </w:pPr>
    </w:p>
    <w:p>
      <w:pPr>
        <w:pStyle w:val="2"/>
        <w:numPr>
          <w:ilvl w:val="0"/>
          <w:numId w:val="1"/>
        </w:numPr>
        <w:spacing w:before="240" w:after="240" w:line="36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t>面试相关安排</w:t>
      </w:r>
    </w:p>
    <w:p>
      <w:pPr>
        <w:pStyle w:val="19"/>
        <w:spacing w:before="156" w:beforeLines="50" w:after="156" w:afterLines="50"/>
        <w:ind w:firstLine="560" w:firstLineChars="20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color w:val="auto"/>
          <w:kern w:val="2"/>
          <w:sz w:val="28"/>
          <w:szCs w:val="22"/>
        </w:rPr>
        <w:t>本次面试采用在线面试的方式进行。</w:t>
      </w:r>
    </w:p>
    <w:p>
      <w:pPr>
        <w:pStyle w:val="19"/>
        <w:numPr>
          <w:ilvl w:val="0"/>
          <w:numId w:val="2"/>
        </w:numPr>
        <w:spacing w:before="156" w:beforeLines="50" w:after="156" w:afterLines="5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面试时间</w:t>
      </w:r>
    </w:p>
    <w:p>
      <w:pPr>
        <w:pStyle w:val="19"/>
        <w:spacing w:before="156" w:beforeLines="50" w:after="156" w:afterLines="50"/>
        <w:ind w:firstLine="562" w:firstLineChars="20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模拟练习：</w:t>
      </w:r>
      <w:r>
        <w:rPr>
          <w:rFonts w:hint="eastAsia" w:eastAsia="仿宋" w:cstheme="minorBidi"/>
          <w:color w:val="auto"/>
          <w:kern w:val="2"/>
          <w:sz w:val="28"/>
          <w:szCs w:val="22"/>
        </w:rPr>
        <w:t>2023年04月18日（周二）上午</w:t>
      </w:r>
    </w:p>
    <w:p>
      <w:pPr>
        <w:pStyle w:val="19"/>
        <w:spacing w:before="156" w:beforeLines="50" w:after="156" w:afterLines="50"/>
        <w:ind w:left="56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练习</w:t>
      </w:r>
      <w:r>
        <w:rPr>
          <w:rFonts w:eastAsia="仿宋" w:cstheme="minorBidi"/>
          <w:b/>
          <w:color w:val="auto"/>
          <w:kern w:val="2"/>
          <w:sz w:val="28"/>
          <w:szCs w:val="22"/>
        </w:rPr>
        <w:t>时间：</w:t>
      </w: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 xml:space="preserve"> 09:00-11:00</w:t>
      </w:r>
    </w:p>
    <w:p>
      <w:pPr>
        <w:pStyle w:val="19"/>
        <w:spacing w:before="156" w:beforeLines="50" w:after="156" w:afterLines="50"/>
        <w:ind w:firstLine="562" w:firstLineChars="20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正式面试：</w:t>
      </w:r>
      <w:r>
        <w:rPr>
          <w:rFonts w:hint="eastAsia" w:eastAsia="仿宋" w:cstheme="minorBidi"/>
          <w:color w:val="auto"/>
          <w:kern w:val="2"/>
          <w:sz w:val="28"/>
          <w:szCs w:val="22"/>
        </w:rPr>
        <w:t>2023年04月18日（周二）下午</w:t>
      </w:r>
    </w:p>
    <w:p>
      <w:pPr>
        <w:pStyle w:val="19"/>
        <w:spacing w:before="156" w:beforeLines="50" w:after="156" w:afterLines="50"/>
        <w:ind w:firstLine="562" w:firstLineChars="20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登录：14:00-14:50</w:t>
      </w:r>
    </w:p>
    <w:p>
      <w:pPr>
        <w:pStyle w:val="19"/>
        <w:spacing w:before="156" w:beforeLines="50" w:after="156" w:afterLines="50"/>
        <w:ind w:firstLine="562" w:firstLineChars="20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作答：15:00-15:08</w:t>
      </w:r>
    </w:p>
    <w:p>
      <w:pPr>
        <w:pStyle w:val="19"/>
        <w:spacing w:before="156" w:beforeLines="50" w:after="156" w:afterLines="50"/>
        <w:ind w:left="56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面试时长：8分钟</w:t>
      </w:r>
    </w:p>
    <w:p>
      <w:pPr>
        <w:pStyle w:val="19"/>
        <w:spacing w:before="156" w:beforeLines="50" w:after="156" w:afterLines="50"/>
        <w:ind w:left="56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交卷时间：考生不允许提前交卷</w:t>
      </w:r>
    </w:p>
    <w:p>
      <w:pPr>
        <w:pStyle w:val="19"/>
        <w:numPr>
          <w:ilvl w:val="0"/>
          <w:numId w:val="2"/>
        </w:numPr>
        <w:spacing w:before="156" w:beforeLines="50" w:after="156" w:afterLines="5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面试形式</w:t>
      </w:r>
    </w:p>
    <w:p>
      <w:pPr>
        <w:pStyle w:val="19"/>
        <w:spacing w:before="156" w:beforeLines="50" w:after="156" w:afterLines="50"/>
        <w:ind w:left="128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color w:val="auto"/>
          <w:kern w:val="2"/>
          <w:sz w:val="28"/>
          <w:szCs w:val="22"/>
        </w:rPr>
        <w:t>线上闭卷面试、双路视频、面试客户端</w:t>
      </w:r>
    </w:p>
    <w:p>
      <w:pPr>
        <w:pStyle w:val="19"/>
        <w:numPr>
          <w:ilvl w:val="0"/>
          <w:numId w:val="2"/>
        </w:numPr>
        <w:spacing w:before="156" w:beforeLines="50" w:after="156" w:afterLines="5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登录方式</w:t>
      </w:r>
    </w:p>
    <w:p>
      <w:pPr>
        <w:pStyle w:val="19"/>
        <w:spacing w:before="156" w:beforeLines="50" w:after="156" w:afterLines="50"/>
        <w:ind w:left="128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eastAsia="仿宋" w:cstheme="minorBidi"/>
          <w:color w:val="auto"/>
          <w:kern w:val="2"/>
          <w:sz w:val="28"/>
          <w:szCs w:val="22"/>
        </w:rPr>
        <w:t>考生姓名</w:t>
      </w:r>
      <w:r>
        <w:rPr>
          <w:rFonts w:hint="eastAsia" w:eastAsia="仿宋" w:cstheme="minorBidi"/>
          <w:color w:val="auto"/>
          <w:kern w:val="2"/>
          <w:sz w:val="28"/>
          <w:szCs w:val="22"/>
        </w:rPr>
        <w:t>+身份证号码登录</w:t>
      </w:r>
    </w:p>
    <w:p>
      <w:pPr>
        <w:pStyle w:val="2"/>
        <w:numPr>
          <w:ilvl w:val="0"/>
          <w:numId w:val="1"/>
        </w:numPr>
        <w:spacing w:before="240" w:after="240" w:line="36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t>考生面试环境准备要求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考前考生须自行准备面试场地和面试设备，面试设备包含“面试使用的设备”以及“</w:t>
      </w:r>
      <w:r>
        <w:rPr>
          <w:rFonts w:hint="eastAsia" w:ascii="仿宋" w:hAnsi="仿宋" w:eastAsia="仿宋" w:cs="仿宋"/>
          <w:bCs/>
          <w:sz w:val="28"/>
          <w:szCs w:val="28"/>
        </w:rPr>
        <w:t>用作旁路第二视角监控的设备</w:t>
      </w:r>
      <w:r>
        <w:rPr>
          <w:rFonts w:hint="eastAsia" w:ascii="仿宋" w:hAnsi="仿宋" w:eastAsia="仿宋" w:cs="仿宋"/>
          <w:sz w:val="28"/>
          <w:szCs w:val="28"/>
        </w:rPr>
        <w:t>”。考前监考员可通过远程监控检查考生环境情况。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（一）面试场地环境及考生着装要求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考生所在的面试环境应为光线充足、封闭、无其他人、无外界干扰的安静场所，考生端坐在距离摄像头50cm（误差不超过</w:t>
      </w:r>
      <w:r>
        <w:rPr>
          <w:rFonts w:hint="eastAsia" w:ascii="仿宋" w:hAnsi="仿宋" w:eastAsia="仿宋" w:cs="仿宋"/>
          <w:sz w:val="28"/>
          <w:szCs w:val="28"/>
          <w:rtl/>
        </w:rPr>
        <w:t>±</w:t>
      </w:r>
      <w:r>
        <w:rPr>
          <w:rFonts w:hint="eastAsia" w:ascii="仿宋" w:hAnsi="仿宋" w:eastAsia="仿宋" w:cs="仿宋"/>
          <w:sz w:val="28"/>
          <w:szCs w:val="28"/>
        </w:rPr>
        <w:t>5cm），着白色或浅色无领上衣，面试时将五官清楚显露，不得佩戴首饰（如发卡、耳环、项链等），头发不要遮挡眉毛，鬓角头发须掖至耳后，不允许化浓妆，长发考生须将头发绑起。面试背景须保持整洁，考生须要保证双手及肩部以上全部呈现在摄像头可视范围内。面试设备四周光线充足、均匀，避免监控画面过暗或过亮。</w:t>
      </w:r>
    </w:p>
    <w:p>
      <w:pPr>
        <w:spacing w:line="312" w:lineRule="auto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2448560" cy="3323590"/>
            <wp:effectExtent l="0" t="0" r="8890" b="0"/>
            <wp:docPr id="1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026" cy="334675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（二）面试设备</w:t>
      </w:r>
    </w:p>
    <w:p>
      <w:pPr>
        <w:ind w:left="420" w:left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1.用于面试使用的设备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（1）推荐使用具备正常上网功能的台式电脑或笔记本电脑，电脑上须安装“在线考试客户端”软件。</w:t>
      </w:r>
    </w:p>
    <w:p>
      <w:pPr>
        <w:spacing w:line="312" w:lineRule="auto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“在线面试客户端”软件下载链接：</w:t>
      </w:r>
      <w:r>
        <w:fldChar w:fldCharType="begin"/>
      </w:r>
      <w:r>
        <w:instrText xml:space="preserve"> HYPERLINK "https://oa.kaoshi.zfoline.net/" \l "/registry/download?organization=08dad65c-4ff2-4575-8e9e-3b16feb73707" </w:instrText>
      </w:r>
      <w:r>
        <w:fldChar w:fldCharType="separate"/>
      </w:r>
      <w:r>
        <w:rPr>
          <w:rStyle w:val="12"/>
          <w:rFonts w:ascii="仿宋" w:hAnsi="仿宋" w:eastAsia="仿宋" w:cs="仿宋"/>
          <w:sz w:val="28"/>
          <w:szCs w:val="28"/>
        </w:rPr>
        <w:t>https://oa.kaoshi.zfoline.net/#/registry/download?organization=08dad65c-4ff2-4575-8e9e-3b16feb73707</w:t>
      </w:r>
      <w:r>
        <w:rPr>
          <w:rStyle w:val="12"/>
          <w:rFonts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（2）面试设备应具备可正常工作的摄像设备（内置或外置摄像头均可）和音频输入、输出设备。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（3）面试期间将全程使用摄像头，须确保电脑摄像头开启无遮挡。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（4）如使用笔记本电脑或平板电脑，请保持电量充足，建议全程使用外接电源。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（5）打开在线面试前，建议关闭电脑上与面试无关的应用软件，包括弹窗广告软件、360安全卫士、360杀毒、电脑管家及其他各类通讯软件，避免这些软件弹窗导致被面试系统判定为作弊。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2.用作旁路第二视角监控的设备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（1）推荐使用带正常上网功能的智能手机或平板设备，须带有可正常工作的摄像头，且保持电量充足。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（2）手机或平板支架：将智能手机或平板设备固定摆放，便于按监控视角要求调整到合适的位置和高度。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（3）第二视角旁路监控设备摄像头建议架设在面试设备的侧后方、距离1.5米-2米处、摄像头高度1.2-1.5米，与面试位置成45度角，如下图所示：</w: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仿宋"/>
        </w:rPr>
      </w:pPr>
      <w:r>
        <w:drawing>
          <wp:inline distT="0" distB="0" distL="0" distR="0">
            <wp:extent cx="2567940" cy="3418840"/>
            <wp:effectExtent l="0" t="0" r="3810" b="0"/>
            <wp:docPr id="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3007" cy="3438678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（4）第二视角旁路监控设备架设好以后，可以使用前置摄像头的拍照功能，查看监控效果、调试监控角度。确认监控摄像头正常工作无遮挡，监控范围覆盖</w:t>
      </w:r>
      <w:r>
        <w:rPr>
          <w:rFonts w:hint="eastAsia" w:ascii="仿宋" w:hAnsi="仿宋" w:eastAsia="仿宋" w:cs="仿宋"/>
          <w:b/>
          <w:sz w:val="28"/>
          <w:szCs w:val="28"/>
        </w:rPr>
        <w:t>考生完整侧面人像（双手可见）、桌面物品摆放情况、完整的面试设备、答题设备的屏幕、以及考生周边环境</w:t>
      </w:r>
      <w:r>
        <w:rPr>
          <w:rFonts w:hint="eastAsia" w:ascii="仿宋" w:hAnsi="仿宋" w:eastAsia="仿宋" w:cs="仿宋"/>
          <w:sz w:val="28"/>
          <w:szCs w:val="28"/>
        </w:rPr>
        <w:t>。保证面试区域光线均匀充足，避免监控画面过暗或过亮，导致监控效果不佳被判定为违纪，如下图所示：</w: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仿宋"/>
        </w:rPr>
      </w:pPr>
      <w:r>
        <w:drawing>
          <wp:inline distT="0" distB="0" distL="0" distR="0">
            <wp:extent cx="3611245" cy="2708910"/>
            <wp:effectExtent l="0" t="0" r="8255" b="0"/>
            <wp:docPr id="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270891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3.网络条件要求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（1）面试场所应有稳定的网络条件，支持面试设备和监控设备同时联网。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（2）网络带宽不低于20Mbps，建议使用带宽50Mbps或以上的独立带宽网络；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上传速度不低于2MB/s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spacing w:line="312" w:lineRule="auto"/>
        <w:jc w:val="center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（3）建议考生准备4G\5G等手机移动网络作为备用网络，并事先做好调试，以便出现网络故障时能迅速切换备用网络继续面试。</w:t>
      </w:r>
      <w:r>
        <w:br w:type="textWrapping"/>
      </w:r>
    </w:p>
    <w:p>
      <w:pPr>
        <w:pStyle w:val="2"/>
        <w:numPr>
          <w:ilvl w:val="0"/>
          <w:numId w:val="1"/>
        </w:numPr>
        <w:spacing w:before="240" w:after="240" w:line="36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t>考生线上面试操作指引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（一）登录在线面试系统及人证核验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1.考生必须在电脑上运行“在线面试系统”，选择对应面试任务之后，首先进行设备检测，检测电脑设备是否符合面试要求，如图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所示，设备检测通过之后输入考生报名时的姓名、身份证号码登录，如图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spacing w:line="360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5263515" cy="2966085"/>
            <wp:effectExtent l="0" t="0" r="0" b="5715"/>
            <wp:docPr id="7" name="图片 31" descr="842a25527438dc7b44098432da6df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1" descr="842a25527438dc7b44098432da6df8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60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4890135" cy="2743200"/>
            <wp:effectExtent l="0" t="0" r="5715" b="0"/>
            <wp:docPr id="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274320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登录后，进入考生身份核验界面，通过手机微信扫码进行“人证核验”（按照页面提示进行操作），如图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4277995" cy="2409190"/>
            <wp:effectExtent l="0" t="0" r="8255" b="0"/>
            <wp:docPr id="1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240919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263515" cy="3077210"/>
            <wp:effectExtent l="0" t="0" r="0" b="8890"/>
            <wp:docPr id="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7721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（二）开启旁路监控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1.“人证核验”通过后，使用移动端监控设备扫描面试界面显示对应二维码或识别码－输入个人信息－设备检测－登录（需先登录移动端旁路监控后才能登录作答系统）。具体操作如下图</w:t>
      </w:r>
      <w:r>
        <w:rPr>
          <w:rFonts w:ascii="仿宋" w:hAnsi="仿宋" w:eastAsia="仿宋" w:cs="仿宋"/>
          <w:sz w:val="28"/>
          <w:szCs w:val="28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6</w:t>
      </w:r>
      <w:r>
        <w:rPr>
          <w:rFonts w:hint="eastAsia" w:ascii="仿宋" w:hAnsi="仿宋" w:eastAsia="仿宋" w:cs="仿宋"/>
          <w:sz w:val="28"/>
          <w:szCs w:val="28"/>
        </w:rPr>
        <w:t>所示。</w:t>
      </w:r>
    </w:p>
    <w:p>
      <w:pPr>
        <w:spacing w:line="312" w:lineRule="auto"/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注意：以下呈现的所有二维码仅供展示，请以实际面试中获取的二维码为准。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3991610" cy="2242185"/>
            <wp:effectExtent l="0" t="0" r="8890" b="5715"/>
            <wp:docPr id="1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24218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28"/>
          <w:szCs w:val="28"/>
        </w:rPr>
        <w:drawing>
          <wp:inline distT="0" distB="0" distL="0" distR="0">
            <wp:extent cx="5263515" cy="2917825"/>
            <wp:effectExtent l="0" t="0" r="0" b="0"/>
            <wp:docPr id="17" name="图片 25" descr="1944ba8d47d3e801e2b850eecde99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5" descr="1944ba8d47d3e801e2b850eecde992e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1782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6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2.登录移动端“旁路监控”后，需用前置摄像头360度环绕拍摄面试环境，随后将移动端监控设备固定在能够拍摄到考生桌面、考生电脑桌面、周围环境及考生行为的位置上继续拍摄。如下图</w:t>
      </w:r>
      <w:r>
        <w:rPr>
          <w:rFonts w:ascii="仿宋" w:hAnsi="仿宋" w:eastAsia="仿宋" w:cs="仿宋"/>
          <w:sz w:val="28"/>
          <w:szCs w:val="28"/>
        </w:rPr>
        <w:t>7</w:t>
      </w:r>
      <w:r>
        <w:rPr>
          <w:rFonts w:hint="eastAsia" w:ascii="仿宋" w:hAnsi="仿宋" w:eastAsia="仿宋" w:cs="仿宋"/>
          <w:sz w:val="28"/>
          <w:szCs w:val="28"/>
        </w:rPr>
        <w:t>所示。具体要求可参考P2-P4</w:t>
      </w:r>
      <w:r>
        <w:fldChar w:fldCharType="begin"/>
      </w:r>
      <w:r>
        <w:instrText xml:space="preserve"> HYPERLINK "file:///C:\\Users\\Wu\\Desktop\\广东省财政厅\\0511新\\公告附件1：线上笔试操作流程说明.docx" \l "_第二视角鹰眼监控的架设" </w:instrText>
      </w:r>
      <w: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第二视角旁路监控架设要求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spacing w:line="360" w:lineRule="auto"/>
        <w:ind w:firstLine="42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325620" cy="2941955"/>
            <wp:effectExtent l="0" t="0" r="0" b="0"/>
            <wp:docPr id="1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294195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7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（三）进入面试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1.登录旁路监控后，点击“我已开启旁路”按钮，进入考生个人信息核对页面，如图</w:t>
      </w:r>
      <w:r>
        <w:rPr>
          <w:rFonts w:ascii="仿宋" w:hAnsi="仿宋" w:eastAsia="仿宋" w:cs="仿宋"/>
          <w:sz w:val="28"/>
          <w:szCs w:val="28"/>
        </w:rPr>
        <w:t>8</w:t>
      </w:r>
      <w:r>
        <w:rPr>
          <w:rFonts w:hint="eastAsia" w:ascii="仿宋" w:hAnsi="仿宋" w:eastAsia="仿宋" w:cs="仿宋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3991610" cy="2242185"/>
            <wp:effectExtent l="0" t="0" r="8890" b="5715"/>
            <wp:docPr id="2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24218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8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4850130" cy="3379470"/>
            <wp:effectExtent l="0" t="0" r="762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337947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点击“进入面试”按钮，进入到我已阅读界面，阅读考生须知并确认，如图1</w:t>
      </w:r>
      <w:r>
        <w:rPr>
          <w:rFonts w:ascii="仿宋" w:hAnsi="仿宋" w:eastAsia="仿宋" w:cs="仿宋"/>
          <w:sz w:val="28"/>
          <w:szCs w:val="28"/>
        </w:rPr>
        <w:t>0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263515" cy="2966085"/>
            <wp:effectExtent l="0" t="0" r="0" b="5715"/>
            <wp:docPr id="25" name="图片 21" descr="10555aa8cd83f4c2d355ffd3b042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10555aa8cd83f4c2d355ffd3b04258e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（图1</w:t>
      </w:r>
      <w:r>
        <w:rPr>
          <w:rFonts w:ascii="仿宋" w:hAnsi="仿宋" w:eastAsia="仿宋" w:cs="仿宋"/>
          <w:sz w:val="28"/>
          <w:szCs w:val="28"/>
        </w:rPr>
        <w:t>0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（四）答题及交卷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1.点击“我已知悉并同意”，等待开考时间到，系统进入作答界面，考生开始作答，如下图1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所示。</w: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4310" cy="2966720"/>
            <wp:effectExtent l="0" t="0" r="2540" b="508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（图1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2.考生作答完毕后，点击作答界面右上角“交卷”按钮，系统会对其作答进度进行核查并弹出“交卷提醒”对话框，如下图1</w:t>
      </w:r>
      <w:r>
        <w:rPr>
          <w:rFonts w:ascii="仿宋" w:hAnsi="仿宋" w:eastAsia="仿宋" w:cs="仿宋"/>
          <w:sz w:val="28"/>
          <w:szCs w:val="28"/>
        </w:rPr>
        <w:t>2、图</w:t>
      </w:r>
      <w:r>
        <w:rPr>
          <w:rFonts w:hint="eastAsia" w:ascii="仿宋" w:hAnsi="仿宋" w:eastAsia="仿宋" w:cs="仿宋"/>
          <w:sz w:val="28"/>
          <w:szCs w:val="28"/>
        </w:rPr>
        <w:t>13所示。</w:t>
      </w:r>
    </w:p>
    <w:p>
      <w:pPr>
        <w:spacing w:line="312" w:lineRule="auto"/>
        <w:ind w:firstLine="420" w:firstLineChars="200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4310" cy="2966720"/>
            <wp:effectExtent l="0" t="0" r="2540" b="508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（图12）</w:t>
      </w:r>
    </w:p>
    <w:p>
      <w:pPr>
        <w:spacing w:line="312" w:lineRule="auto"/>
        <w:ind w:firstLine="420" w:firstLineChars="200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4310" cy="4281805"/>
            <wp:effectExtent l="0" t="0" r="2540" b="444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1908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（图13）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3.考生确认交卷之后会提示交卷成功。显示交卷成功即表示面试结束，可直接关闭“在线面试系统”和“旁路监控”程序。如下图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4所示。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064760" cy="3156585"/>
            <wp:effectExtent l="0" t="0" r="2540" b="571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315658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4）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4.面试过程中，电脑的摄像头保持正面面对考生。建议考生的完整的头部、肩部处在监控范围内，并露出双耳，如下图15所示。面试设备四周光线充足、均匀，避免监控画面过暗或过亮。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4572000" cy="2011680"/>
            <wp:effectExtent l="0" t="0" r="0" b="762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1168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5）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（五）客服支持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1、在线面试系统，如果遇到设备或操作等技术问题，可点击页面右侧“在线客服”获取帮助，如下图16所示。</w:t>
      </w:r>
    </w:p>
    <w:p>
      <w:pPr>
        <w:spacing w:line="312" w:lineRule="auto"/>
        <w:jc w:val="center"/>
        <w:rPr>
          <w:rFonts w:ascii="仿宋" w:hAnsi="仿宋" w:eastAsia="仿宋"/>
        </w:rPr>
      </w:pPr>
      <w:r>
        <w:drawing>
          <wp:inline distT="0" distB="0" distL="0" distR="0">
            <wp:extent cx="5113655" cy="2876550"/>
            <wp:effectExtent l="0" t="0" r="0" b="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3867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6）</w:t>
      </w:r>
    </w:p>
    <w:p>
      <w:pPr>
        <w:spacing w:line="312" w:lineRule="auto"/>
        <w:ind w:firstLine="562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特别提醒：技术支持仅解答面试系统相关的问题；严禁向技术支持透露或咨询与面试内容有关的问题。关于面试资格、面试成绩、合格线等非面试系统问题，考生另行咨询招聘单位。</w:t>
      </w:r>
    </w:p>
    <w:p>
      <w:pPr>
        <w:numPr>
          <w:ilvl w:val="0"/>
          <w:numId w:val="3"/>
        </w:numPr>
        <w:spacing w:line="312" w:lineRule="auto"/>
        <w:jc w:val="left"/>
      </w:pPr>
      <w:r>
        <w:rPr>
          <w:rFonts w:hint="eastAsia" w:ascii="仿宋" w:hAnsi="仿宋" w:eastAsia="仿宋"/>
          <w:sz w:val="28"/>
          <w:szCs w:val="28"/>
        </w:rPr>
        <w:t>技术客服联系方式：</w:t>
      </w:r>
      <w:r>
        <w:rPr>
          <w:rFonts w:ascii="仿宋" w:hAnsi="仿宋" w:eastAsia="仿宋"/>
          <w:sz w:val="28"/>
          <w:szCs w:val="28"/>
        </w:rPr>
        <w:t>010-64268284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5CC3638A-A2A3-4DD4-B34A-F2E62B704BF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2B4C1487-6844-4716-82D4-70C295115EE8}"/>
  </w:font>
  <w:font w:name="方正小标宋简体">
    <w:panose1 w:val="02000000000000000000"/>
    <w:charset w:val="86"/>
    <w:family w:val="auto"/>
    <w:pitch w:val="default"/>
    <w:sig w:usb0="800002BF" w:usb1="184F6CF8" w:usb2="00000012" w:usb3="00000000" w:csb0="00160001" w:csb1="12030000"/>
    <w:embedRegular r:id="rId3" w:fontKey="{64DF0DA8-2A0D-42A4-822C-B94F0CD21F8D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4" w:fontKey="{B0571B1D-4F60-4A07-B398-DA005987C7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F743C3"/>
    <w:multiLevelType w:val="multilevel"/>
    <w:tmpl w:val="24F743C3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94B431B"/>
    <w:multiLevelType w:val="multilevel"/>
    <w:tmpl w:val="394B431B"/>
    <w:lvl w:ilvl="0" w:tentative="0">
      <w:start w:val="1"/>
      <w:numFmt w:val="chineseCountingThousand"/>
      <w:lvlText w:val="(%1)"/>
      <w:lvlJc w:val="left"/>
      <w:pPr>
        <w:ind w:left="980" w:hanging="420"/>
      </w:p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62A303F2"/>
    <w:multiLevelType w:val="singleLevel"/>
    <w:tmpl w:val="62A303F2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4NjllYjA5ODI1ZDNhOGVhZDE2NzI2NjM5N2UyOGQifQ=="/>
  </w:docVars>
  <w:rsids>
    <w:rsidRoot w:val="005B71F2"/>
    <w:rsid w:val="00037D00"/>
    <w:rsid w:val="000924D4"/>
    <w:rsid w:val="00143572"/>
    <w:rsid w:val="001B17F9"/>
    <w:rsid w:val="001D1B83"/>
    <w:rsid w:val="001E51B2"/>
    <w:rsid w:val="001E594F"/>
    <w:rsid w:val="00283429"/>
    <w:rsid w:val="00286649"/>
    <w:rsid w:val="002D1219"/>
    <w:rsid w:val="00392BDE"/>
    <w:rsid w:val="003F4078"/>
    <w:rsid w:val="004111B5"/>
    <w:rsid w:val="004176D6"/>
    <w:rsid w:val="0044067A"/>
    <w:rsid w:val="00451798"/>
    <w:rsid w:val="004F48CF"/>
    <w:rsid w:val="00510B4A"/>
    <w:rsid w:val="00550C71"/>
    <w:rsid w:val="005B71F2"/>
    <w:rsid w:val="00662BC3"/>
    <w:rsid w:val="00687841"/>
    <w:rsid w:val="0079017F"/>
    <w:rsid w:val="007A5E78"/>
    <w:rsid w:val="007E6666"/>
    <w:rsid w:val="0083040C"/>
    <w:rsid w:val="008532B7"/>
    <w:rsid w:val="00873525"/>
    <w:rsid w:val="008A3122"/>
    <w:rsid w:val="008A7466"/>
    <w:rsid w:val="008B100B"/>
    <w:rsid w:val="008D7A12"/>
    <w:rsid w:val="008E372F"/>
    <w:rsid w:val="009424CA"/>
    <w:rsid w:val="009C3877"/>
    <w:rsid w:val="00A15BD6"/>
    <w:rsid w:val="00A96248"/>
    <w:rsid w:val="00AA77CB"/>
    <w:rsid w:val="00AE188C"/>
    <w:rsid w:val="00B377A9"/>
    <w:rsid w:val="00BC3E20"/>
    <w:rsid w:val="00BD445F"/>
    <w:rsid w:val="00BE3350"/>
    <w:rsid w:val="00C21122"/>
    <w:rsid w:val="00C4681B"/>
    <w:rsid w:val="00C52D70"/>
    <w:rsid w:val="00C655F1"/>
    <w:rsid w:val="00C84CB6"/>
    <w:rsid w:val="00D04A09"/>
    <w:rsid w:val="00D107AE"/>
    <w:rsid w:val="00D3671F"/>
    <w:rsid w:val="00D959B9"/>
    <w:rsid w:val="00DA16F8"/>
    <w:rsid w:val="00DB150B"/>
    <w:rsid w:val="00DB1C3B"/>
    <w:rsid w:val="00DD1DB4"/>
    <w:rsid w:val="00E4796B"/>
    <w:rsid w:val="00E62351"/>
    <w:rsid w:val="00E930D3"/>
    <w:rsid w:val="00E96D01"/>
    <w:rsid w:val="00ED77F0"/>
    <w:rsid w:val="00F211D3"/>
    <w:rsid w:val="00F44A02"/>
    <w:rsid w:val="00F52359"/>
    <w:rsid w:val="1FC00497"/>
    <w:rsid w:val="4F6772E6"/>
    <w:rsid w:val="608C1001"/>
    <w:rsid w:val="6AD947F0"/>
    <w:rsid w:val="7E3B5B15"/>
    <w:rsid w:val="7E5D5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pPr>
      <w:jc w:val="left"/>
    </w:pPr>
    <w:rPr>
      <w:rFonts w:eastAsia="黑体" w:asciiTheme="majorHAnsi" w:hAnsiTheme="majorHAnsi" w:cstheme="majorBidi"/>
      <w:kern w:val="0"/>
      <w:sz w:val="20"/>
      <w:szCs w:val="20"/>
    </w:rPr>
  </w:style>
  <w:style w:type="paragraph" w:styleId="6">
    <w:name w:val="Balloon Text"/>
    <w:basedOn w:val="1"/>
    <w:link w:val="17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FollowedHyperlink"/>
    <w:basedOn w:val="10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Char"/>
    <w:basedOn w:val="10"/>
    <w:link w:val="8"/>
    <w:uiPriority w:val="99"/>
    <w:rPr>
      <w:sz w:val="18"/>
      <w:szCs w:val="18"/>
    </w:rPr>
  </w:style>
  <w:style w:type="character" w:customStyle="1" w:styleId="14">
    <w:name w:val="页脚 Char"/>
    <w:basedOn w:val="10"/>
    <w:link w:val="7"/>
    <w:qFormat/>
    <w:uiPriority w:val="99"/>
    <w:rPr>
      <w:sz w:val="18"/>
      <w:szCs w:val="18"/>
    </w:rPr>
  </w:style>
  <w:style w:type="character" w:customStyle="1" w:styleId="15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Char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17">
    <w:name w:val="批注框文本 Char"/>
    <w:basedOn w:val="10"/>
    <w:link w:val="6"/>
    <w:semiHidden/>
    <w:qFormat/>
    <w:uiPriority w:val="99"/>
    <w:rPr>
      <w:sz w:val="18"/>
      <w:szCs w:val="18"/>
    </w:rPr>
  </w:style>
  <w:style w:type="character" w:customStyle="1" w:styleId="18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9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" w:hAnsi="仿宋" w:cs="仿宋" w:eastAsiaTheme="minorEastAsia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412</Words>
  <Characters>2351</Characters>
  <Lines>19</Lines>
  <Paragraphs>5</Paragraphs>
  <TotalTime>46</TotalTime>
  <ScaleCrop>false</ScaleCrop>
  <LinksUpToDate>false</LinksUpToDate>
  <CharactersWithSpaces>2758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2022-12-14T00:25:00Z</dcterms:created>
  <dc:creator>aa</dc:creator>
  <cp:lastModifiedBy>ucfuhic</cp:lastModifiedBy>
  <dcterms:modified xsi:type="dcterms:W3CDTF">2023-04-14T02:13:32Z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3FA22308A5DB4A4FB1DAA20628056949_13</vt:lpwstr>
  </property>
</Properties>
</file>