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widowControl w:val="0"/>
        <w:pBdr>
          <w:bottom w:val="none" w:color="auto" w:sz="0" w:space="0"/>
        </w:pBdr>
        <w:wordWrap/>
        <w:adjustRightInd/>
        <w:snapToGrid/>
        <w:spacing w:line="480" w:lineRule="exact"/>
        <w:ind w:left="0" w:leftChars="0"/>
        <w:jc w:val="both"/>
        <w:textAlignment w:val="auto"/>
        <w:rPr>
          <w:rFonts w:hint="default" w:ascii="黑体" w:eastAsia="黑体"/>
          <w:color w:val="000000"/>
          <w:spacing w:val="12"/>
          <w:w w:val="100"/>
          <w:sz w:val="30"/>
          <w:szCs w:val="30"/>
          <w:lang w:val="en-US"/>
        </w:rPr>
      </w:pPr>
      <w:r>
        <w:rPr>
          <w:rFonts w:hint="eastAsia" w:ascii="黑体" w:eastAsia="黑体"/>
          <w:color w:val="000000"/>
          <w:spacing w:val="12"/>
          <w:w w:val="100"/>
          <w:sz w:val="30"/>
          <w:szCs w:val="30"/>
          <w:lang w:eastAsia="zh-CN"/>
        </w:rPr>
        <w:t>旗十八届人大</w:t>
      </w:r>
      <w:r>
        <w:rPr>
          <w:rFonts w:hint="eastAsia" w:ascii="黑体" w:eastAsia="黑体"/>
          <w:color w:val="000000"/>
          <w:spacing w:val="12"/>
          <w:w w:val="100"/>
          <w:sz w:val="30"/>
          <w:szCs w:val="30"/>
          <w:lang w:val="en-US" w:eastAsia="zh-CN"/>
        </w:rPr>
        <w:t>三</w:t>
      </w:r>
      <w:r>
        <w:rPr>
          <w:rFonts w:hint="eastAsia" w:ascii="黑体" w:eastAsia="黑体"/>
          <w:color w:val="000000"/>
          <w:spacing w:val="12"/>
          <w:w w:val="100"/>
          <w:sz w:val="30"/>
          <w:szCs w:val="30"/>
          <w:lang w:eastAsia="zh-CN"/>
        </w:rPr>
        <w:t>次</w:t>
      </w:r>
    </w:p>
    <w:p>
      <w:pPr>
        <w:pStyle w:val="7"/>
        <w:widowControl w:val="0"/>
        <w:pBdr>
          <w:bottom w:val="none" w:color="auto" w:sz="0" w:space="0"/>
        </w:pBdr>
        <w:wordWrap/>
        <w:adjustRightInd/>
        <w:snapToGrid/>
        <w:spacing w:line="480" w:lineRule="exact"/>
        <w:ind w:left="0" w:leftChars="0"/>
        <w:jc w:val="both"/>
        <w:textAlignment w:val="auto"/>
        <w:rPr>
          <w:rFonts w:hint="eastAsia" w:ascii="黑体" w:eastAsia="黑体"/>
          <w:color w:val="000000"/>
          <w:spacing w:val="0"/>
          <w:w w:val="100"/>
          <w:sz w:val="30"/>
          <w:szCs w:val="30"/>
        </w:rPr>
      </w:pPr>
      <w:r>
        <w:rPr>
          <w:rFonts w:hint="eastAsia" w:ascii="黑体" w:eastAsia="黑体"/>
          <w:color w:val="000000"/>
          <w:spacing w:val="0"/>
          <w:w w:val="100"/>
          <w:sz w:val="30"/>
          <w:szCs w:val="30"/>
          <w:lang w:val="en-US" w:eastAsia="zh-CN"/>
        </w:rPr>
        <w:t>会议</w:t>
      </w:r>
      <w:r>
        <w:rPr>
          <w:rFonts w:hint="eastAsia" w:ascii="黑体" w:eastAsia="黑体"/>
          <w:color w:val="000000"/>
          <w:spacing w:val="0"/>
          <w:w w:val="100"/>
          <w:sz w:val="30"/>
          <w:szCs w:val="30"/>
        </w:rPr>
        <w:t>文件（</w:t>
      </w:r>
      <w:r>
        <w:rPr>
          <w:rFonts w:hint="eastAsia" w:ascii="黑体" w:eastAsia="黑体"/>
          <w:color w:val="000000"/>
          <w:spacing w:val="0"/>
          <w:w w:val="100"/>
          <w:sz w:val="30"/>
          <w:szCs w:val="30"/>
          <w:lang w:val="en-US" w:eastAsia="zh-CN"/>
        </w:rPr>
        <w:t>二十三</w:t>
      </w:r>
      <w:r>
        <w:rPr>
          <w:rFonts w:hint="eastAsia" w:ascii="黑体" w:eastAsia="黑体"/>
          <w:color w:val="000000"/>
          <w:spacing w:val="0"/>
          <w:w w:val="100"/>
          <w:sz w:val="30"/>
          <w:szCs w:val="30"/>
        </w:rPr>
        <w:t>）</w:t>
      </w:r>
    </w:p>
    <w:p>
      <w:pPr>
        <w:pStyle w:val="7"/>
        <w:widowControl w:val="0"/>
        <w:pBdr>
          <w:bottom w:val="none" w:color="auto" w:sz="0" w:space="0"/>
        </w:pBdr>
        <w:wordWrap/>
        <w:adjustRightInd/>
        <w:spacing w:line="600" w:lineRule="exact"/>
        <w:ind w:left="0" w:leftChars="0"/>
        <w:jc w:val="both"/>
        <w:textAlignment w:val="auto"/>
        <w:rPr>
          <w:rFonts w:hint="eastAsia" w:ascii="黑体" w:eastAsia="黑体"/>
          <w:color w:val="000000"/>
          <w:kern w:val="0"/>
          <w:sz w:val="30"/>
          <w:szCs w:val="30"/>
          <w:lang w:eastAsia="zh-CN"/>
        </w:rPr>
      </w:pPr>
    </w:p>
    <w:p>
      <w:pPr>
        <w:widowControl w:val="0"/>
        <w:wordWrap/>
        <w:overflowPunct w:val="0"/>
        <w:adjustRightInd/>
        <w:spacing w:line="600" w:lineRule="exact"/>
        <w:jc w:val="center"/>
        <w:textAlignment w:val="auto"/>
        <w:rPr>
          <w:rFonts w:hint="eastAsia" w:ascii="方正小标宋简体" w:hAnsi="方正小标宋简体" w:eastAsia="方正小标宋简体" w:cs="方正小标宋简体"/>
          <w:color w:val="000000"/>
          <w:spacing w:val="0"/>
          <w:kern w:val="0"/>
          <w:sz w:val="44"/>
          <w:szCs w:val="44"/>
          <w:highlight w:val="none"/>
        </w:rPr>
      </w:pPr>
      <w:r>
        <w:rPr>
          <w:rFonts w:hint="eastAsia" w:ascii="方正小标宋简体" w:hAnsi="方正小标宋简体" w:eastAsia="方正小标宋简体" w:cs="方正小标宋简体"/>
          <w:color w:val="000000"/>
          <w:spacing w:val="0"/>
          <w:kern w:val="0"/>
          <w:sz w:val="44"/>
          <w:szCs w:val="44"/>
          <w:highlight w:val="none"/>
        </w:rPr>
        <w:t>政府工作报告</w:t>
      </w:r>
    </w:p>
    <w:p>
      <w:pPr>
        <w:widowControl w:val="0"/>
        <w:wordWrap/>
        <w:overflowPunct w:val="0"/>
        <w:adjustRightInd/>
        <w:spacing w:line="600" w:lineRule="exact"/>
        <w:jc w:val="center"/>
        <w:textAlignment w:val="auto"/>
        <w:rPr>
          <w:rFonts w:hint="eastAsia" w:ascii="方正小标宋简体" w:hAnsi="方正小标宋简体" w:eastAsia="方正小标宋简体" w:cs="方正小标宋简体"/>
          <w:color w:val="000000"/>
          <w:spacing w:val="0"/>
          <w:kern w:val="0"/>
          <w:sz w:val="44"/>
          <w:szCs w:val="44"/>
          <w:highlight w:val="none"/>
        </w:rPr>
      </w:pPr>
    </w:p>
    <w:p>
      <w:pPr>
        <w:widowControl w:val="0"/>
        <w:wordWrap/>
        <w:overflowPunct w:val="0"/>
        <w:adjustRightInd/>
        <w:spacing w:line="600" w:lineRule="exact"/>
        <w:jc w:val="center"/>
        <w:textAlignment w:val="auto"/>
        <w:rPr>
          <w:rFonts w:hint="eastAsia" w:ascii="楷体_GB2312" w:hAnsi="楷体_GB2312" w:eastAsia="楷体_GB2312" w:cs="楷体_GB2312"/>
          <w:color w:val="000000"/>
          <w:spacing w:val="0"/>
          <w:kern w:val="0"/>
          <w:sz w:val="32"/>
          <w:szCs w:val="48"/>
          <w:highlight w:val="none"/>
        </w:rPr>
      </w:pPr>
      <w:r>
        <w:rPr>
          <w:rFonts w:hint="eastAsia" w:ascii="黑体" w:hAnsi="黑体" w:eastAsia="黑体" w:cs="黑体"/>
          <w:color w:val="000000"/>
          <w:spacing w:val="0"/>
          <w:kern w:val="0"/>
          <w:sz w:val="32"/>
          <w:szCs w:val="48"/>
          <w:highlight w:val="none"/>
        </w:rPr>
        <w:t>——</w:t>
      </w:r>
      <w:r>
        <w:rPr>
          <w:rFonts w:hint="eastAsia" w:ascii="楷体_GB2312" w:hAnsi="楷体_GB2312" w:eastAsia="楷体_GB2312" w:cs="楷体_GB2312"/>
          <w:color w:val="000000"/>
          <w:spacing w:val="0"/>
          <w:kern w:val="0"/>
          <w:sz w:val="32"/>
          <w:szCs w:val="48"/>
          <w:highlight w:val="none"/>
        </w:rPr>
        <w:t>202</w:t>
      </w:r>
      <w:r>
        <w:rPr>
          <w:rFonts w:hint="eastAsia" w:ascii="楷体_GB2312" w:hAnsi="楷体_GB2312" w:eastAsia="楷体_GB2312" w:cs="楷体_GB2312"/>
          <w:color w:val="000000"/>
          <w:spacing w:val="0"/>
          <w:kern w:val="0"/>
          <w:sz w:val="32"/>
          <w:szCs w:val="48"/>
          <w:highlight w:val="none"/>
          <w:lang w:val="en-US" w:eastAsia="zh-CN"/>
        </w:rPr>
        <w:t>4</w:t>
      </w:r>
      <w:r>
        <w:rPr>
          <w:rFonts w:hint="eastAsia" w:ascii="楷体_GB2312" w:hAnsi="楷体_GB2312" w:eastAsia="楷体_GB2312" w:cs="楷体_GB2312"/>
          <w:color w:val="000000"/>
          <w:spacing w:val="0"/>
          <w:kern w:val="0"/>
          <w:sz w:val="32"/>
          <w:szCs w:val="48"/>
          <w:highlight w:val="none"/>
        </w:rPr>
        <w:t>年</w:t>
      </w:r>
      <w:r>
        <w:rPr>
          <w:rFonts w:hint="eastAsia" w:ascii="楷体_GB2312" w:hAnsi="楷体_GB2312" w:eastAsia="楷体_GB2312" w:cs="楷体_GB2312"/>
          <w:color w:val="000000"/>
          <w:spacing w:val="0"/>
          <w:kern w:val="0"/>
          <w:sz w:val="32"/>
          <w:szCs w:val="48"/>
          <w:highlight w:val="none"/>
          <w:lang w:val="en-US" w:eastAsia="zh-CN"/>
        </w:rPr>
        <w:t>1</w:t>
      </w:r>
      <w:r>
        <w:rPr>
          <w:rFonts w:hint="eastAsia" w:ascii="楷体_GB2312" w:hAnsi="楷体_GB2312" w:eastAsia="楷体_GB2312" w:cs="楷体_GB2312"/>
          <w:color w:val="000000"/>
          <w:spacing w:val="0"/>
          <w:kern w:val="0"/>
          <w:sz w:val="32"/>
          <w:szCs w:val="48"/>
          <w:highlight w:val="none"/>
        </w:rPr>
        <w:t>月</w:t>
      </w:r>
      <w:r>
        <w:rPr>
          <w:rFonts w:hint="eastAsia" w:ascii="楷体_GB2312" w:hAnsi="楷体_GB2312" w:eastAsia="楷体_GB2312" w:cs="楷体_GB2312"/>
          <w:color w:val="000000"/>
          <w:spacing w:val="0"/>
          <w:kern w:val="0"/>
          <w:sz w:val="32"/>
          <w:szCs w:val="48"/>
          <w:highlight w:val="none"/>
          <w:lang w:val="en-US" w:eastAsia="zh-CN"/>
        </w:rPr>
        <w:t>26日</w:t>
      </w:r>
      <w:r>
        <w:rPr>
          <w:rFonts w:hint="eastAsia" w:ascii="楷体_GB2312" w:hAnsi="楷体_GB2312" w:eastAsia="楷体_GB2312" w:cs="楷体_GB2312"/>
          <w:color w:val="000000"/>
          <w:spacing w:val="0"/>
          <w:kern w:val="0"/>
          <w:sz w:val="32"/>
          <w:szCs w:val="48"/>
          <w:highlight w:val="none"/>
        </w:rPr>
        <w:t>在鄂托克旗</w:t>
      </w:r>
    </w:p>
    <w:p>
      <w:pPr>
        <w:widowControl w:val="0"/>
        <w:wordWrap/>
        <w:overflowPunct w:val="0"/>
        <w:adjustRightInd/>
        <w:spacing w:line="600" w:lineRule="exact"/>
        <w:jc w:val="center"/>
        <w:textAlignment w:val="auto"/>
        <w:rPr>
          <w:rFonts w:ascii="楷体_GB2312" w:hAnsi="楷体_GB2312" w:eastAsia="楷体_GB2312" w:cs="楷体_GB2312"/>
          <w:color w:val="000000"/>
          <w:spacing w:val="0"/>
          <w:kern w:val="0"/>
          <w:sz w:val="32"/>
          <w:szCs w:val="48"/>
          <w:highlight w:val="none"/>
        </w:rPr>
      </w:pPr>
      <w:r>
        <w:rPr>
          <w:rFonts w:hint="eastAsia" w:ascii="楷体_GB2312" w:hAnsi="楷体_GB2312" w:eastAsia="楷体_GB2312" w:cs="楷体_GB2312"/>
          <w:color w:val="000000"/>
          <w:spacing w:val="0"/>
          <w:kern w:val="0"/>
          <w:sz w:val="32"/>
          <w:szCs w:val="48"/>
          <w:highlight w:val="none"/>
        </w:rPr>
        <w:t>第十八届人民代表大会第</w:t>
      </w:r>
      <w:r>
        <w:rPr>
          <w:rFonts w:hint="eastAsia" w:ascii="楷体_GB2312" w:hAnsi="楷体_GB2312" w:eastAsia="楷体_GB2312" w:cs="楷体_GB2312"/>
          <w:color w:val="000000"/>
          <w:spacing w:val="0"/>
          <w:kern w:val="0"/>
          <w:sz w:val="32"/>
          <w:szCs w:val="48"/>
          <w:highlight w:val="none"/>
          <w:lang w:val="en-US" w:eastAsia="zh-CN"/>
        </w:rPr>
        <w:t>三</w:t>
      </w:r>
      <w:r>
        <w:rPr>
          <w:rFonts w:hint="eastAsia" w:ascii="楷体_GB2312" w:hAnsi="楷体_GB2312" w:eastAsia="楷体_GB2312" w:cs="楷体_GB2312"/>
          <w:color w:val="000000"/>
          <w:spacing w:val="0"/>
          <w:kern w:val="0"/>
          <w:sz w:val="32"/>
          <w:szCs w:val="48"/>
          <w:highlight w:val="none"/>
        </w:rPr>
        <w:t>次会议上</w:t>
      </w:r>
    </w:p>
    <w:p>
      <w:pPr>
        <w:widowControl w:val="0"/>
        <w:wordWrap/>
        <w:overflowPunct w:val="0"/>
        <w:adjustRightInd w:val="0"/>
        <w:snapToGrid w:val="0"/>
        <w:spacing w:beforeAutospacing="0" w:line="600" w:lineRule="exact"/>
        <w:jc w:val="both"/>
        <w:textAlignment w:val="auto"/>
        <w:rPr>
          <w:rStyle w:val="4"/>
          <w:rFonts w:hint="eastAsia" w:ascii="仿宋_GB2312" w:hAnsi="仿宋_GB2312" w:eastAsia="仿宋_GB2312" w:cs="仿宋_GB2312"/>
          <w:b w:val="0"/>
          <w:bCs/>
          <w:spacing w:val="0"/>
          <w:kern w:val="0"/>
          <w:sz w:val="32"/>
          <w:lang w:val="en-US" w:eastAsia="zh-CN"/>
        </w:rPr>
      </w:pPr>
    </w:p>
    <w:p>
      <w:pPr>
        <w:widowControl w:val="0"/>
        <w:wordWrap/>
        <w:overflowPunct w:val="0"/>
        <w:adjustRightInd/>
        <w:spacing w:line="600" w:lineRule="exact"/>
        <w:jc w:val="center"/>
        <w:textAlignment w:val="auto"/>
        <w:rPr>
          <w:rFonts w:hint="default" w:ascii="方正小标宋简体" w:hAnsi="方正小标宋简体" w:eastAsia="方正小标宋简体" w:cs="方正小标宋简体"/>
          <w:color w:val="000000"/>
          <w:spacing w:val="0"/>
          <w:kern w:val="0"/>
          <w:sz w:val="44"/>
          <w:szCs w:val="44"/>
          <w:highlight w:val="none"/>
          <w:lang w:val="en-US"/>
        </w:rPr>
      </w:pPr>
      <w:r>
        <w:rPr>
          <w:rFonts w:hint="eastAsia" w:ascii="楷体_GB2312" w:hAnsi="楷体_GB2312" w:eastAsia="楷体_GB2312" w:cs="楷体_GB2312"/>
          <w:color w:val="000000"/>
          <w:spacing w:val="0"/>
          <w:kern w:val="0"/>
          <w:sz w:val="32"/>
          <w:szCs w:val="48"/>
          <w:highlight w:val="none"/>
          <w:lang w:val="en-US" w:eastAsia="zh-CN"/>
        </w:rPr>
        <w:t>代旗长  苏智雄</w:t>
      </w:r>
    </w:p>
    <w:p>
      <w:pPr>
        <w:pStyle w:val="15"/>
        <w:widowControl w:val="0"/>
        <w:wordWrap/>
        <w:spacing w:line="600" w:lineRule="exact"/>
        <w:ind w:left="0" w:leftChars="0" w:firstLine="0" w:firstLineChars="0"/>
        <w:jc w:val="center"/>
        <w:textAlignment w:val="auto"/>
        <w:rPr>
          <w:rFonts w:hint="eastAsia" w:ascii="黑体" w:hAnsi="黑体" w:eastAsia="黑体" w:cs="黑体"/>
          <w:color w:val="000000"/>
          <w:spacing w:val="0"/>
          <w:kern w:val="0"/>
          <w:sz w:val="32"/>
          <w:szCs w:val="48"/>
          <w:highlight w:val="none"/>
          <w:lang w:val="en-US" w:eastAsia="zh-CN"/>
        </w:rPr>
      </w:pPr>
    </w:p>
    <w:p>
      <w:pPr>
        <w:widowControl w:val="0"/>
        <w:wordWrap/>
        <w:overflowPunct w:val="0"/>
        <w:adjustRightInd w:val="0"/>
        <w:snapToGrid w:val="0"/>
        <w:spacing w:beforeAutospacing="0" w:line="600" w:lineRule="exact"/>
        <w:jc w:val="both"/>
        <w:textAlignment w:val="auto"/>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pPr>
      <w:r>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t>各位代表：</w:t>
      </w:r>
    </w:p>
    <w:p>
      <w:pPr>
        <w:widowControl w:val="0"/>
        <w:wordWrap/>
        <w:spacing w:line="600" w:lineRule="exact"/>
        <w:ind w:firstLine="640" w:firstLineChars="200"/>
        <w:textAlignment w:val="auto"/>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pPr>
      <w:r>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t>现在，我代表旗人民政府向大会报告工作，请予审议。并请旗政协委员和其他列席人员提出意见。</w:t>
      </w:r>
    </w:p>
    <w:p>
      <w:pPr>
        <w:widowControl w:val="0"/>
        <w:wordWrap/>
        <w:overflowPunct w:val="0"/>
        <w:adjustRightInd/>
        <w:snapToGrid/>
        <w:spacing w:line="600" w:lineRule="exact"/>
        <w:ind w:firstLine="640" w:firstLineChars="200"/>
        <w:jc w:val="both"/>
        <w:textAlignment w:val="auto"/>
        <w:rPr>
          <w:rStyle w:val="4"/>
          <w:rFonts w:hint="eastAsia" w:ascii="楷体_GB2312" w:hAnsi="楷体_GB2312" w:eastAsia="楷体_GB2312" w:cs="楷体_GB2312"/>
          <w:b w:val="0"/>
          <w:bCs/>
          <w:spacing w:val="0"/>
          <w:kern w:val="0"/>
          <w:sz w:val="32"/>
          <w:lang w:val="en-US" w:eastAsia="zh-CN"/>
        </w:rPr>
      </w:pPr>
      <w:r>
        <w:rPr>
          <w:rFonts w:hint="eastAsia" w:ascii="黑体" w:hAnsi="黑体" w:eastAsia="黑体" w:cs="黑体"/>
          <w:i w:val="0"/>
          <w:caps w:val="0"/>
          <w:color w:val="000000"/>
          <w:spacing w:val="0"/>
          <w:kern w:val="0"/>
          <w:sz w:val="32"/>
          <w:szCs w:val="32"/>
          <w:shd w:val="clear" w:color="auto" w:fill="FFFFFF"/>
          <w:lang w:val="en-US" w:eastAsia="zh-CN"/>
        </w:rPr>
        <w:t>一、2023年工作总结</w:t>
      </w:r>
    </w:p>
    <w:p>
      <w:pPr>
        <w:widowControl w:val="0"/>
        <w:wordWrap/>
        <w:spacing w:line="600" w:lineRule="exact"/>
        <w:ind w:firstLine="640" w:firstLineChars="200"/>
        <w:textAlignment w:val="auto"/>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pPr>
      <w:r>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t>2023年，是鄂托克改革发展进程中极具考验、极不平凡的一年，也是全旗上下共克时艰、顽强拼搏的一年。这一年，我们坚持以习近平新时代中国特色社会主义思想为指导，以铸牢中华民族共同体意识为主线，</w:t>
      </w:r>
      <w:r>
        <w:rPr>
          <w:rStyle w:val="10"/>
          <w:rFonts w:hint="eastAsia" w:ascii="仿宋" w:hAnsi="仿宋" w:eastAsia="仿宋" w:cs="仿宋"/>
          <w:b w:val="0"/>
          <w:bCs/>
          <w:i w:val="0"/>
          <w:iCs w:val="0"/>
          <w:caps w:val="0"/>
          <w:color w:val="000000"/>
          <w:spacing w:val="0"/>
          <w:kern w:val="0"/>
          <w:sz w:val="32"/>
          <w:szCs w:val="32"/>
          <w:shd w:val="clear" w:color="auto" w:fill="FFFFFF"/>
          <w:lang w:val="en-US" w:eastAsia="zh-CN"/>
        </w:rPr>
        <w:t>勠</w:t>
      </w:r>
      <w:r>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t>力同心、接续奋斗，扎实推进“八个示范”“五个再进阶”，高质量发展迈出坚实步伐。</w:t>
      </w:r>
    </w:p>
    <w:p>
      <w:pPr>
        <w:widowControl w:val="0"/>
        <w:wordWrap/>
        <w:adjustRightInd/>
        <w:snapToGrid/>
        <w:spacing w:line="560" w:lineRule="exact"/>
        <w:ind w:firstLine="640" w:firstLineChars="200"/>
        <w:textAlignment w:val="auto"/>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pPr>
      <w:r>
        <w:rPr>
          <w:rStyle w:val="4"/>
          <w:rFonts w:hint="eastAsia" w:ascii="黑体" w:hAnsi="黑体" w:eastAsia="黑体" w:cs="黑体"/>
          <w:b w:val="0"/>
          <w:bCs/>
          <w:spacing w:val="0"/>
          <w:kern w:val="0"/>
          <w:szCs w:val="24"/>
          <w:lang w:val="en-US" w:eastAsia="zh-CN" w:bidi="ar-SA"/>
        </w:rPr>
        <w:t>——</w:t>
      </w:r>
      <w:r>
        <w:rPr>
          <w:rStyle w:val="4"/>
          <w:rFonts w:hint="eastAsia" w:ascii="楷体_GB2312" w:hAnsi="楷体_GB2312" w:eastAsia="楷体_GB2312" w:cs="楷体_GB2312"/>
          <w:bCs w:val="0"/>
          <w:spacing w:val="0"/>
          <w:kern w:val="0"/>
          <w:szCs w:val="24"/>
          <w:lang w:val="en-US" w:eastAsia="zh-CN" w:bidi="ar-SA"/>
        </w:rPr>
        <w:t>综合实力提质进位。</w:t>
      </w:r>
      <w:r>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t>妥善应对经济下行、价格普降等超预期困难挑战，助企纾困、援企赋能等“十个专项行动”打包见效，减税降费、留抵退税、融资贷款等112亿元的真金白银为2万余户市场主体雪中送炭，促成企业订单1041件、销售总额超20亿元，完成小升规、个转企、分改子35家。全年地区生产总值增长5.5%；规上工业增加值增长4%，居全市第三；固定资产投资连续两年超百亿元；一般公共预算收入完成46.05亿元，同口径增长2.5%；社会消费品零售总额增长8.3%；城乡居民人均可支配收入分别增长4.3%、7.4%。综合实力晋位全国百强县第91位、西部百强县第9位。</w:t>
      </w:r>
    </w:p>
    <w:p>
      <w:pPr>
        <w:pStyle w:val="12"/>
        <w:widowControl w:val="0"/>
        <w:wordWrap/>
        <w:adjustRightInd/>
        <w:snapToGrid/>
        <w:spacing w:line="560" w:lineRule="exact"/>
        <w:textAlignment w:val="auto"/>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bidi="ar-SA"/>
        </w:rPr>
      </w:pPr>
      <w:r>
        <w:rPr>
          <w:rStyle w:val="4"/>
          <w:rFonts w:hint="eastAsia" w:ascii="黑体" w:hAnsi="黑体" w:eastAsia="黑体" w:cs="黑体"/>
          <w:b w:val="0"/>
          <w:bCs/>
          <w:spacing w:val="0"/>
          <w:kern w:val="0"/>
          <w:szCs w:val="24"/>
          <w:lang w:val="en-US" w:eastAsia="zh-CN" w:bidi="ar-SA"/>
        </w:rPr>
        <w:t>——</w:t>
      </w:r>
      <w:r>
        <w:rPr>
          <w:rStyle w:val="4"/>
          <w:rFonts w:hint="eastAsia" w:ascii="楷体_GB2312" w:hAnsi="楷体_GB2312" w:eastAsia="楷体_GB2312" w:cs="楷体_GB2312"/>
          <w:bCs w:val="0"/>
          <w:spacing w:val="0"/>
          <w:kern w:val="0"/>
          <w:szCs w:val="24"/>
          <w:lang w:val="en-US" w:eastAsia="zh-CN" w:bidi="ar-SA"/>
        </w:rPr>
        <w:t>产业转型提速增效。</w:t>
      </w:r>
      <w:r>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bidi="ar-SA"/>
        </w:rPr>
        <w:t>东日石墨容器等24个高端制造业项目落地投产，鄂尔多斯多能互补工业园区绿色供电作为内蒙古首批市场化新能源项目并网发电，西金矿冶成为自治区第一批制造业单项冠军，双欣环保获得自治区主席质量奖并通过国家级专精特新“小巨人”企业复核，新增自治区专精特新企业9家，工业实力跃升至全国工业百强县第44位。6亿元本级资金投向农牧产业，22.4亿元市场资本助力21个现代化农牧项目落地，粮食产量稳定在2.6亿斤以上，牲畜存栏达到230万头只，阿尔巴斯绒山羊、鄂托克螺旋藻通过“蒙”字标认证，牧之源农牧业公司注册运行，4家螺旋藻企业整合上线，全国农业现代化示范区创建基本完成。全域旅游规划编制完成，草原旅游大小环线基本建成，桃力民红色文化景区入选3A级景区。</w:t>
      </w:r>
    </w:p>
    <w:p>
      <w:pPr>
        <w:pStyle w:val="12"/>
        <w:widowControl w:val="0"/>
        <w:wordWrap/>
        <w:adjustRightInd/>
        <w:snapToGrid/>
        <w:spacing w:line="560" w:lineRule="exact"/>
        <w:textAlignment w:val="auto"/>
        <w:rPr>
          <w:rStyle w:val="10"/>
          <w:rFonts w:hint="default" w:ascii="仿宋_GB2312" w:hAnsi="仿宋_GB2312" w:eastAsia="仿宋_GB2312" w:cs="仿宋_GB2312"/>
          <w:b w:val="0"/>
          <w:bCs/>
          <w:i w:val="0"/>
          <w:iCs w:val="0"/>
          <w:caps w:val="0"/>
          <w:color w:val="000000"/>
          <w:spacing w:val="0"/>
          <w:kern w:val="0"/>
          <w:sz w:val="32"/>
          <w:szCs w:val="32"/>
          <w:shd w:val="clear" w:color="auto" w:fill="FFFFFF"/>
          <w:lang w:val="en-US" w:eastAsia="zh-CN" w:bidi="ar-SA"/>
        </w:rPr>
      </w:pPr>
      <w:r>
        <w:rPr>
          <w:rStyle w:val="4"/>
          <w:rFonts w:hint="eastAsia" w:ascii="黑体" w:hAnsi="黑体" w:eastAsia="黑体" w:cs="黑体"/>
          <w:b w:val="0"/>
          <w:bCs/>
          <w:spacing w:val="0"/>
          <w:kern w:val="0"/>
          <w:szCs w:val="24"/>
          <w:lang w:val="en-US" w:eastAsia="zh-CN" w:bidi="ar-SA"/>
        </w:rPr>
        <w:t>——</w:t>
      </w:r>
      <w:r>
        <w:rPr>
          <w:rStyle w:val="4"/>
          <w:rFonts w:hint="eastAsia" w:ascii="楷体_GB2312" w:hAnsi="楷体_GB2312" w:eastAsia="楷体_GB2312" w:cs="楷体_GB2312"/>
          <w:b/>
          <w:bCs w:val="0"/>
          <w:spacing w:val="0"/>
          <w:kern w:val="0"/>
          <w:sz w:val="32"/>
          <w:lang w:val="en-US" w:eastAsia="zh-CN"/>
        </w:rPr>
        <w:t>改革创新提优赋能。</w:t>
      </w:r>
      <w:r>
        <w:rPr>
          <w:rStyle w:val="10"/>
          <w:rFonts w:hint="eastAsia" w:ascii="仿宋_GB2312" w:hAnsi="仿宋_GB2312" w:eastAsia="仿宋_GB2312" w:cs="仿宋_GB2312"/>
          <w:b w:val="0"/>
          <w:bCs/>
          <w:color w:val="000000"/>
          <w:spacing w:val="6"/>
          <w:kern w:val="0"/>
          <w:sz w:val="32"/>
          <w:szCs w:val="32"/>
          <w:u w:val="none"/>
          <w:shd w:val="clear" w:color="auto" w:fill="FFFFFF"/>
        </w:rPr>
        <w:t>“四办”改革持续深化，</w:t>
      </w:r>
      <w:r>
        <w:rPr>
          <w:rStyle w:val="10"/>
          <w:rFonts w:hint="eastAsia" w:ascii="仿宋_GB2312" w:hAnsi="仿宋_GB2312" w:eastAsia="仿宋_GB2312" w:cs="仿宋_GB2312"/>
          <w:b w:val="0"/>
          <w:bCs/>
          <w:color w:val="000000"/>
          <w:spacing w:val="6"/>
          <w:kern w:val="0"/>
          <w:sz w:val="32"/>
          <w:szCs w:val="32"/>
          <w:u w:val="none"/>
          <w:shd w:val="clear" w:color="auto" w:fill="FFFFFF"/>
          <w:lang w:eastAsia="zh-CN"/>
        </w:rPr>
        <w:t>“</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政务服务向园区延伸</w:t>
      </w:r>
      <w:r>
        <w:rPr>
          <w:rStyle w:val="10"/>
          <w:rFonts w:hint="eastAsia" w:ascii="仿宋_GB2312" w:hAnsi="仿宋_GB2312" w:eastAsia="仿宋_GB2312" w:cs="仿宋_GB2312"/>
          <w:b w:val="0"/>
          <w:bCs/>
          <w:color w:val="000000"/>
          <w:spacing w:val="6"/>
          <w:kern w:val="0"/>
          <w:sz w:val="32"/>
          <w:szCs w:val="32"/>
          <w:u w:val="none"/>
          <w:shd w:val="clear" w:color="auto" w:fill="FFFFFF"/>
          <w:lang w:eastAsia="zh-CN"/>
        </w:rPr>
        <w:t>”</w:t>
      </w:r>
      <w:r>
        <w:rPr>
          <w:rStyle w:val="10"/>
          <w:rFonts w:hint="eastAsia" w:ascii="仿宋_GB2312" w:hAnsi="仿宋_GB2312" w:eastAsia="仿宋_GB2312" w:cs="仿宋_GB2312"/>
          <w:b w:val="0"/>
          <w:bCs/>
          <w:i w:val="0"/>
          <w:iCs w:val="0"/>
          <w:caps w:val="0"/>
          <w:color w:val="000000"/>
          <w:spacing w:val="6"/>
          <w:kern w:val="0"/>
          <w:sz w:val="32"/>
          <w:szCs w:val="32"/>
          <w:shd w:val="clear" w:color="auto" w:fill="FFFFFF"/>
          <w:lang w:val="en-US" w:eastAsia="zh-CN"/>
        </w:rPr>
        <w:t>“1+3基层综办平台”等一系列典型经验在</w:t>
      </w:r>
      <w:r>
        <w:rPr>
          <w:rStyle w:val="10"/>
          <w:rFonts w:hint="eastAsia" w:ascii="仿宋_GB2312" w:hAnsi="仿宋_GB2312" w:eastAsia="仿宋_GB2312" w:cs="仿宋_GB2312"/>
          <w:b w:val="0"/>
          <w:bCs/>
          <w:i w:val="0"/>
          <w:iCs w:val="0"/>
          <w:caps w:val="0"/>
          <w:color w:val="000000"/>
          <w:spacing w:val="11"/>
          <w:kern w:val="0"/>
          <w:sz w:val="32"/>
          <w:szCs w:val="32"/>
          <w:shd w:val="clear" w:color="auto" w:fill="FFFFFF"/>
          <w:lang w:val="en-US" w:eastAsia="zh-CN"/>
        </w:rPr>
        <w:t>全区推广</w:t>
      </w:r>
      <w:r>
        <w:rPr>
          <w:rStyle w:val="10"/>
          <w:rFonts w:hint="eastAsia" w:ascii="仿宋_GB2312" w:hAnsi="仿宋_GB2312" w:eastAsia="仿宋_GB2312" w:cs="仿宋_GB2312"/>
          <w:b w:val="0"/>
          <w:bCs/>
          <w:color w:val="000000"/>
          <w:spacing w:val="11"/>
          <w:kern w:val="0"/>
          <w:sz w:val="32"/>
          <w:szCs w:val="32"/>
          <w:u w:val="none"/>
          <w:shd w:val="clear" w:color="auto" w:fill="FFFFFF"/>
        </w:rPr>
        <w:t>应用</w:t>
      </w:r>
      <w:r>
        <w:rPr>
          <w:rStyle w:val="10"/>
          <w:rFonts w:hint="eastAsia" w:ascii="仿宋_GB2312" w:hAnsi="仿宋_GB2312" w:eastAsia="仿宋_GB2312" w:cs="仿宋_GB2312"/>
          <w:b w:val="0"/>
          <w:bCs/>
          <w:color w:val="000000"/>
          <w:spacing w:val="11"/>
          <w:kern w:val="0"/>
          <w:sz w:val="32"/>
          <w:szCs w:val="32"/>
          <w:u w:val="none"/>
          <w:shd w:val="clear" w:color="auto" w:fill="FFFFFF"/>
          <w:lang w:eastAsia="zh-CN"/>
        </w:rPr>
        <w:t>，</w:t>
      </w:r>
      <w:r>
        <w:rPr>
          <w:rStyle w:val="10"/>
          <w:rFonts w:hint="eastAsia" w:ascii="仿宋_GB2312" w:hAnsi="仿宋_GB2312" w:eastAsia="仿宋_GB2312" w:cs="仿宋_GB2312"/>
          <w:b w:val="0"/>
          <w:bCs/>
          <w:color w:val="000000"/>
          <w:spacing w:val="11"/>
          <w:kern w:val="0"/>
          <w:sz w:val="32"/>
          <w:szCs w:val="32"/>
          <w:u w:val="none"/>
          <w:shd w:val="clear" w:color="auto" w:fill="FFFFFF"/>
        </w:rPr>
        <w:t>“无感续证”成为全国政务服务改革优秀实践案例。</w:t>
      </w:r>
      <w:r>
        <w:rPr>
          <w:rStyle w:val="10"/>
          <w:rFonts w:hint="eastAsia" w:ascii="仿宋_GB2312" w:hAnsi="仿宋_GB2312" w:eastAsia="仿宋_GB2312" w:cs="仿宋_GB2312"/>
          <w:b w:val="0"/>
          <w:bCs/>
          <w:color w:val="000000"/>
          <w:spacing w:val="11"/>
          <w:kern w:val="0"/>
          <w:sz w:val="32"/>
          <w:szCs w:val="32"/>
          <w:u w:val="none"/>
          <w:shd w:val="clear" w:color="auto" w:fill="FFFFFF"/>
          <w:lang w:val="en-US" w:eastAsia="zh-CN"/>
        </w:rPr>
        <w:t>出让标准地3宗，建设标准厂房13.8万平方米，到位区外招商资金82</w:t>
      </w:r>
      <w:r>
        <w:rPr>
          <w:rStyle w:val="10"/>
          <w:rFonts w:hint="eastAsia" w:ascii="仿宋_GB2312" w:hAnsi="仿宋_GB2312" w:eastAsia="仿宋_GB2312" w:cs="仿宋_GB2312"/>
          <w:b w:val="0"/>
          <w:bCs/>
          <w:color w:val="000000"/>
          <w:spacing w:val="11"/>
          <w:kern w:val="0"/>
          <w:sz w:val="32"/>
          <w:szCs w:val="32"/>
          <w:u w:val="none"/>
          <w:shd w:val="clear" w:color="auto" w:fill="FFFFFF"/>
        </w:rPr>
        <w:t>亿元。</w:t>
      </w:r>
      <w:r>
        <w:rPr>
          <w:rStyle w:val="10"/>
          <w:rFonts w:hint="eastAsia" w:ascii="仿宋_GB2312" w:hAnsi="仿宋_GB2312" w:eastAsia="仿宋_GB2312" w:cs="仿宋_GB2312"/>
          <w:b w:val="0"/>
          <w:bCs/>
          <w:i w:val="0"/>
          <w:iCs w:val="0"/>
          <w:caps w:val="0"/>
          <w:color w:val="000000"/>
          <w:spacing w:val="11"/>
          <w:kern w:val="0"/>
          <w:sz w:val="32"/>
          <w:szCs w:val="32"/>
          <w:shd w:val="clear" w:color="auto" w:fill="FFFFFF"/>
          <w:lang w:val="en-US" w:eastAsia="zh-CN"/>
        </w:rPr>
        <w:t>投入研发经费15亿元，规上有研发工业</w:t>
      </w:r>
      <w:r>
        <w:rPr>
          <w:rStyle w:val="10"/>
          <w:rFonts w:hint="default" w:ascii="仿宋_GB2312" w:hAnsi="仿宋_GB2312" w:eastAsia="仿宋_GB2312" w:cs="仿宋_GB2312"/>
          <w:b w:val="0"/>
          <w:bCs/>
          <w:i w:val="0"/>
          <w:iCs w:val="0"/>
          <w:caps w:val="0"/>
          <w:color w:val="000000"/>
          <w:spacing w:val="11"/>
          <w:kern w:val="0"/>
          <w:sz w:val="32"/>
          <w:szCs w:val="32"/>
          <w:shd w:val="clear" w:color="auto" w:fill="FFFFFF"/>
          <w:lang w:val="en-US" w:eastAsia="zh-CN"/>
        </w:rPr>
        <w:t>企业增至</w:t>
      </w:r>
      <w:r>
        <w:rPr>
          <w:rStyle w:val="10"/>
          <w:rFonts w:hint="eastAsia" w:ascii="仿宋_GB2312" w:hAnsi="仿宋_GB2312" w:eastAsia="仿宋_GB2312" w:cs="仿宋_GB2312"/>
          <w:b w:val="0"/>
          <w:bCs/>
          <w:i w:val="0"/>
          <w:iCs w:val="0"/>
          <w:caps w:val="0"/>
          <w:color w:val="000000"/>
          <w:spacing w:val="11"/>
          <w:kern w:val="0"/>
          <w:sz w:val="32"/>
          <w:szCs w:val="32"/>
          <w:shd w:val="clear" w:color="auto" w:fill="FFFFFF"/>
          <w:lang w:val="en-US" w:eastAsia="zh-CN"/>
        </w:rPr>
        <w:t>56</w:t>
      </w:r>
      <w:r>
        <w:rPr>
          <w:rStyle w:val="10"/>
          <w:rFonts w:hint="default" w:ascii="仿宋_GB2312" w:hAnsi="仿宋_GB2312" w:eastAsia="仿宋_GB2312" w:cs="仿宋_GB2312"/>
          <w:b w:val="0"/>
          <w:bCs/>
          <w:i w:val="0"/>
          <w:iCs w:val="0"/>
          <w:caps w:val="0"/>
          <w:color w:val="000000"/>
          <w:spacing w:val="11"/>
          <w:kern w:val="0"/>
          <w:sz w:val="32"/>
          <w:szCs w:val="32"/>
          <w:shd w:val="clear" w:color="auto" w:fill="FFFFFF"/>
          <w:lang w:val="en-US" w:eastAsia="zh-CN"/>
        </w:rPr>
        <w:t>家</w:t>
      </w:r>
      <w:r>
        <w:rPr>
          <w:rStyle w:val="10"/>
          <w:rFonts w:hint="eastAsia" w:ascii="仿宋_GB2312" w:hAnsi="仿宋_GB2312" w:eastAsia="仿宋_GB2312" w:cs="仿宋_GB2312"/>
          <w:b w:val="0"/>
          <w:bCs/>
          <w:i w:val="0"/>
          <w:iCs w:val="0"/>
          <w:caps w:val="0"/>
          <w:color w:val="000000"/>
          <w:spacing w:val="11"/>
          <w:kern w:val="0"/>
          <w:sz w:val="32"/>
          <w:szCs w:val="32"/>
          <w:shd w:val="clear" w:color="auto" w:fill="FFFFFF"/>
          <w:lang w:val="en-US" w:eastAsia="zh-CN"/>
        </w:rPr>
        <w:t>，技术合同成交额1.8亿元，均居全市前列。</w:t>
      </w:r>
      <w:r>
        <w:rPr>
          <w:rStyle w:val="10"/>
          <w:rFonts w:hint="eastAsia" w:ascii="仿宋_GB2312" w:hAnsi="仿宋_GB2312" w:eastAsia="仿宋_GB2312" w:cs="仿宋_GB2312"/>
          <w:b w:val="0"/>
          <w:bCs/>
          <w:color w:val="000000"/>
          <w:spacing w:val="11"/>
          <w:kern w:val="0"/>
          <w:sz w:val="32"/>
          <w:szCs w:val="32"/>
          <w:u w:val="none"/>
          <w:shd w:val="clear" w:color="auto" w:fill="FFFFFF"/>
          <w:lang w:val="en-US" w:eastAsia="zh-CN"/>
        </w:rPr>
        <w:t>发布全球首套</w:t>
      </w:r>
      <w:r>
        <w:rPr>
          <w:rStyle w:val="10"/>
          <w:rFonts w:hint="eastAsia" w:ascii="仿宋_GB2312" w:hAnsi="仿宋_GB2312" w:eastAsia="仿宋_GB2312" w:cs="仿宋_GB2312"/>
          <w:b w:val="0"/>
          <w:bCs/>
          <w:color w:val="000000"/>
          <w:spacing w:val="11"/>
          <w:kern w:val="0"/>
          <w:sz w:val="32"/>
          <w:szCs w:val="32"/>
          <w:u w:val="none"/>
          <w:shd w:val="clear" w:color="auto" w:fill="FFFFFF"/>
        </w:rPr>
        <w:t>电石法聚氯乙烯无汞化生产</w:t>
      </w:r>
      <w:r>
        <w:rPr>
          <w:rStyle w:val="10"/>
          <w:rFonts w:hint="eastAsia" w:ascii="仿宋_GB2312" w:hAnsi="仿宋_GB2312" w:eastAsia="仿宋_GB2312" w:cs="仿宋_GB2312"/>
          <w:b w:val="0"/>
          <w:bCs/>
          <w:color w:val="000000"/>
          <w:spacing w:val="11"/>
          <w:kern w:val="0"/>
          <w:sz w:val="32"/>
          <w:szCs w:val="32"/>
          <w:u w:val="none"/>
          <w:shd w:val="clear" w:color="auto" w:fill="FFFFFF"/>
          <w:lang w:val="en-US" w:eastAsia="zh-CN"/>
        </w:rPr>
        <w:t>技术</w:t>
      </w:r>
      <w:r>
        <w:rPr>
          <w:rStyle w:val="10"/>
          <w:rFonts w:hint="eastAsia" w:ascii="仿宋_GB2312" w:hAnsi="仿宋_GB2312" w:eastAsia="仿宋_GB2312" w:cs="仿宋_GB2312"/>
          <w:b w:val="0"/>
          <w:bCs/>
          <w:color w:val="000000"/>
          <w:spacing w:val="11"/>
          <w:kern w:val="0"/>
          <w:sz w:val="32"/>
          <w:szCs w:val="32"/>
          <w:u w:val="none"/>
          <w:shd w:val="clear" w:color="auto" w:fill="FFFFFF"/>
          <w:lang w:eastAsia="zh-CN"/>
        </w:rPr>
        <w:t>，</w:t>
      </w:r>
      <w:r>
        <w:rPr>
          <w:rStyle w:val="10"/>
          <w:rFonts w:hint="eastAsia" w:ascii="仿宋_GB2312" w:hAnsi="仿宋_GB2312" w:eastAsia="仿宋_GB2312" w:cs="仿宋_GB2312"/>
          <w:b w:val="0"/>
          <w:bCs/>
          <w:color w:val="000000"/>
          <w:spacing w:val="11"/>
          <w:kern w:val="0"/>
          <w:sz w:val="32"/>
          <w:szCs w:val="32"/>
          <w:u w:val="none"/>
          <w:shd w:val="clear" w:color="auto" w:fill="FFFFFF"/>
          <w:lang w:val="en-US" w:eastAsia="zh-CN"/>
        </w:rPr>
        <w:t>贯通国内首条粉煤灰提取氧化铝生产线，螺旋藻</w:t>
      </w:r>
      <w:r>
        <w:rPr>
          <w:rStyle w:val="10"/>
          <w:rFonts w:hint="eastAsia" w:ascii="仿宋_GB2312" w:hAnsi="仿宋_GB2312" w:eastAsia="仿宋_GB2312" w:cs="仿宋_GB2312"/>
          <w:b w:val="0"/>
          <w:bCs/>
          <w:i w:val="0"/>
          <w:iCs w:val="0"/>
          <w:caps w:val="0"/>
          <w:color w:val="000000"/>
          <w:spacing w:val="11"/>
          <w:kern w:val="0"/>
          <w:sz w:val="32"/>
          <w:szCs w:val="32"/>
          <w:shd w:val="clear" w:color="auto" w:fill="FFFFFF"/>
          <w:lang w:val="en-US" w:eastAsia="zh-CN" w:bidi="ar-SA"/>
        </w:rPr>
        <w:t>生物医药联合研究中心成为自治区首家县级“离岸科创基地”，</w:t>
      </w:r>
      <w:r>
        <w:rPr>
          <w:rStyle w:val="10"/>
          <w:rFonts w:hint="default" w:ascii="仿宋_GB2312" w:hAnsi="仿宋_GB2312" w:eastAsia="仿宋_GB2312" w:cs="仿宋_GB2312"/>
          <w:b w:val="0"/>
          <w:bCs/>
          <w:i w:val="0"/>
          <w:iCs w:val="0"/>
          <w:caps w:val="0"/>
          <w:color w:val="000000"/>
          <w:spacing w:val="11"/>
          <w:kern w:val="0"/>
          <w:sz w:val="32"/>
          <w:szCs w:val="32"/>
          <w:shd w:val="clear" w:color="auto" w:fill="FFFFFF"/>
          <w:lang w:val="en-US" w:eastAsia="zh-CN"/>
        </w:rPr>
        <w:t>国家高新技术企业增至</w:t>
      </w:r>
      <w:r>
        <w:rPr>
          <w:rStyle w:val="10"/>
          <w:rFonts w:hint="eastAsia" w:ascii="仿宋_GB2312" w:hAnsi="仿宋_GB2312" w:eastAsia="仿宋_GB2312" w:cs="仿宋_GB2312"/>
          <w:b w:val="0"/>
          <w:bCs/>
          <w:i w:val="0"/>
          <w:iCs w:val="0"/>
          <w:caps w:val="0"/>
          <w:color w:val="000000"/>
          <w:spacing w:val="11"/>
          <w:kern w:val="0"/>
          <w:sz w:val="32"/>
          <w:szCs w:val="32"/>
          <w:shd w:val="clear" w:color="auto" w:fill="FFFFFF"/>
          <w:lang w:val="en-US" w:eastAsia="zh-CN"/>
        </w:rPr>
        <w:t>35</w:t>
      </w:r>
      <w:r>
        <w:rPr>
          <w:rStyle w:val="10"/>
          <w:rFonts w:hint="default" w:ascii="仿宋_GB2312" w:hAnsi="仿宋_GB2312" w:eastAsia="仿宋_GB2312" w:cs="仿宋_GB2312"/>
          <w:b w:val="0"/>
          <w:bCs/>
          <w:i w:val="0"/>
          <w:iCs w:val="0"/>
          <w:caps w:val="0"/>
          <w:color w:val="000000"/>
          <w:spacing w:val="11"/>
          <w:kern w:val="0"/>
          <w:sz w:val="32"/>
          <w:szCs w:val="32"/>
          <w:shd w:val="clear" w:color="auto" w:fill="FFFFFF"/>
          <w:lang w:val="en-US" w:eastAsia="zh-CN"/>
        </w:rPr>
        <w:t>家</w:t>
      </w:r>
      <w:r>
        <w:rPr>
          <w:rStyle w:val="10"/>
          <w:rFonts w:hint="eastAsia" w:ascii="仿宋_GB2312" w:hAnsi="仿宋_GB2312" w:eastAsia="仿宋_GB2312" w:cs="仿宋_GB2312"/>
          <w:b w:val="0"/>
          <w:bCs/>
          <w:i w:val="0"/>
          <w:iCs w:val="0"/>
          <w:caps w:val="0"/>
          <w:color w:val="000000"/>
          <w:spacing w:val="11"/>
          <w:kern w:val="0"/>
          <w:sz w:val="32"/>
          <w:szCs w:val="32"/>
          <w:shd w:val="clear" w:color="auto" w:fill="FFFFFF"/>
          <w:lang w:val="en-US" w:eastAsia="zh-CN"/>
        </w:rPr>
        <w:t>，</w:t>
      </w:r>
      <w:r>
        <w:rPr>
          <w:rStyle w:val="10"/>
          <w:rFonts w:hint="eastAsia" w:ascii="仿宋_GB2312" w:hAnsi="仿宋_GB2312" w:eastAsia="仿宋_GB2312" w:cs="仿宋_GB2312"/>
          <w:b w:val="0"/>
          <w:bCs/>
          <w:color w:val="000000"/>
          <w:spacing w:val="11"/>
          <w:kern w:val="0"/>
          <w:sz w:val="32"/>
          <w:szCs w:val="32"/>
          <w:u w:val="none"/>
          <w:shd w:val="clear" w:color="auto" w:fill="FFFFFF"/>
        </w:rPr>
        <w:t>鄂托克经济开发区</w:t>
      </w:r>
      <w:r>
        <w:rPr>
          <w:rStyle w:val="10"/>
          <w:rFonts w:hint="eastAsia" w:ascii="仿宋_GB2312" w:hAnsi="仿宋_GB2312" w:eastAsia="仿宋_GB2312" w:cs="仿宋_GB2312"/>
          <w:b w:val="0"/>
          <w:bCs/>
          <w:color w:val="000000"/>
          <w:spacing w:val="11"/>
          <w:kern w:val="0"/>
          <w:sz w:val="32"/>
          <w:szCs w:val="32"/>
          <w:u w:val="none"/>
          <w:shd w:val="clear" w:color="auto" w:fill="FFFFFF"/>
          <w:lang w:val="en-US" w:eastAsia="zh-CN"/>
        </w:rPr>
        <w:t>成为</w:t>
      </w:r>
      <w:r>
        <w:rPr>
          <w:rStyle w:val="10"/>
          <w:rFonts w:hint="eastAsia" w:ascii="仿宋_GB2312" w:hAnsi="仿宋_GB2312" w:eastAsia="仿宋_GB2312" w:cs="仿宋_GB2312"/>
          <w:b w:val="0"/>
          <w:bCs/>
          <w:color w:val="000000"/>
          <w:spacing w:val="11"/>
          <w:kern w:val="0"/>
          <w:sz w:val="32"/>
          <w:szCs w:val="32"/>
          <w:u w:val="none"/>
          <w:shd w:val="clear" w:color="auto" w:fill="FFFFFF"/>
        </w:rPr>
        <w:t>自治区级高新技术产业开发区</w:t>
      </w:r>
      <w:r>
        <w:rPr>
          <w:rStyle w:val="10"/>
          <w:rFonts w:hint="eastAsia" w:ascii="仿宋_GB2312" w:hAnsi="仿宋_GB2312" w:eastAsia="仿宋_GB2312" w:cs="仿宋_GB2312"/>
          <w:b w:val="0"/>
          <w:bCs/>
          <w:color w:val="000000"/>
          <w:spacing w:val="11"/>
          <w:kern w:val="0"/>
          <w:sz w:val="32"/>
          <w:szCs w:val="32"/>
          <w:u w:val="none"/>
          <w:shd w:val="clear" w:color="auto" w:fill="FFFFFF"/>
          <w:lang w:eastAsia="zh-CN"/>
        </w:rPr>
        <w:t>。</w:t>
      </w:r>
      <w:r>
        <w:rPr>
          <w:rStyle w:val="10"/>
          <w:rFonts w:hint="eastAsia" w:ascii="仿宋_GB2312" w:hAnsi="仿宋_GB2312" w:eastAsia="仿宋_GB2312" w:cs="仿宋_GB2312"/>
          <w:b w:val="0"/>
          <w:bCs/>
          <w:color w:val="000000"/>
          <w:spacing w:val="11"/>
          <w:kern w:val="0"/>
          <w:sz w:val="32"/>
          <w:szCs w:val="32"/>
          <w:u w:val="none"/>
          <w:shd w:val="clear" w:color="auto" w:fill="FFFFFF"/>
          <w:lang w:val="en-US" w:eastAsia="zh-CN"/>
        </w:rPr>
        <w:t>“人才政策18条”出台见效，人才引育综合服务中心和人才科创成果展示中心建成运行，引进高层次和紧缺急需专业人才170人。</w:t>
      </w:r>
    </w:p>
    <w:p>
      <w:pPr>
        <w:pStyle w:val="14"/>
        <w:widowControl w:val="0"/>
        <w:wordWrap/>
        <w:adjustRightInd/>
        <w:snapToGrid/>
        <w:spacing w:line="560" w:lineRule="exact"/>
        <w:ind w:firstLine="640" w:firstLineChars="200"/>
        <w:textAlignment w:val="auto"/>
        <w:rPr>
          <w:rStyle w:val="10"/>
          <w:rFonts w:hint="default" w:ascii="仿宋_GB2312" w:hAnsi="仿宋_GB2312" w:eastAsia="仿宋_GB2312" w:cs="仿宋_GB2312"/>
          <w:b w:val="0"/>
          <w:bCs/>
          <w:color w:val="000000"/>
          <w:spacing w:val="0"/>
          <w:kern w:val="0"/>
          <w:sz w:val="32"/>
          <w:szCs w:val="32"/>
          <w:u w:val="none"/>
          <w:shd w:val="clear" w:color="auto" w:fill="FFFFFF"/>
          <w:lang w:val="en-US" w:eastAsia="zh-CN"/>
        </w:rPr>
      </w:pPr>
      <w:r>
        <w:rPr>
          <w:rStyle w:val="4"/>
          <w:rFonts w:hint="eastAsia" w:ascii="黑体" w:hAnsi="黑体" w:eastAsia="黑体" w:cs="黑体"/>
          <w:b w:val="0"/>
          <w:bCs/>
          <w:spacing w:val="0"/>
          <w:kern w:val="0"/>
          <w:szCs w:val="24"/>
          <w:lang w:val="en-US" w:eastAsia="zh-CN" w:bidi="ar-SA"/>
        </w:rPr>
        <w:t>——</w:t>
      </w:r>
      <w:r>
        <w:rPr>
          <w:rStyle w:val="4"/>
          <w:rFonts w:hint="eastAsia" w:ascii="楷体_GB2312" w:hAnsi="楷体_GB2312" w:eastAsia="楷体_GB2312" w:cs="楷体_GB2312"/>
          <w:b/>
          <w:bCs w:val="0"/>
          <w:spacing w:val="0"/>
          <w:kern w:val="0"/>
          <w:sz w:val="32"/>
          <w:lang w:val="en-US" w:eastAsia="zh-CN"/>
        </w:rPr>
        <w:t>生态环境提容添绿。</w:t>
      </w:r>
      <w:r>
        <w:rPr>
          <w:rStyle w:val="10"/>
          <w:rFonts w:hint="eastAsia" w:ascii="仿宋_GB2312" w:hAnsi="仿宋_GB2312" w:eastAsia="仿宋_GB2312" w:cs="仿宋_GB2312"/>
          <w:b w:val="0"/>
          <w:bCs/>
          <w:i w:val="0"/>
          <w:iCs w:val="0"/>
          <w:caps w:val="0"/>
          <w:color w:val="000000"/>
          <w:spacing w:val="6"/>
          <w:kern w:val="0"/>
          <w:sz w:val="32"/>
          <w:szCs w:val="32"/>
          <w:shd w:val="clear" w:color="auto" w:fill="FFFFFF"/>
          <w:lang w:val="en-US" w:eastAsia="zh-CN"/>
        </w:rPr>
        <w:t>全面打响荒漠化综合防治黄河“几字弯”攻坚战，修复森林草原和治理沙地面积57万亩，</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围栏封育321万米，“先建后补”治沙模式成为“绿富同兴”的典型路径。</w:t>
      </w:r>
      <w:r>
        <w:rPr>
          <w:rStyle w:val="10"/>
          <w:rFonts w:hint="eastAsia" w:ascii="仿宋_GB2312" w:hAnsi="仿宋_GB2312" w:eastAsia="仿宋_GB2312" w:cs="仿宋_GB2312"/>
          <w:b w:val="0"/>
          <w:bCs/>
          <w:color w:val="000000"/>
          <w:spacing w:val="6"/>
          <w:kern w:val="0"/>
          <w:sz w:val="32"/>
          <w:szCs w:val="32"/>
          <w:u w:val="none"/>
          <w:shd w:val="clear" w:color="auto" w:fill="FFFFFF"/>
        </w:rPr>
        <w:t>中央环保督察反馈问题整改成效明显，</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棋盘井黄河水和疏干水处理工程全面投运、</w:t>
      </w:r>
      <w:r>
        <w:rPr>
          <w:rStyle w:val="10"/>
          <w:rFonts w:hint="eastAsia" w:ascii="仿宋_GB2312" w:hAnsi="仿宋_GB2312" w:eastAsia="仿宋_GB2312" w:cs="仿宋_GB2312"/>
          <w:b w:val="0"/>
          <w:bCs/>
          <w:color w:val="000000"/>
          <w:spacing w:val="6"/>
          <w:kern w:val="0"/>
          <w:sz w:val="32"/>
          <w:szCs w:val="32"/>
          <w:u w:val="none"/>
          <w:shd w:val="clear" w:color="auto" w:fill="FFFFFF"/>
        </w:rPr>
        <w:t>地下水位平均上升2.17米</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w:t>
      </w:r>
      <w:r>
        <w:rPr>
          <w:rStyle w:val="10"/>
          <w:rFonts w:hint="eastAsia" w:ascii="仿宋_GB2312" w:hAnsi="仿宋_GB2312" w:eastAsia="仿宋_GB2312" w:cs="仿宋_GB2312"/>
          <w:b w:val="0"/>
          <w:bCs/>
          <w:color w:val="000000"/>
          <w:spacing w:val="6"/>
          <w:kern w:val="0"/>
          <w:sz w:val="32"/>
          <w:szCs w:val="32"/>
          <w:u w:val="none"/>
          <w:shd w:val="clear" w:color="auto" w:fill="FFFFFF"/>
        </w:rPr>
        <w:t>213项污染防治任务</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高效</w:t>
      </w:r>
      <w:r>
        <w:rPr>
          <w:rStyle w:val="10"/>
          <w:rFonts w:hint="eastAsia" w:ascii="仿宋_GB2312" w:hAnsi="仿宋_GB2312" w:eastAsia="仿宋_GB2312" w:cs="仿宋_GB2312"/>
          <w:b w:val="0"/>
          <w:bCs/>
          <w:color w:val="000000"/>
          <w:spacing w:val="6"/>
          <w:kern w:val="0"/>
          <w:sz w:val="32"/>
          <w:szCs w:val="32"/>
          <w:u w:val="none"/>
          <w:shd w:val="clear" w:color="auto" w:fill="FFFFFF"/>
        </w:rPr>
        <w:t>完成，承办全国“五基”协同大气环境监测监管技术研讨会，棋盘井、蒙西空气优良天数分别达到</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301</w:t>
      </w:r>
      <w:r>
        <w:rPr>
          <w:rStyle w:val="10"/>
          <w:rFonts w:hint="eastAsia" w:ascii="仿宋_GB2312" w:hAnsi="仿宋_GB2312" w:eastAsia="仿宋_GB2312" w:cs="仿宋_GB2312"/>
          <w:b w:val="0"/>
          <w:bCs/>
          <w:color w:val="000000"/>
          <w:spacing w:val="6"/>
          <w:kern w:val="0"/>
          <w:sz w:val="32"/>
          <w:szCs w:val="32"/>
          <w:u w:val="none"/>
          <w:shd w:val="clear" w:color="auto" w:fill="FFFFFF"/>
        </w:rPr>
        <w:t>天、28</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6</w:t>
      </w:r>
      <w:r>
        <w:rPr>
          <w:rStyle w:val="10"/>
          <w:rFonts w:hint="eastAsia" w:ascii="仿宋_GB2312" w:hAnsi="仿宋_GB2312" w:eastAsia="仿宋_GB2312" w:cs="仿宋_GB2312"/>
          <w:b w:val="0"/>
          <w:bCs/>
          <w:color w:val="000000"/>
          <w:spacing w:val="6"/>
          <w:kern w:val="0"/>
          <w:sz w:val="32"/>
          <w:szCs w:val="32"/>
          <w:u w:val="none"/>
          <w:shd w:val="clear" w:color="auto" w:fill="FFFFFF"/>
        </w:rPr>
        <w:t>天。</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完成非煤矿山治理600万平方米，绿色矿山增至86家。“两提三创”资源节约集约经验全区宣传推广</w:t>
      </w:r>
      <w:r>
        <w:rPr>
          <w:rStyle w:val="10"/>
          <w:rFonts w:hint="eastAsia" w:ascii="仿宋_GB2312" w:hAnsi="仿宋_GB2312" w:eastAsia="仿宋_GB2312" w:cs="仿宋_GB2312"/>
          <w:b w:val="0"/>
          <w:bCs/>
          <w:i w:val="0"/>
          <w:iCs w:val="0"/>
          <w:caps w:val="0"/>
          <w:color w:val="000000"/>
          <w:spacing w:val="6"/>
          <w:kern w:val="0"/>
          <w:sz w:val="32"/>
          <w:szCs w:val="32"/>
          <w:shd w:val="clear" w:color="auto" w:fill="FFFFFF"/>
          <w:lang w:val="en-US" w:eastAsia="zh-CN"/>
        </w:rPr>
        <w:t>，</w:t>
      </w:r>
      <w:r>
        <w:rPr>
          <w:rStyle w:val="10"/>
          <w:rFonts w:hint="eastAsia" w:ascii="仿宋_GB2312" w:hAnsi="仿宋_GB2312" w:eastAsia="仿宋_GB2312" w:cs="仿宋_GB2312"/>
          <w:b w:val="0"/>
          <w:bCs/>
          <w:color w:val="000000"/>
          <w:spacing w:val="6"/>
          <w:kern w:val="0"/>
          <w:sz w:val="32"/>
          <w:szCs w:val="32"/>
          <w:u w:val="none"/>
          <w:shd w:val="clear" w:color="auto" w:fill="FFFFFF"/>
        </w:rPr>
        <w:t>焦化行业历史性实现干熄焦、超低排</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rPr>
        <w:t>，完成各领域节水400万吨，</w:t>
      </w:r>
      <w:r>
        <w:rPr>
          <w:rStyle w:val="10"/>
          <w:rFonts w:hint="eastAsia" w:ascii="仿宋_GB2312" w:hAnsi="仿宋_GB2312" w:eastAsia="仿宋_GB2312" w:cs="仿宋_GB2312"/>
          <w:b w:val="0"/>
          <w:bCs/>
          <w:i w:val="0"/>
          <w:iCs w:val="0"/>
          <w:caps w:val="0"/>
          <w:color w:val="000000"/>
          <w:spacing w:val="6"/>
          <w:kern w:val="0"/>
          <w:sz w:val="32"/>
          <w:szCs w:val="32"/>
          <w:shd w:val="clear" w:color="auto" w:fill="FFFFFF"/>
          <w:lang w:val="en-US" w:eastAsia="zh-CN"/>
        </w:rPr>
        <w:t>淘汰落后产能500万吨</w:t>
      </w:r>
      <w:r>
        <w:rPr>
          <w:rStyle w:val="10"/>
          <w:rFonts w:hint="eastAsia" w:ascii="仿宋_GB2312" w:hAnsi="仿宋_GB2312" w:eastAsia="仿宋_GB2312" w:cs="仿宋_GB2312"/>
          <w:b w:val="0"/>
          <w:bCs/>
          <w:color w:val="000000"/>
          <w:spacing w:val="6"/>
          <w:kern w:val="0"/>
          <w:sz w:val="32"/>
          <w:szCs w:val="32"/>
          <w:u w:val="none"/>
          <w:shd w:val="clear" w:color="auto" w:fill="FFFFFF"/>
        </w:rPr>
        <w:t>。</w:t>
      </w:r>
    </w:p>
    <w:p>
      <w:pPr>
        <w:pStyle w:val="12"/>
        <w:widowControl w:val="0"/>
        <w:wordWrap/>
        <w:adjustRightInd/>
        <w:snapToGrid/>
        <w:spacing w:line="560" w:lineRule="exact"/>
        <w:textAlignment w:val="auto"/>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pPr>
      <w:r>
        <w:rPr>
          <w:rStyle w:val="4"/>
          <w:rFonts w:hint="eastAsia" w:ascii="黑体" w:hAnsi="黑体" w:eastAsia="黑体" w:cs="黑体"/>
          <w:b w:val="0"/>
          <w:bCs/>
          <w:spacing w:val="0"/>
          <w:kern w:val="0"/>
          <w:szCs w:val="24"/>
          <w:lang w:val="en-US" w:eastAsia="zh-CN" w:bidi="ar-SA"/>
        </w:rPr>
        <w:t>——</w:t>
      </w:r>
      <w:r>
        <w:rPr>
          <w:rStyle w:val="4"/>
          <w:rFonts w:hint="eastAsia" w:ascii="楷体_GB2312" w:hAnsi="楷体_GB2312" w:eastAsia="楷体_GB2312" w:cs="楷体_GB2312"/>
          <w:bCs w:val="0"/>
          <w:color w:val="auto"/>
          <w:spacing w:val="0"/>
          <w:kern w:val="0"/>
          <w:szCs w:val="24"/>
          <w:lang w:val="en-US" w:eastAsia="zh-CN" w:bidi="ar-SA"/>
        </w:rPr>
        <w:t>城乡品质提档升级。</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文明城市创建取得阶段性成果，实施</w:t>
      </w:r>
      <w:r>
        <w:rPr>
          <w:rStyle w:val="10"/>
          <w:rFonts w:hint="default" w:ascii="仿宋_GB2312" w:hAnsi="仿宋_GB2312" w:eastAsia="仿宋_GB2312" w:cs="仿宋_GB2312"/>
          <w:b w:val="0"/>
          <w:bCs/>
          <w:color w:val="000000"/>
          <w:spacing w:val="0"/>
          <w:kern w:val="0"/>
          <w:sz w:val="32"/>
          <w:szCs w:val="32"/>
          <w:u w:val="none"/>
          <w:shd w:val="clear" w:color="auto" w:fill="FFFFFF"/>
          <w:lang w:val="en-US" w:eastAsia="zh-CN" w:bidi="ar-SA"/>
        </w:rPr>
        <w:t>市政提升工程67项</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，改造居民小区73个，硬化街巷42万平方米，</w:t>
      </w:r>
      <w:r>
        <w:rPr>
          <w:rStyle w:val="10"/>
          <w:rFonts w:hint="default" w:ascii="仿宋_GB2312" w:hAnsi="仿宋_GB2312" w:eastAsia="仿宋_GB2312" w:cs="仿宋_GB2312"/>
          <w:b w:val="0"/>
          <w:bCs/>
          <w:color w:val="000000"/>
          <w:spacing w:val="0"/>
          <w:kern w:val="0"/>
          <w:sz w:val="32"/>
          <w:szCs w:val="32"/>
          <w:u w:val="none"/>
          <w:shd w:val="clear" w:color="auto" w:fill="FFFFFF"/>
          <w:lang w:val="en-US" w:eastAsia="zh-CN" w:bidi="ar-SA"/>
        </w:rPr>
        <w:t>新增停车位</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1.1万</w:t>
      </w:r>
      <w:r>
        <w:rPr>
          <w:rStyle w:val="10"/>
          <w:rFonts w:hint="default" w:ascii="仿宋_GB2312" w:hAnsi="仿宋_GB2312" w:eastAsia="仿宋_GB2312" w:cs="仿宋_GB2312"/>
          <w:b w:val="0"/>
          <w:bCs/>
          <w:color w:val="000000"/>
          <w:spacing w:val="0"/>
          <w:kern w:val="0"/>
          <w:sz w:val="32"/>
          <w:szCs w:val="32"/>
          <w:u w:val="none"/>
          <w:shd w:val="clear" w:color="auto" w:fill="FFFFFF"/>
          <w:lang w:val="en-US" w:eastAsia="zh-CN" w:bidi="ar-SA"/>
        </w:rPr>
        <w:t>个</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、口袋公园5个，苏米图路、乌兰西</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bidi="ar-SA"/>
        </w:rPr>
        <w:t>街等市政道路建成通车，游泳及乒羽馆等一批民生场馆交付使用。农牧区供水保障等水利工程投用见效，760户群众远距离</w:t>
      </w:r>
      <w:r>
        <w:rPr>
          <w:rStyle w:val="10"/>
          <w:rFonts w:hint="default" w:ascii="仿宋_GB2312" w:hAnsi="仿宋_GB2312" w:eastAsia="仿宋_GB2312" w:cs="仿宋_GB2312"/>
          <w:b w:val="0"/>
          <w:bCs/>
          <w:color w:val="000000"/>
          <w:spacing w:val="6"/>
          <w:kern w:val="0"/>
          <w:sz w:val="32"/>
          <w:szCs w:val="32"/>
          <w:u w:val="none"/>
          <w:shd w:val="clear" w:color="auto" w:fill="FFFFFF"/>
          <w:lang w:val="en-US" w:eastAsia="zh-CN" w:bidi="ar-SA"/>
        </w:rPr>
        <w:t>拉水</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bidi="ar-SA"/>
        </w:rPr>
        <w:t>问题得以解决。</w:t>
      </w:r>
      <w:r>
        <w:rPr>
          <w:rStyle w:val="10"/>
          <w:rFonts w:hint="eastAsia" w:ascii="仿宋_GB2312" w:hAnsi="仿宋_GB2312" w:eastAsia="仿宋_GB2312" w:cs="仿宋_GB2312"/>
          <w:b w:val="0"/>
          <w:bCs/>
          <w:i w:val="0"/>
          <w:iCs w:val="0"/>
          <w:caps w:val="0"/>
          <w:color w:val="000000"/>
          <w:spacing w:val="6"/>
          <w:kern w:val="0"/>
          <w:sz w:val="32"/>
          <w:szCs w:val="32"/>
          <w:shd w:val="clear" w:color="auto" w:fill="FFFFFF"/>
          <w:lang w:val="en-US" w:eastAsia="zh-CN"/>
        </w:rPr>
        <w:t>首列“通江达海”通道非煤货物班列成功发车，</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bidi="ar-SA"/>
        </w:rPr>
        <w:t>通用机场顺利通航，</w:t>
      </w:r>
      <w:r>
        <w:rPr>
          <w:rFonts w:hint="eastAsia" w:ascii="仿宋_GB2312" w:hAnsi="仿宋_GB2312" w:eastAsia="仿宋_GB2312" w:cs="仿宋_GB2312"/>
          <w:b w:val="0"/>
          <w:bCs w:val="0"/>
          <w:spacing w:val="6"/>
          <w:kern w:val="0"/>
          <w:sz w:val="32"/>
          <w:szCs w:val="32"/>
          <w:lang w:val="en-US" w:eastAsia="zh-CN"/>
        </w:rPr>
        <w:t>包银高铁建设有序推进，</w:t>
      </w:r>
      <w:r>
        <w:rPr>
          <w:rStyle w:val="10"/>
          <w:rFonts w:hint="eastAsia" w:ascii="仿宋_GB2312" w:hAnsi="仿宋_GB2312" w:eastAsia="仿宋_GB2312" w:cs="仿宋_GB2312"/>
          <w:b w:val="0"/>
          <w:bCs/>
          <w:color w:val="000000"/>
          <w:spacing w:val="6"/>
          <w:kern w:val="0"/>
          <w:sz w:val="32"/>
          <w:szCs w:val="32"/>
          <w:u w:val="none"/>
          <w:shd w:val="clear" w:color="auto" w:fill="FFFFFF"/>
          <w:lang w:val="en-US" w:eastAsia="zh-CN" w:bidi="ar-SA"/>
        </w:rPr>
        <w:t>查陶线等27条、424公里的新改扩建农村公路通村达户，获评国家“四好农村路”示范县。城区5G信号基本实现全覆盖。供热管网向平房区新覆盖58万平方米，乌兰镇居民供热收归国有，棋盘井镇热源改造切换完成。</w:t>
      </w:r>
    </w:p>
    <w:p>
      <w:pPr>
        <w:pStyle w:val="12"/>
        <w:widowControl w:val="0"/>
        <w:wordWrap/>
        <w:adjustRightInd/>
        <w:snapToGrid/>
        <w:spacing w:line="560" w:lineRule="exact"/>
        <w:textAlignment w:val="auto"/>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pPr>
      <w:r>
        <w:rPr>
          <w:rStyle w:val="4"/>
          <w:rFonts w:hint="eastAsia" w:ascii="黑体" w:hAnsi="黑体" w:eastAsia="黑体" w:cs="黑体"/>
          <w:b w:val="0"/>
          <w:bCs/>
          <w:spacing w:val="0"/>
          <w:kern w:val="0"/>
          <w:szCs w:val="24"/>
          <w:lang w:val="en-US" w:eastAsia="zh-CN" w:bidi="ar-SA"/>
        </w:rPr>
        <w:t>——</w:t>
      </w:r>
      <w:r>
        <w:rPr>
          <w:rStyle w:val="4"/>
          <w:rFonts w:hint="eastAsia" w:ascii="楷体_GB2312" w:hAnsi="楷体_GB2312" w:eastAsia="楷体_GB2312" w:cs="楷体_GB2312"/>
          <w:bCs w:val="0"/>
          <w:color w:val="auto"/>
          <w:spacing w:val="0"/>
          <w:kern w:val="0"/>
          <w:szCs w:val="24"/>
          <w:lang w:val="en-US" w:eastAsia="zh-CN" w:bidi="ar-SA"/>
        </w:rPr>
        <w:t>民生福祉提标扩面。</w:t>
      </w:r>
      <w:r>
        <w:rPr>
          <w:rStyle w:val="10"/>
          <w:rFonts w:hint="eastAsia" w:ascii="仿宋_GB2312" w:hAnsi="仿宋_GB2312" w:eastAsia="仿宋_GB2312" w:cs="仿宋_GB2312"/>
          <w:b w:val="0"/>
          <w:bCs/>
          <w:color w:val="000000"/>
          <w:spacing w:val="0"/>
          <w:kern w:val="0"/>
          <w:sz w:val="32"/>
          <w:szCs w:val="32"/>
          <w:u w:val="none"/>
          <w:shd w:val="clear" w:color="auto" w:fill="FFFFFF"/>
        </w:rPr>
        <w:t>民生支出</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rPr>
        <w:t>占财政支出的</w:t>
      </w:r>
      <w:r>
        <w:rPr>
          <w:rStyle w:val="10"/>
          <w:rFonts w:hint="eastAsia" w:ascii="仿宋_GB2312" w:hAnsi="仿宋_GB2312" w:eastAsia="仿宋_GB2312" w:cs="仿宋_GB2312"/>
          <w:b w:val="0"/>
          <w:bCs/>
          <w:color w:val="000000"/>
          <w:spacing w:val="0"/>
          <w:kern w:val="0"/>
          <w:sz w:val="32"/>
          <w:szCs w:val="32"/>
          <w:u w:val="none"/>
          <w:shd w:val="clear" w:color="auto" w:fill="FFFFFF"/>
        </w:rPr>
        <w:t>8</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0%以上。新增城镇就业3662人，乌兰镇零工市场建成投用，城乡低保实现统筹，特困保障、社会救助标准上调近10%，防止返贫监测和集中帮扶工作动态开展，近3万吨“暖心煤”“平价煤”有效解决群众的“燃煤之急”。社工体系不断完善，投入运营助老餐厅10家，社区养老服务站覆盖率达到100%。文化事业繁荣发展，阿尔寨石窟壁画一期修复、王爷府博物馆布展全面完工，举办“乃日音乐节”等大型文化惠民活动200余场次。教育支出近9亿元，新改扩建校舍6万平方米，旗高级中学与清华大学合作办学，国家义务教育质量监测、中考市一中统招上线率均位列全市第二，“两年夯基础”成效显著。疾控中心综合楼建成投用，柔性引进临床专业人才32名，新增心脑血管介入、血透等重点科室8个，全区首家旗县级蒙医骨伤“数字医学”创新与临床转化中心建成，顺利通过国家卫生县城复审。</w:t>
      </w:r>
    </w:p>
    <w:p>
      <w:pPr>
        <w:pStyle w:val="12"/>
        <w:widowControl w:val="0"/>
        <w:wordWrap/>
        <w:adjustRightInd/>
        <w:snapToGrid/>
        <w:spacing w:line="560" w:lineRule="exact"/>
        <w:textAlignment w:val="auto"/>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pPr>
      <w:r>
        <w:rPr>
          <w:rStyle w:val="4"/>
          <w:rFonts w:hint="eastAsia" w:ascii="黑体" w:hAnsi="黑体" w:eastAsia="黑体" w:cs="黑体"/>
          <w:b w:val="0"/>
          <w:bCs/>
          <w:spacing w:val="0"/>
          <w:kern w:val="0"/>
          <w:szCs w:val="24"/>
          <w:lang w:val="en-US" w:eastAsia="zh-CN" w:bidi="ar-SA"/>
        </w:rPr>
        <w:t>——</w:t>
      </w:r>
      <w:r>
        <w:rPr>
          <w:rStyle w:val="4"/>
          <w:rFonts w:hint="eastAsia" w:ascii="楷体_GB2312" w:hAnsi="楷体_GB2312" w:eastAsia="楷体_GB2312" w:cs="楷体_GB2312"/>
          <w:bCs w:val="0"/>
          <w:color w:val="auto"/>
          <w:spacing w:val="0"/>
          <w:kern w:val="0"/>
          <w:szCs w:val="24"/>
          <w:lang w:val="en-US" w:eastAsia="zh-CN" w:bidi="ar-SA"/>
        </w:rPr>
        <w:t>发展安全提效促稳。</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开展安全生产专项行动13次，安全形势总体平稳。</w:t>
      </w:r>
      <w:r>
        <w:rPr>
          <w:rStyle w:val="10"/>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rPr>
        <w:t>“多多评”应用更加广泛，</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千里草原安睦隆”工作法获评全区新时代“枫桥经验”先进典型。帮助大型企业有效化解债务危机，入选国家知识产权强县建设试点县。全面铸牢中华民族共同体意识，全区民族团结进步示范旗创建工作顺利通过市级初验。治安和刑事案件数量双下降，电信网络诈骗发案量下降超八成，公安局治安管理大队入选全国首批“二星级全国青年文明号”，苏米图派出所获评全国公安机关成绩突出集体。</w:t>
      </w:r>
    </w:p>
    <w:p>
      <w:pPr>
        <w:pStyle w:val="12"/>
        <w:widowControl w:val="0"/>
        <w:wordWrap/>
        <w:adjustRightInd/>
        <w:snapToGrid/>
        <w:spacing w:line="560" w:lineRule="exact"/>
        <w:textAlignment w:val="auto"/>
        <w:rPr>
          <w:rStyle w:val="10"/>
          <w:rFonts w:hint="default" w:ascii="仿宋_GB2312" w:hAnsi="仿宋_GB2312" w:eastAsia="仿宋_GB2312" w:cs="仿宋_GB2312"/>
          <w:b w:val="0"/>
          <w:bCs/>
          <w:color w:val="000000"/>
          <w:spacing w:val="0"/>
          <w:kern w:val="0"/>
          <w:sz w:val="32"/>
          <w:szCs w:val="32"/>
          <w:u w:val="none"/>
          <w:shd w:val="clear" w:color="auto" w:fill="FFFFFF"/>
          <w:lang w:val="en-US" w:eastAsia="zh-CN" w:bidi="ar-SA"/>
        </w:rPr>
      </w:pP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国防动员、人民防空、退役军人、统计调查、地震气象、社会科学、档案史志、外事侨务等工作取得新成绩，工会、共青团、妇联、科协、红十字会、残疾人和关心下一代等工作实现新进步。</w:t>
      </w:r>
    </w:p>
    <w:p>
      <w:pPr>
        <w:widowControl w:val="0"/>
        <w:wordWrap/>
        <w:spacing w:line="560" w:lineRule="exact"/>
        <w:ind w:firstLine="640" w:firstLineChars="200"/>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pP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一年来，我们持续加强政府自身建设，扎实开展学习贯彻习近平新时代中国特色社会主义思想</w:t>
      </w:r>
      <w:r>
        <w:rPr>
          <w:rStyle w:val="10"/>
          <w:rFonts w:hint="default" w:ascii="仿宋_GB2312" w:hAnsi="仿宋_GB2312" w:eastAsia="仿宋_GB2312" w:cs="仿宋_GB2312"/>
          <w:b w:val="0"/>
          <w:bCs/>
          <w:color w:val="000000"/>
          <w:spacing w:val="0"/>
          <w:kern w:val="0"/>
          <w:sz w:val="32"/>
          <w:szCs w:val="32"/>
          <w:u w:val="none"/>
          <w:shd w:val="clear" w:color="auto" w:fill="FFFFFF"/>
          <w:lang w:val="en-US" w:eastAsia="zh-CN" w:bidi="ar-SA"/>
        </w:rPr>
        <w:t>主题教育</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严格落实“第一议题”制度，深入践行“四下基层”优良传统，中央环保督察、黄河流域警示片反馈问题序时整改任务全部完成，煤炭资源领域违规违法问题常态化治理进入收官阶段，以实际行动坚定拥护“两个确立”、坚决做到“两个维护”。法治政府建设纵深推进，行政负责人出庭应诉率保持100%。政府系统党风廉政建设扎实开展，“三多、三少、三慢”问题有效解决，持续遏制“三公”经费增长，政府债务保持在合理区间。主动接受人大依法监督、政协民主监督、行政审计监督和社会舆论监督，87件人大代表建议、91件政协委员提案全部办结。</w:t>
      </w:r>
    </w:p>
    <w:p>
      <w:pPr>
        <w:pStyle w:val="12"/>
        <w:widowControl w:val="0"/>
        <w:wordWrap/>
        <w:adjustRightInd/>
        <w:snapToGrid/>
        <w:spacing w:line="560" w:lineRule="exact"/>
        <w:textAlignment w:val="auto"/>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pP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各位代表，春华秋实、勤耕不辍。困难中的发展来之不易，压力下的收获弥足珍贵。习近平新时代中国特色社会主义思想掌舵领航、凝心铸魂，指引着我们</w:t>
      </w:r>
      <w:r>
        <w:rPr>
          <w:rFonts w:hint="eastAsia" w:ascii="仿宋_GB2312" w:hAnsi="仿宋_GB2312" w:eastAsia="仿宋_GB2312" w:cs="仿宋_GB2312"/>
          <w:spacing w:val="0"/>
          <w:kern w:val="0"/>
          <w:sz w:val="32"/>
          <w:szCs w:val="32"/>
          <w:lang w:val="en-US" w:eastAsia="zh-CN"/>
        </w:rPr>
        <w:t>各项事业的前进方向；</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上级党委政府的坚强领导、亲切关怀，增强了我们奋楫争先的底气信心；旗委统揽全局、协调各方，凝聚了我们众志成城的磅礴力量；旗人大、旗政协全力支持、有效监督，形成了我们砥砺前行的强大合力；全旗干部群众、社会各界同心同向、</w:t>
      </w:r>
      <w:r>
        <w:rPr>
          <w:rFonts w:hint="eastAsia" w:ascii="仿宋_GB2312" w:hAnsi="仿宋_GB2312" w:eastAsia="仿宋_GB2312" w:cs="仿宋_GB2312"/>
          <w:spacing w:val="0"/>
          <w:kern w:val="0"/>
          <w:sz w:val="32"/>
          <w:szCs w:val="32"/>
          <w:lang w:val="en-US" w:eastAsia="zh-CN"/>
        </w:rPr>
        <w:t>团结奋斗</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，开启了鄂托克全面建设社会主义现代化的崭新篇章。</w:t>
      </w:r>
      <w:r>
        <w:rPr>
          <w:rFonts w:hint="eastAsia" w:ascii="仿宋_GB2312" w:hAnsi="仿宋_GB2312" w:eastAsia="仿宋_GB2312" w:cs="仿宋_GB2312"/>
          <w:spacing w:val="0"/>
          <w:kern w:val="0"/>
          <w:sz w:val="32"/>
          <w:szCs w:val="32"/>
          <w:lang w:val="en-US" w:eastAsia="zh-CN"/>
        </w:rPr>
        <w:t>在此，我代表旗人民政府，向所有为鄂托克改革发展贡献智慧力量的全旗人民和各界人士</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，致以崇高的敬意和衷心的感谢！</w:t>
      </w:r>
    </w:p>
    <w:p>
      <w:pPr>
        <w:pStyle w:val="12"/>
        <w:widowControl w:val="0"/>
        <w:wordWrap/>
        <w:adjustRightInd/>
        <w:snapToGrid/>
        <w:spacing w:line="560" w:lineRule="exact"/>
        <w:textAlignment w:val="auto"/>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pP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各位代表！知己不足而后进，望山远岐而前行。我们清醒地认识到，鄂托克经济社会高质量发展还面临不少困难和挑战：稳进提质的基础尚不牢固，产业链供应链韧性不强，支撑性大企业大项目大平台不多，转型发展还需进一步加快；城镇能级品质不高，公共服务供给不优，乌兰镇核心功能偏弱，棋盘井镇产城矛盾突出，城乡融合还需进一步强化；安全领域仍有不少风险隐患，基层治理存在不少薄弱环节，应对处置风险能力亟待增强，生态环境承载力不足，发展和安全还需进一步统筹。对此，我们将坚持问题导向，采取有力措施，认真予以解决。</w:t>
      </w:r>
    </w:p>
    <w:p>
      <w:pPr>
        <w:pStyle w:val="12"/>
        <w:widowControl w:val="0"/>
        <w:wordWrap/>
        <w:spacing w:line="560" w:lineRule="exact"/>
        <w:rPr>
          <w:rFonts w:hint="eastAsia" w:ascii="黑体" w:hAnsi="黑体" w:eastAsia="黑体" w:cs="黑体"/>
          <w:i w:val="0"/>
          <w:caps w:val="0"/>
          <w:color w:val="000000"/>
          <w:spacing w:val="0"/>
          <w:kern w:val="0"/>
          <w:sz w:val="32"/>
          <w:szCs w:val="32"/>
          <w:shd w:val="clear" w:color="auto" w:fill="FFFFFF"/>
          <w:lang w:val="en-US" w:eastAsia="zh-CN"/>
        </w:rPr>
      </w:pPr>
      <w:r>
        <w:rPr>
          <w:rFonts w:hint="eastAsia" w:ascii="黑体" w:hAnsi="黑体" w:eastAsia="黑体" w:cs="黑体"/>
          <w:i w:val="0"/>
          <w:caps w:val="0"/>
          <w:color w:val="000000"/>
          <w:spacing w:val="0"/>
          <w:kern w:val="0"/>
          <w:sz w:val="32"/>
          <w:szCs w:val="32"/>
          <w:shd w:val="clear" w:color="auto" w:fill="FFFFFF"/>
          <w:lang w:val="en-US" w:eastAsia="zh-CN"/>
        </w:rPr>
        <w:t>二、2024年工作安排</w:t>
      </w:r>
    </w:p>
    <w:p>
      <w:pPr>
        <w:widowControl w:val="0"/>
        <w:wordWrap/>
        <w:overflowPunct w:val="0"/>
        <w:adjustRightInd/>
        <w:snapToGrid/>
        <w:spacing w:line="560" w:lineRule="exact"/>
        <w:ind w:firstLine="640" w:firstLineChars="200"/>
        <w:jc w:val="both"/>
        <w:textAlignment w:val="auto"/>
        <w:rPr>
          <w:rFonts w:hint="default" w:ascii="黑体" w:hAnsi="黑体" w:eastAsia="黑体" w:cs="黑体"/>
          <w:i w:val="0"/>
          <w:caps w:val="0"/>
          <w:color w:val="000000"/>
          <w:spacing w:val="0"/>
          <w:kern w:val="0"/>
          <w:sz w:val="32"/>
          <w:szCs w:val="32"/>
          <w:shd w:val="clear" w:color="auto" w:fill="FFFFFF"/>
          <w:lang w:val="en-US" w:eastAsia="zh-CN"/>
        </w:rPr>
      </w:pPr>
      <w:r>
        <w:rPr>
          <w:rFonts w:hint="eastAsia" w:ascii="仿宋_GB2312" w:hAnsi="仿宋_GB2312" w:eastAsia="仿宋_GB2312" w:cs="仿宋_GB2312"/>
          <w:spacing w:val="0"/>
          <w:kern w:val="0"/>
          <w:sz w:val="32"/>
          <w:szCs w:val="32"/>
          <w:lang w:val="en-US" w:eastAsia="zh-CN"/>
        </w:rPr>
        <w:t>2024年，是中华人民共和国成立75周年，是实施“十四五”规划的关键一年。按照旗委十六届十一次全会暨全旗经济工作会议安排，政府工作要</w:t>
      </w:r>
      <w:r>
        <w:rPr>
          <w:rFonts w:hint="eastAsia" w:ascii="黑体" w:hAnsi="黑体" w:eastAsia="黑体" w:cs="黑体"/>
          <w:snapToGrid w:val="0"/>
          <w:spacing w:val="0"/>
          <w:kern w:val="0"/>
          <w:sz w:val="32"/>
          <w:szCs w:val="32"/>
          <w:lang w:val="en-US" w:eastAsia="zh-CN"/>
        </w:rPr>
        <w:t>坚持</w:t>
      </w:r>
      <w:r>
        <w:rPr>
          <w:rFonts w:hint="eastAsia" w:ascii="黑体" w:hAnsi="黑体" w:eastAsia="黑体" w:cs="黑体"/>
          <w:i w:val="0"/>
          <w:caps w:val="0"/>
          <w:color w:val="000000"/>
          <w:spacing w:val="0"/>
          <w:kern w:val="0"/>
          <w:sz w:val="32"/>
          <w:szCs w:val="32"/>
          <w:shd w:val="clear" w:color="auto" w:fill="FFFFFF"/>
          <w:lang w:val="en-US" w:eastAsia="zh-CN"/>
        </w:rPr>
        <w:t>以习近平新时代中国特色社会主义思想为指导，</w:t>
      </w:r>
      <w:r>
        <w:rPr>
          <w:rFonts w:hint="eastAsia" w:ascii="黑体" w:hAnsi="黑体" w:eastAsia="黑体" w:cs="黑体"/>
          <w:snapToGrid w:val="0"/>
          <w:spacing w:val="0"/>
          <w:kern w:val="0"/>
          <w:sz w:val="32"/>
          <w:szCs w:val="32"/>
          <w:lang w:val="en-US" w:eastAsia="zh-CN"/>
        </w:rPr>
        <w:t>全面学习贯彻落实党的二十大和二十届二中全会精神，</w:t>
      </w:r>
      <w:r>
        <w:rPr>
          <w:rFonts w:hint="eastAsia" w:ascii="黑体" w:hAnsi="黑体" w:eastAsia="黑体" w:cs="黑体"/>
          <w:i w:val="0"/>
          <w:caps w:val="0"/>
          <w:color w:val="000000"/>
          <w:spacing w:val="0"/>
          <w:kern w:val="0"/>
          <w:sz w:val="32"/>
          <w:szCs w:val="32"/>
          <w:shd w:val="clear" w:color="auto" w:fill="FFFFFF"/>
          <w:lang w:val="en-US" w:eastAsia="zh-CN"/>
        </w:rPr>
        <w:t>深入贯彻落实习近平总书记对内蒙古的重要指示精神，完整、准确、全面贯彻新发展理念，</w:t>
      </w:r>
      <w:r>
        <w:rPr>
          <w:rFonts w:hint="eastAsia" w:ascii="黑体" w:hAnsi="黑体" w:eastAsia="黑体" w:cs="黑体"/>
          <w:snapToGrid w:val="0"/>
          <w:spacing w:val="0"/>
          <w:kern w:val="0"/>
          <w:sz w:val="32"/>
          <w:szCs w:val="32"/>
          <w:lang w:val="en-US" w:eastAsia="zh-CN"/>
        </w:rPr>
        <w:t>以铸牢中华民族共同体意识为主线，</w:t>
      </w:r>
      <w:r>
        <w:rPr>
          <w:rFonts w:hint="eastAsia" w:ascii="黑体" w:hAnsi="黑体" w:eastAsia="黑体" w:cs="黑体"/>
          <w:i w:val="0"/>
          <w:caps w:val="0"/>
          <w:color w:val="000000"/>
          <w:spacing w:val="0"/>
          <w:kern w:val="0"/>
          <w:sz w:val="32"/>
          <w:szCs w:val="32"/>
          <w:shd w:val="clear" w:color="auto" w:fill="FFFFFF"/>
          <w:lang w:val="en-US" w:eastAsia="zh-CN"/>
        </w:rPr>
        <w:t>坚持稳中求进工作总基调，</w:t>
      </w:r>
      <w:r>
        <w:rPr>
          <w:rFonts w:hint="eastAsia" w:ascii="黑体" w:hAnsi="黑体" w:eastAsia="黑体" w:cs="黑体"/>
          <w:snapToGrid w:val="0"/>
          <w:spacing w:val="0"/>
          <w:kern w:val="0"/>
          <w:sz w:val="32"/>
          <w:szCs w:val="32"/>
          <w:lang w:val="en-US" w:eastAsia="zh-CN"/>
        </w:rPr>
        <w:t>聚焦推动黄河流域生态保护和高质量发展，全力围绕自治区“两件大事”和市委“三个四”工作任务，扎实走好以生态优先、绿色发展为导向的高质量发展新路子，</w:t>
      </w:r>
      <w:r>
        <w:rPr>
          <w:rFonts w:hint="eastAsia" w:ascii="黑体" w:hAnsi="黑体" w:eastAsia="黑体" w:cs="黑体"/>
          <w:i w:val="0"/>
          <w:caps w:val="0"/>
          <w:color w:val="000000"/>
          <w:spacing w:val="0"/>
          <w:kern w:val="0"/>
          <w:sz w:val="32"/>
          <w:szCs w:val="32"/>
          <w:shd w:val="clear" w:color="auto" w:fill="FFFFFF"/>
          <w:lang w:val="en-US" w:eastAsia="zh-CN"/>
        </w:rPr>
        <w:t>奋力书写中国式现代化鄂托克新篇章！</w:t>
      </w:r>
    </w:p>
    <w:p>
      <w:pPr>
        <w:pStyle w:val="12"/>
        <w:widowControl w:val="0"/>
        <w:wordWrap/>
        <w:adjustRightInd/>
        <w:snapToGrid/>
        <w:spacing w:line="560" w:lineRule="exact"/>
        <w:textAlignment w:val="auto"/>
        <w:rPr>
          <w:rFonts w:hint="default"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今年经济社会发展的主要预期目标是:地区生产总值增长6%左右；规上工业增加值增长7%以上；固定资产投资增长20%以上；一般公共预算收入增长2%左右；社会消费品零售总额增长8%左右；居民收入增长与经济增长基本同步；力争全国百强县排名晋位升级。重点抓好以下八个方面的工作。</w:t>
      </w:r>
    </w:p>
    <w:p>
      <w:pPr>
        <w:pStyle w:val="12"/>
        <w:widowControl w:val="0"/>
        <w:wordWrap/>
        <w:spacing w:line="560" w:lineRule="exact"/>
        <w:rPr>
          <w:rFonts w:hint="eastAsia" w:ascii="仿宋_GB2312" w:hAnsi="仿宋_GB2312" w:eastAsia="仿宋_GB2312" w:cs="仿宋_GB2312"/>
          <w:spacing w:val="0"/>
          <w:kern w:val="0"/>
          <w:sz w:val="32"/>
          <w:szCs w:val="32"/>
          <w:lang w:val="en-US" w:eastAsia="zh-CN"/>
        </w:rPr>
      </w:pPr>
      <w:r>
        <w:rPr>
          <w:rStyle w:val="4"/>
          <w:rFonts w:hint="eastAsia" w:ascii="楷体_GB2312" w:hAnsi="楷体_GB2312" w:eastAsia="楷体_GB2312" w:cs="楷体_GB2312"/>
          <w:b/>
          <w:bCs w:val="0"/>
          <w:spacing w:val="0"/>
          <w:kern w:val="0"/>
          <w:sz w:val="32"/>
          <w:lang w:val="en-US" w:eastAsia="zh-CN"/>
        </w:rPr>
        <w:t>(一)突出工业提质，巩固增强发展韧劲。</w:t>
      </w:r>
      <w:r>
        <w:rPr>
          <w:rFonts w:hint="eastAsia" w:ascii="仿宋_GB2312" w:hAnsi="仿宋_GB2312" w:eastAsia="仿宋_GB2312" w:cs="仿宋_GB2312"/>
          <w:spacing w:val="0"/>
          <w:kern w:val="0"/>
          <w:sz w:val="32"/>
          <w:szCs w:val="32"/>
          <w:lang w:val="en-US" w:eastAsia="zh-CN"/>
        </w:rPr>
        <w:t>推动工业高端化、智能化、绿色化发展，转变发展方式，转换增长动能，实现质的有效提升和量的合理增长。</w:t>
      </w:r>
    </w:p>
    <w:p>
      <w:pPr>
        <w:pStyle w:val="12"/>
        <w:widowControl w:val="0"/>
        <w:wordWrap/>
        <w:overflowPunct w:val="0"/>
        <w:snapToGrid w:val="0"/>
        <w:spacing w:line="560" w:lineRule="exact"/>
        <w:ind w:firstLine="643" w:firstLineChars="200"/>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pPr>
      <w:r>
        <w:rPr>
          <w:rStyle w:val="4"/>
          <w:rFonts w:hint="eastAsia" w:ascii="仿宋_GB2312" w:hAnsi="仿宋_GB2312" w:eastAsia="仿宋_GB2312" w:cs="仿宋_GB2312"/>
          <w:b/>
          <w:bCs w:val="0"/>
          <w:spacing w:val="0"/>
          <w:kern w:val="0"/>
          <w:sz w:val="32"/>
          <w:lang w:val="en-US" w:eastAsia="zh-CN"/>
        </w:rPr>
        <w:t>推动传统产业集群壮链。</w:t>
      </w:r>
      <w:r>
        <w:rPr>
          <w:rStyle w:val="4"/>
          <w:rFonts w:hint="eastAsia" w:ascii="仿宋_GB2312" w:hAnsi="仿宋_GB2312" w:eastAsia="仿宋_GB2312" w:cs="仿宋_GB2312"/>
          <w:b w:val="0"/>
          <w:bCs/>
          <w:spacing w:val="0"/>
          <w:kern w:val="0"/>
          <w:sz w:val="32"/>
          <w:lang w:val="en-US" w:eastAsia="zh-CN"/>
        </w:rPr>
        <w:t>实施</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传统产业量质双提”行动，实现煤钙硅气等资源更多就地转化。煤电行业全面向绿色高效转变，实现产值达到700亿元；打造国能蒙西、利民等智能化示范矿井，推动煤炭先进产能占比达到75%以上；深入实施煤电机组“三改联动”，确保鄂尔多斯双欣电力公司间冷节水及节能技改、亿正化工蒽油深加工及配套余热发电等项目投用；加快君正45万千瓦光伏等项目并网发电，系统布局光伏治沙项目，打通新能源内供外送通道，确保新能源装机突破300万千瓦、绿电装机占比提升至40%左右。化工行业全面向终端制造转变，实现产值突破600亿元；启动绿色焦化2.0行动，推动三大绿色焦化产业集聚区整合，支持国能蒙西PGA、神马建元精己二酸等百亿级项目建设，加快建成棋盘井“尼龙城”和蒙西“可降解塑料基地”；支持双欣建设10万吨高端PVA、5万吨PVB树脂及功能性膜、君正38万吨特种树脂等绿色化工新材料项目，形成更多氯碱化工终端应用产品。冶金行业全面向高端智能转变，实现产值稳定在150亿元以上；落实铁合金行业高质量发展规划，全行业推广智能化“创新工厂”模式，示范建设绿电直供项目，加快全自动浇铸、炉前作业机器人等技术研发应用，确保在节能降耗、循环利用、安全稳定等各方面领跑全国。</w:t>
      </w:r>
    </w:p>
    <w:p>
      <w:pPr>
        <w:pStyle w:val="12"/>
        <w:widowControl w:val="0"/>
        <w:wordWrap/>
        <w:spacing w:line="560" w:lineRule="exact"/>
        <w:ind w:left="0" w:leftChars="0" w:firstLine="643" w:firstLineChars="200"/>
        <w:rPr>
          <w:rFonts w:hint="eastAsia" w:ascii="仿宋_GB2312" w:hAnsi="仿宋_GB2312" w:eastAsia="仿宋_GB2312" w:cs="仿宋_GB2312"/>
          <w:spacing w:val="0"/>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推动新兴产业扩圈建链。</w:t>
      </w:r>
      <w:r>
        <w:rPr>
          <w:rStyle w:val="4"/>
          <w:rFonts w:hint="default" w:ascii="仿宋_GB2312" w:hAnsi="仿宋_GB2312" w:eastAsia="仿宋_GB2312" w:cs="仿宋_GB2312"/>
          <w:b w:val="0"/>
          <w:bCs/>
          <w:spacing w:val="9"/>
          <w:kern w:val="21"/>
          <w:sz w:val="32"/>
          <w:lang w:val="en-US" w:eastAsia="zh-CN"/>
        </w:rPr>
        <w:t>开展</w:t>
      </w:r>
      <w:r>
        <w:rPr>
          <w:rStyle w:val="4"/>
          <w:rFonts w:hint="eastAsia" w:ascii="仿宋_GB2312" w:hAnsi="仿宋_GB2312" w:eastAsia="仿宋_GB2312" w:cs="仿宋_GB2312"/>
          <w:b w:val="0"/>
          <w:bCs/>
          <w:spacing w:val="9"/>
          <w:kern w:val="21"/>
          <w:sz w:val="32"/>
          <w:lang w:val="en-US" w:eastAsia="zh-CN"/>
        </w:rPr>
        <w:t>“</w:t>
      </w:r>
      <w:r>
        <w:rPr>
          <w:rStyle w:val="10"/>
          <w:rFonts w:hint="eastAsia" w:ascii="仿宋_GB2312" w:hAnsi="仿宋_GB2312" w:eastAsia="仿宋_GB2312" w:cs="仿宋_GB2312"/>
          <w:b w:val="0"/>
          <w:bCs/>
          <w:color w:val="000000"/>
          <w:spacing w:val="9"/>
          <w:kern w:val="21"/>
          <w:sz w:val="32"/>
          <w:szCs w:val="32"/>
          <w:u w:val="none"/>
          <w:shd w:val="clear" w:color="auto" w:fill="FFFFFF"/>
          <w:lang w:val="en-US" w:eastAsia="zh-CN" w:bidi="ar-SA"/>
        </w:rPr>
        <w:t>新兴产业发展倍增”行动，</w:t>
      </w:r>
      <w:r>
        <w:rPr>
          <w:rFonts w:hint="eastAsia" w:ascii="仿宋_GB2312" w:hAnsi="仿宋_GB2312" w:eastAsia="仿宋_GB2312" w:cs="仿宋_GB2312"/>
          <w:color w:val="000000"/>
          <w:spacing w:val="9"/>
          <w:kern w:val="21"/>
          <w:sz w:val="32"/>
          <w:szCs w:val="32"/>
          <w:u w:val="none"/>
          <w:lang w:val="en-US" w:eastAsia="zh-CN"/>
        </w:rPr>
        <w:t>加快实现</w:t>
      </w:r>
      <w:r>
        <w:rPr>
          <w:rFonts w:hint="eastAsia" w:ascii="仿宋_GB2312" w:hAnsi="仿宋_GB2312" w:eastAsia="仿宋_GB2312" w:cs="仿宋_GB2312"/>
          <w:color w:val="000000"/>
          <w:spacing w:val="9"/>
          <w:kern w:val="21"/>
          <w:sz w:val="32"/>
          <w:szCs w:val="32"/>
          <w:u w:val="none"/>
        </w:rPr>
        <w:t>风光氢储用一体化发展</w:t>
      </w:r>
      <w:r>
        <w:rPr>
          <w:rFonts w:hint="eastAsia" w:ascii="仿宋_GB2312" w:hAnsi="仿宋_GB2312" w:eastAsia="仿宋_GB2312" w:cs="仿宋_GB2312"/>
          <w:color w:val="000000"/>
          <w:spacing w:val="9"/>
          <w:kern w:val="21"/>
          <w:sz w:val="32"/>
          <w:szCs w:val="32"/>
          <w:u w:val="none"/>
          <w:lang w:eastAsia="zh-CN"/>
        </w:rPr>
        <w:t>。</w:t>
      </w:r>
      <w:r>
        <w:rPr>
          <w:rFonts w:hint="eastAsia" w:ascii="仿宋_GB2312" w:hAnsi="仿宋_GB2312" w:eastAsia="仿宋_GB2312" w:cs="仿宋_GB2312"/>
          <w:spacing w:val="9"/>
          <w:kern w:val="21"/>
          <w:sz w:val="32"/>
          <w:szCs w:val="32"/>
          <w:u w:val="none"/>
          <w:lang w:val="en-US" w:eastAsia="zh-CN"/>
        </w:rPr>
        <w:t>谋划建设新能源装备制造产业园，推动江苏宝馨异质结电池3月下线，安徽海螺光伏全产业链、东富负极材料、江苏海四达电芯制造及配套材料等重大项目签约开工，延链强链打通硅基材料到动力电池的全链条。着力打造以深能北方绿氢制15万吨绿氨和扬州吉道与国能</w:t>
      </w:r>
      <w:r>
        <w:rPr>
          <w:rFonts w:hint="eastAsia" w:ascii="仿宋_GB2312" w:hAnsi="仿宋_GB2312" w:eastAsia="仿宋_GB2312" w:cs="仿宋_GB2312"/>
          <w:spacing w:val="6"/>
          <w:kern w:val="0"/>
          <w:sz w:val="32"/>
          <w:szCs w:val="32"/>
          <w:u w:val="none"/>
          <w:lang w:val="en-US" w:eastAsia="zh-CN"/>
        </w:rPr>
        <w:t>内蒙古电力70万吨、明阳能源60万吨绿氢制绿色甲醇等项目为引领的全市首个零碳绿氢化工产业园。</w:t>
      </w:r>
    </w:p>
    <w:p>
      <w:pPr>
        <w:pStyle w:val="12"/>
        <w:widowControl w:val="0"/>
        <w:wordWrap/>
        <w:spacing w:line="560" w:lineRule="exact"/>
        <w:rPr>
          <w:rFonts w:hint="eastAsia" w:ascii="仿宋_GB2312" w:hAnsi="仿宋_GB2312" w:eastAsia="仿宋_GB2312" w:cs="仿宋_GB2312"/>
          <w:spacing w:val="0"/>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推动科技创新赋能强链。</w:t>
      </w:r>
      <w:r>
        <w:rPr>
          <w:rFonts w:hint="eastAsia" w:ascii="仿宋_GB2312" w:hAnsi="仿宋_GB2312" w:eastAsia="仿宋_GB2312" w:cs="仿宋_GB2312"/>
          <w:spacing w:val="0"/>
          <w:kern w:val="0"/>
          <w:sz w:val="32"/>
          <w:szCs w:val="32"/>
          <w:u w:val="none"/>
          <w:lang w:val="en-US" w:eastAsia="zh-CN"/>
        </w:rPr>
        <w:t>落实科技“突围”行动，投入本级科技创新经费7000万元以上，实施旗级“揭榜挂帅”科技攻关项目10个，推动全社会研发投入突破16亿元，再落地一批国内专精特新首台套、首批次产品。深入开展“双倍增”“三清零”行动，推动规上企业研发覆盖面突破60%，培育国家高新技术企业5家，入库国家科技型中小企业60家。与中山大学、浙江大学进行深度合作，积极开展电极材料、螺旋藻生物医药等领域科研攻关，争取再建国家级创新平台2家、自治区级创新平台5家。</w:t>
      </w:r>
    </w:p>
    <w:p>
      <w:pPr>
        <w:widowControl w:val="0"/>
        <w:wordWrap/>
        <w:overflowPunct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spacing w:val="0"/>
          <w:kern w:val="0"/>
          <w:sz w:val="32"/>
          <w:szCs w:val="32"/>
          <w:u w:val="none"/>
          <w:lang w:val="en-US" w:eastAsia="zh-CN"/>
        </w:rPr>
      </w:pPr>
      <w:r>
        <w:rPr>
          <w:rStyle w:val="4"/>
          <w:rFonts w:hint="eastAsia" w:ascii="楷体_GB2312" w:hAnsi="楷体_GB2312" w:eastAsia="楷体_GB2312" w:cs="楷体_GB2312"/>
          <w:b/>
          <w:bCs w:val="0"/>
          <w:spacing w:val="0"/>
          <w:kern w:val="0"/>
          <w:sz w:val="32"/>
          <w:lang w:val="en-US" w:eastAsia="zh-CN"/>
        </w:rPr>
        <w:t>(二)突出农牧业增效，扎实推进乡村振兴。</w:t>
      </w:r>
      <w:r>
        <w:rPr>
          <w:rFonts w:hint="eastAsia" w:ascii="仿宋_GB2312" w:hAnsi="仿宋_GB2312" w:eastAsia="仿宋_GB2312" w:cs="仿宋_GB2312"/>
          <w:spacing w:val="0"/>
          <w:kern w:val="0"/>
          <w:sz w:val="32"/>
          <w:szCs w:val="32"/>
          <w:u w:val="none"/>
          <w:lang w:val="en-US" w:eastAsia="zh-CN"/>
        </w:rPr>
        <w:t>坚持农业农村优先发展，用工业化思维推动农牧业高质量发展，加快实现农牧业高质高效、农牧民富裕富足、农牧区和美宜居。</w:t>
      </w:r>
    </w:p>
    <w:p>
      <w:pPr>
        <w:widowControl w:val="0"/>
        <w:wordWrap/>
        <w:overflowPunct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spacing w:val="6"/>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以工补农促进农牧产业增效。</w:t>
      </w:r>
      <w:r>
        <w:rPr>
          <w:rFonts w:hint="eastAsia" w:ascii="仿宋_GB2312" w:hAnsi="仿宋_GB2312" w:eastAsia="仿宋_GB2312" w:cs="仿宋_GB2312"/>
          <w:spacing w:val="6"/>
          <w:kern w:val="0"/>
          <w:sz w:val="32"/>
          <w:szCs w:val="32"/>
          <w:u w:val="none"/>
          <w:lang w:val="en-US" w:eastAsia="zh-CN"/>
        </w:rPr>
        <w:t>建立“以工补农”政策资金增长机制，整合投入本级各类资金7亿元以上，全力推动</w:t>
      </w:r>
      <w:r>
        <w:rPr>
          <w:rFonts w:hint="eastAsia" w:ascii="仿宋_GB2312" w:hAnsi="仿宋_GB2312" w:eastAsia="仿宋_GB2312" w:cs="仿宋_GB2312"/>
          <w:spacing w:val="6"/>
          <w:kern w:val="0"/>
          <w:sz w:val="32"/>
          <w:szCs w:val="32"/>
          <w:u w:val="none"/>
        </w:rPr>
        <w:t>农牧产业组织化、规模化、标准化、品牌化</w:t>
      </w:r>
      <w:r>
        <w:rPr>
          <w:rFonts w:hint="eastAsia" w:ascii="仿宋_GB2312" w:hAnsi="仿宋_GB2312" w:eastAsia="仿宋_GB2312" w:cs="仿宋_GB2312"/>
          <w:spacing w:val="6"/>
          <w:kern w:val="0"/>
          <w:sz w:val="32"/>
          <w:szCs w:val="32"/>
          <w:u w:val="none"/>
          <w:lang w:val="en-US" w:eastAsia="zh-CN"/>
        </w:rPr>
        <w:t>发展</w:t>
      </w:r>
      <w:r>
        <w:rPr>
          <w:rFonts w:hint="eastAsia" w:ascii="仿宋_GB2312" w:hAnsi="仿宋_GB2312" w:eastAsia="仿宋_GB2312" w:cs="仿宋_GB2312"/>
          <w:spacing w:val="6"/>
          <w:kern w:val="0"/>
          <w:sz w:val="32"/>
          <w:szCs w:val="32"/>
          <w:u w:val="none"/>
        </w:rPr>
        <w:t>。</w:t>
      </w:r>
      <w:r>
        <w:rPr>
          <w:rFonts w:hint="eastAsia" w:ascii="仿宋_GB2312" w:hAnsi="仿宋_GB2312" w:eastAsia="仿宋_GB2312" w:cs="仿宋_GB2312"/>
          <w:spacing w:val="6"/>
          <w:kern w:val="0"/>
          <w:sz w:val="32"/>
          <w:szCs w:val="32"/>
          <w:u w:val="none"/>
          <w:lang w:val="en-US" w:eastAsia="zh-CN"/>
        </w:rPr>
        <w:t>深化“龙头企业+党支部+合作社+农牧户”模式，支持华翔、嘉谊等工农企业带动互促，确保华翔20万只阿尔巴斯绒山羊养殖、嘉胜万头肉牛三期等12个重点项目建成，力争规上农产品加工企业突破50家，农牧产业经营主体突破2100家，农企利益联结比例达到70%以上。坚持藏粮于地、藏粮于技，坚决扛牢耕地保护和粮食安全政治责任，实施高标准农田2万亩，推动赛乌素、蒙西沿黄等重点地区种植结构调整增效，加快解决水资源紧缺和农牧业规模化发展矛盾。</w:t>
      </w:r>
    </w:p>
    <w:p>
      <w:pPr>
        <w:widowControl w:val="0"/>
        <w:wordWrap/>
        <w:overflowPunct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spacing w:val="0"/>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做优品牌推动农畜产品增值。</w:t>
      </w:r>
      <w:r>
        <w:rPr>
          <w:rFonts w:hint="eastAsia" w:ascii="仿宋_GB2312" w:hAnsi="仿宋_GB2312" w:eastAsia="仿宋_GB2312" w:cs="仿宋_GB2312"/>
          <w:spacing w:val="-6"/>
          <w:kern w:val="0"/>
          <w:sz w:val="32"/>
          <w:szCs w:val="32"/>
          <w:u w:val="none"/>
          <w:lang w:val="en-US" w:eastAsia="zh-CN" w:bidi="ar-SA"/>
        </w:rPr>
        <w:t>加强阿尔巴斯羊绒核心种质资源保护，坚持肉绒全产业链发展，科学化抓好超细特细山羊绒保种选育、基因编辑、提纯复壮，全力建设国家级保种场，组建1436产业联盟和原绒交易中心，完善屠宰加工、冷链储运体系，以生态大牧场模式打造万亩“源牧场”5个、示范牧场350个、超细特细核心群各50个，办好“绒”耀四海·名“羊”世界·登峰“藻”极产品发布会。打造世界级螺旋藻生产加工基地，转化生物医药联合研究中心研究成果，推动出口突破800万美元。创建全市肉牛现代农牧业产业园，做大做强木凯淖尔土鸡、苏米图肉牛等特色产业</w:t>
      </w:r>
      <w:r>
        <w:rPr>
          <w:rFonts w:hint="eastAsia" w:ascii="仿宋_GB2312" w:hAnsi="仿宋_GB2312" w:eastAsia="仿宋_GB2312" w:cs="仿宋_GB2312"/>
          <w:spacing w:val="-6"/>
          <w:kern w:val="0"/>
          <w:sz w:val="32"/>
          <w:szCs w:val="32"/>
          <w:u w:val="none"/>
          <w:lang w:val="en-US" w:eastAsia="zh-CN"/>
        </w:rPr>
        <w:t>。</w:t>
      </w:r>
    </w:p>
    <w:p>
      <w:pPr>
        <w:pStyle w:val="12"/>
        <w:widowControl w:val="0"/>
        <w:wordWrap/>
        <w:overflowPunct w:val="0"/>
        <w:adjustRightInd/>
        <w:snapToGrid w:val="0"/>
        <w:spacing w:line="560" w:lineRule="exact"/>
        <w:ind w:firstLine="643" w:firstLineChars="200"/>
        <w:rPr>
          <w:rFonts w:hint="eastAsia" w:ascii="仿宋_GB2312" w:hAnsi="仿宋_GB2312" w:eastAsia="仿宋_GB2312" w:cs="仿宋_GB2312"/>
          <w:color w:val="000000"/>
          <w:spacing w:val="1"/>
          <w:kern w:val="0"/>
          <w:sz w:val="32"/>
          <w:szCs w:val="32"/>
          <w:u w:val="none"/>
        </w:rPr>
      </w:pPr>
      <w:r>
        <w:rPr>
          <w:rStyle w:val="4"/>
          <w:rFonts w:hint="eastAsia" w:ascii="仿宋_GB2312" w:hAnsi="仿宋_GB2312" w:eastAsia="仿宋_GB2312" w:cs="仿宋_GB2312"/>
          <w:b/>
          <w:bCs w:val="0"/>
          <w:spacing w:val="0"/>
          <w:kern w:val="0"/>
          <w:sz w:val="32"/>
          <w:lang w:val="en-US" w:eastAsia="zh-CN"/>
        </w:rPr>
        <w:t>标本兼治助力和美乡村增颜。</w:t>
      </w:r>
      <w:r>
        <w:rPr>
          <w:rFonts w:hint="eastAsia" w:ascii="仿宋_GB2312" w:hAnsi="仿宋_GB2312" w:eastAsia="仿宋_GB2312" w:cs="仿宋_GB2312"/>
          <w:color w:val="000000"/>
          <w:spacing w:val="1"/>
          <w:kern w:val="0"/>
          <w:sz w:val="32"/>
          <w:szCs w:val="32"/>
          <w:u w:val="none"/>
          <w:lang w:val="en-US" w:eastAsia="zh-CN"/>
        </w:rPr>
        <w:t>制定出台《“千万工程”实施方案》</w:t>
      </w:r>
      <w:r>
        <w:rPr>
          <w:rFonts w:hint="eastAsia" w:ascii="仿宋_GB2312" w:hAnsi="仿宋_GB2312" w:eastAsia="仿宋_GB2312" w:cs="仿宋_GB2312"/>
          <w:color w:val="000000"/>
          <w:spacing w:val="1"/>
          <w:kern w:val="0"/>
          <w:sz w:val="32"/>
          <w:szCs w:val="32"/>
          <w:u w:val="none"/>
        </w:rPr>
        <w:t>，统筹推动“五大振兴”。</w:t>
      </w:r>
      <w:r>
        <w:rPr>
          <w:rFonts w:hint="eastAsia" w:ascii="仿宋_GB2312" w:hAnsi="仿宋_GB2312" w:eastAsia="仿宋_GB2312" w:cs="仿宋_GB2312"/>
          <w:color w:val="000000"/>
          <w:spacing w:val="1"/>
          <w:kern w:val="0"/>
          <w:sz w:val="32"/>
          <w:szCs w:val="32"/>
          <w:u w:val="none"/>
          <w:lang w:val="en-US" w:eastAsia="zh-CN"/>
        </w:rPr>
        <w:t>加强</w:t>
      </w:r>
      <w:r>
        <w:rPr>
          <w:rFonts w:hint="eastAsia" w:ascii="仿宋_GB2312" w:hAnsi="仿宋_GB2312" w:eastAsia="仿宋_GB2312" w:cs="仿宋_GB2312"/>
          <w:color w:val="000000"/>
          <w:spacing w:val="1"/>
          <w:kern w:val="0"/>
          <w:sz w:val="32"/>
          <w:szCs w:val="32"/>
          <w:u w:val="none"/>
        </w:rPr>
        <w:t>农村</w:t>
      </w:r>
      <w:r>
        <w:rPr>
          <w:rFonts w:hint="eastAsia" w:ascii="仿宋_GB2312" w:hAnsi="仿宋_GB2312" w:eastAsia="仿宋_GB2312" w:cs="仿宋_GB2312"/>
          <w:color w:val="000000"/>
          <w:spacing w:val="1"/>
          <w:kern w:val="0"/>
          <w:sz w:val="32"/>
          <w:szCs w:val="32"/>
          <w:u w:val="none"/>
          <w:lang w:val="en-US" w:eastAsia="zh-CN"/>
        </w:rPr>
        <w:t>牧区</w:t>
      </w:r>
      <w:r>
        <w:rPr>
          <w:rFonts w:hint="eastAsia" w:ascii="仿宋_GB2312" w:hAnsi="仿宋_GB2312" w:eastAsia="仿宋_GB2312" w:cs="仿宋_GB2312"/>
          <w:color w:val="000000"/>
          <w:spacing w:val="1"/>
          <w:kern w:val="0"/>
          <w:sz w:val="32"/>
          <w:szCs w:val="32"/>
          <w:u w:val="none"/>
        </w:rPr>
        <w:t>人居环境整治，动态清零危</w:t>
      </w:r>
      <w:r>
        <w:rPr>
          <w:rFonts w:hint="eastAsia" w:ascii="仿宋_GB2312" w:hAnsi="仿宋_GB2312" w:eastAsia="仿宋_GB2312" w:cs="仿宋_GB2312"/>
          <w:color w:val="000000"/>
          <w:spacing w:val="1"/>
          <w:kern w:val="0"/>
          <w:sz w:val="32"/>
          <w:szCs w:val="32"/>
          <w:u w:val="none"/>
          <w:lang w:val="en-US" w:eastAsia="zh-CN"/>
        </w:rPr>
        <w:t>房危桥，系统提升水厕户厕，推动生活污水治理率达到65%以上。实施农牧区远距离拉水和水塔提升改造等水利惠民工程14项，彻底解决农牧民用水问题；新建改造高低压供电线路1000公里、变压器1500台套以上，完成偏远农牧户新能源供电改造2000户；因地制宜推进农村牧区</w:t>
      </w:r>
      <w:r>
        <w:rPr>
          <w:rFonts w:hint="default" w:ascii="仿宋_GB2312" w:hAnsi="仿宋_GB2312" w:eastAsia="仿宋_GB2312" w:cs="仿宋_GB2312"/>
          <w:color w:val="000000"/>
          <w:spacing w:val="1"/>
          <w:kern w:val="0"/>
          <w:sz w:val="32"/>
          <w:szCs w:val="32"/>
          <w:u w:val="none"/>
          <w:lang w:val="en-US" w:eastAsia="zh-CN"/>
        </w:rPr>
        <w:t>清洁取暖</w:t>
      </w:r>
      <w:r>
        <w:rPr>
          <w:rFonts w:hint="eastAsia" w:ascii="仿宋_GB2312" w:hAnsi="仿宋_GB2312" w:eastAsia="仿宋_GB2312" w:cs="仿宋_GB2312"/>
          <w:color w:val="000000"/>
          <w:spacing w:val="1"/>
          <w:kern w:val="0"/>
          <w:sz w:val="32"/>
          <w:szCs w:val="32"/>
          <w:u w:val="none"/>
          <w:lang w:val="en-US" w:eastAsia="zh-CN"/>
        </w:rPr>
        <w:t>改造3000户以上；</w:t>
      </w:r>
      <w:r>
        <w:rPr>
          <w:rFonts w:hint="eastAsia" w:ascii="仿宋_GB2312" w:hAnsi="仿宋_GB2312" w:eastAsia="仿宋_GB2312" w:cs="仿宋_GB2312"/>
          <w:color w:val="000000"/>
          <w:spacing w:val="1"/>
          <w:kern w:val="0"/>
          <w:sz w:val="32"/>
          <w:szCs w:val="32"/>
          <w:u w:val="none"/>
          <w:lang w:val="en-US" w:eastAsia="zh-CN" w:bidi="ar-SA"/>
        </w:rPr>
        <w:t>加快S216蒙西至棋盘井段公路养护等工程建设，</w:t>
      </w:r>
      <w:r>
        <w:rPr>
          <w:rFonts w:hint="eastAsia" w:ascii="仿宋_GB2312" w:hAnsi="仿宋_GB2312" w:eastAsia="仿宋_GB2312" w:cs="仿宋_GB2312"/>
          <w:color w:val="000000"/>
          <w:spacing w:val="1"/>
          <w:kern w:val="0"/>
          <w:sz w:val="32"/>
          <w:szCs w:val="32"/>
          <w:u w:val="none"/>
        </w:rPr>
        <w:t>新改建农村公路</w:t>
      </w:r>
      <w:r>
        <w:rPr>
          <w:rFonts w:hint="eastAsia" w:ascii="仿宋_GB2312" w:hAnsi="仿宋_GB2312" w:eastAsia="仿宋_GB2312" w:cs="仿宋_GB2312"/>
          <w:color w:val="000000"/>
          <w:spacing w:val="1"/>
          <w:kern w:val="0"/>
          <w:sz w:val="32"/>
          <w:szCs w:val="32"/>
          <w:u w:val="none"/>
          <w:lang w:val="en-US" w:eastAsia="zh-CN"/>
        </w:rPr>
        <w:t>1</w:t>
      </w:r>
      <w:r>
        <w:rPr>
          <w:rFonts w:hint="eastAsia" w:ascii="仿宋_GB2312" w:hAnsi="仿宋_GB2312" w:eastAsia="仿宋_GB2312" w:cs="仿宋_GB2312"/>
          <w:color w:val="000000"/>
          <w:spacing w:val="1"/>
          <w:kern w:val="0"/>
          <w:sz w:val="32"/>
          <w:szCs w:val="32"/>
          <w:u w:val="none"/>
        </w:rPr>
        <w:t>00公里</w:t>
      </w:r>
      <w:r>
        <w:rPr>
          <w:rFonts w:hint="eastAsia" w:ascii="仿宋_GB2312" w:hAnsi="仿宋_GB2312" w:eastAsia="仿宋_GB2312" w:cs="仿宋_GB2312"/>
          <w:color w:val="000000"/>
          <w:spacing w:val="1"/>
          <w:kern w:val="0"/>
          <w:sz w:val="32"/>
          <w:szCs w:val="32"/>
          <w:u w:val="none"/>
          <w:lang w:eastAsia="zh-CN"/>
        </w:rPr>
        <w:t>；</w:t>
      </w:r>
      <w:r>
        <w:rPr>
          <w:rFonts w:hint="eastAsia" w:ascii="仿宋_GB2312" w:hAnsi="仿宋_GB2312" w:eastAsia="仿宋_GB2312" w:cs="仿宋_GB2312"/>
          <w:color w:val="000000"/>
          <w:spacing w:val="1"/>
          <w:kern w:val="0"/>
          <w:sz w:val="32"/>
          <w:szCs w:val="32"/>
          <w:u w:val="none"/>
          <w:lang w:val="en-US" w:eastAsia="zh-CN"/>
        </w:rPr>
        <w:t>增设通信基站150个，有效解决农村牧区信号弱问题。扎实做好</w:t>
      </w:r>
      <w:r>
        <w:rPr>
          <w:rFonts w:hint="eastAsia" w:ascii="仿宋_GB2312" w:hAnsi="仿宋_GB2312" w:eastAsia="仿宋_GB2312" w:cs="仿宋_GB2312"/>
          <w:color w:val="000000"/>
          <w:spacing w:val="1"/>
          <w:kern w:val="0"/>
          <w:sz w:val="32"/>
          <w:szCs w:val="32"/>
          <w:u w:val="none"/>
        </w:rPr>
        <w:t>嘎查村美化亮化工程，创建市级宜居宜业和美乡村20个以上。</w:t>
      </w:r>
    </w:p>
    <w:p>
      <w:pPr>
        <w:widowControl w:val="0"/>
        <w:wordWrap/>
        <w:overflowPunct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color w:val="000000"/>
          <w:spacing w:val="0"/>
          <w:kern w:val="0"/>
          <w:sz w:val="32"/>
          <w:szCs w:val="32"/>
          <w:u w:val="none"/>
        </w:rPr>
      </w:pPr>
      <w:r>
        <w:rPr>
          <w:rStyle w:val="4"/>
          <w:rFonts w:hint="eastAsia" w:ascii="楷体_GB2312" w:hAnsi="楷体_GB2312" w:eastAsia="楷体_GB2312" w:cs="楷体_GB2312"/>
          <w:b/>
          <w:bCs w:val="0"/>
          <w:spacing w:val="0"/>
          <w:kern w:val="0"/>
          <w:sz w:val="32"/>
          <w:lang w:val="en-US" w:eastAsia="zh-CN"/>
        </w:rPr>
        <w:t>(三)突出服务业破题，加快培植发展动能。</w:t>
      </w:r>
      <w:r>
        <w:rPr>
          <w:rFonts w:hint="eastAsia" w:ascii="仿宋_GB2312" w:hAnsi="仿宋_GB2312" w:eastAsia="仿宋_GB2312" w:cs="仿宋_GB2312"/>
          <w:color w:val="000000"/>
          <w:spacing w:val="0"/>
          <w:kern w:val="0"/>
          <w:sz w:val="32"/>
          <w:szCs w:val="32"/>
          <w:u w:val="none"/>
        </w:rPr>
        <w:t>因势利导促进</w:t>
      </w:r>
      <w:r>
        <w:rPr>
          <w:rFonts w:hint="eastAsia" w:ascii="仿宋_GB2312" w:hAnsi="仿宋_GB2312" w:eastAsia="仿宋_GB2312" w:cs="仿宋_GB2312"/>
          <w:color w:val="000000"/>
          <w:spacing w:val="0"/>
          <w:kern w:val="0"/>
          <w:sz w:val="32"/>
          <w:szCs w:val="32"/>
          <w:u w:val="none"/>
          <w:lang w:val="en-US" w:eastAsia="zh-CN"/>
        </w:rPr>
        <w:t>服务业高品质、多样化发展，全面挖掘消费潜力，构建优质高效的服务业新体系。</w:t>
      </w:r>
    </w:p>
    <w:p>
      <w:pPr>
        <w:pStyle w:val="12"/>
        <w:widowControl w:val="0"/>
        <w:wordWrap/>
        <w:overflowPunct w:val="0"/>
        <w:snapToGrid w:val="0"/>
        <w:spacing w:line="560" w:lineRule="exact"/>
        <w:ind w:firstLine="643" w:firstLineChars="200"/>
        <w:rPr>
          <w:rFonts w:hint="eastAsia" w:ascii="仿宋_GB2312" w:hAnsi="仿宋_GB2312" w:eastAsia="仿宋_GB2312" w:cs="仿宋_GB2312"/>
          <w:spacing w:val="0"/>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实现生活性服务业提质升级。</w:t>
      </w:r>
      <w:r>
        <w:rPr>
          <w:rFonts w:hint="eastAsia" w:ascii="仿宋_GB2312" w:hAnsi="仿宋_GB2312" w:eastAsia="仿宋_GB2312" w:cs="仿宋_GB2312"/>
          <w:spacing w:val="1"/>
          <w:kern w:val="0"/>
          <w:sz w:val="32"/>
          <w:szCs w:val="32"/>
          <w:u w:val="none"/>
        </w:rPr>
        <w:t>树牢“文旅+”战略思维，推动旅游与农牧、教育、康养、非遗、赛事等产业跨界融合，催生文旅观光、文化探秘、红色研学等新业态</w:t>
      </w:r>
      <w:r>
        <w:rPr>
          <w:rFonts w:hint="eastAsia" w:ascii="仿宋_GB2312" w:hAnsi="仿宋_GB2312" w:eastAsia="仿宋_GB2312" w:cs="仿宋_GB2312"/>
          <w:spacing w:val="1"/>
          <w:kern w:val="0"/>
          <w:sz w:val="32"/>
          <w:szCs w:val="32"/>
          <w:u w:val="none"/>
          <w:lang w:eastAsia="zh-CN"/>
        </w:rPr>
        <w:t>。</w:t>
      </w:r>
      <w:r>
        <w:rPr>
          <w:rFonts w:hint="eastAsia" w:ascii="仿宋_GB2312" w:hAnsi="仿宋_GB2312" w:eastAsia="仿宋_GB2312" w:cs="仿宋_GB2312"/>
          <w:spacing w:val="1"/>
          <w:kern w:val="0"/>
          <w:sz w:val="32"/>
          <w:szCs w:val="32"/>
          <w:u w:val="none"/>
        </w:rPr>
        <w:t>加强跨区域旅游</w:t>
      </w:r>
      <w:r>
        <w:rPr>
          <w:rFonts w:hint="eastAsia" w:ascii="仿宋_GB2312" w:hAnsi="仿宋_GB2312" w:eastAsia="仿宋_GB2312" w:cs="仿宋_GB2312"/>
          <w:spacing w:val="1"/>
          <w:kern w:val="0"/>
          <w:sz w:val="32"/>
          <w:szCs w:val="32"/>
          <w:u w:val="none"/>
          <w:lang w:val="en-US" w:eastAsia="zh-CN"/>
        </w:rPr>
        <w:t>产品研发，</w:t>
      </w:r>
      <w:r>
        <w:rPr>
          <w:rFonts w:hint="eastAsia" w:ascii="仿宋_GB2312" w:hAnsi="仿宋_GB2312" w:eastAsia="仿宋_GB2312" w:cs="仿宋_GB2312"/>
          <w:spacing w:val="1"/>
          <w:kern w:val="0"/>
          <w:sz w:val="32"/>
          <w:szCs w:val="32"/>
          <w:u w:val="none"/>
        </w:rPr>
        <w:t>与宁夏、陕西、乌海</w:t>
      </w:r>
      <w:r>
        <w:rPr>
          <w:rFonts w:hint="eastAsia" w:ascii="仿宋_GB2312" w:hAnsi="仿宋_GB2312" w:eastAsia="仿宋_GB2312" w:cs="仿宋_GB2312"/>
          <w:spacing w:val="1"/>
          <w:kern w:val="0"/>
          <w:sz w:val="32"/>
          <w:szCs w:val="32"/>
          <w:u w:val="none"/>
          <w:lang w:val="en-US" w:eastAsia="zh-CN"/>
        </w:rPr>
        <w:t>等周边地区</w:t>
      </w:r>
      <w:r>
        <w:rPr>
          <w:rFonts w:hint="eastAsia" w:ascii="仿宋_GB2312" w:hAnsi="仿宋_GB2312" w:eastAsia="仿宋_GB2312" w:cs="仿宋_GB2312"/>
          <w:spacing w:val="1"/>
          <w:kern w:val="0"/>
          <w:sz w:val="32"/>
          <w:szCs w:val="32"/>
          <w:u w:val="none"/>
        </w:rPr>
        <w:t>实施一批标志性合作项目，</w:t>
      </w:r>
      <w:r>
        <w:rPr>
          <w:rFonts w:hint="eastAsia" w:ascii="仿宋_GB2312" w:hAnsi="仿宋_GB2312" w:eastAsia="仿宋_GB2312" w:cs="仿宋_GB2312"/>
          <w:spacing w:val="1"/>
          <w:kern w:val="0"/>
          <w:sz w:val="32"/>
          <w:szCs w:val="32"/>
          <w:u w:val="none"/>
          <w:lang w:val="en-US" w:eastAsia="zh-CN"/>
        </w:rPr>
        <w:t>丰富周边游、自驾游消费业态，</w:t>
      </w:r>
      <w:r>
        <w:rPr>
          <w:rFonts w:hint="eastAsia" w:ascii="仿宋_GB2312" w:hAnsi="仿宋_GB2312" w:eastAsia="仿宋_GB2312" w:cs="仿宋_GB2312"/>
          <w:spacing w:val="1"/>
          <w:kern w:val="0"/>
          <w:sz w:val="32"/>
          <w:szCs w:val="32"/>
          <w:u w:val="none"/>
        </w:rPr>
        <w:t>密集开展旅游推介</w:t>
      </w:r>
      <w:r>
        <w:rPr>
          <w:rFonts w:hint="eastAsia" w:ascii="仿宋_GB2312" w:hAnsi="仿宋_GB2312" w:eastAsia="仿宋_GB2312" w:cs="仿宋_GB2312"/>
          <w:spacing w:val="1"/>
          <w:kern w:val="0"/>
          <w:sz w:val="32"/>
          <w:szCs w:val="32"/>
          <w:u w:val="none"/>
          <w:lang w:val="en-US" w:eastAsia="zh-CN"/>
        </w:rPr>
        <w:t>系列</w:t>
      </w:r>
      <w:r>
        <w:rPr>
          <w:rFonts w:hint="eastAsia" w:ascii="仿宋_GB2312" w:hAnsi="仿宋_GB2312" w:eastAsia="仿宋_GB2312" w:cs="仿宋_GB2312"/>
          <w:spacing w:val="1"/>
          <w:kern w:val="0"/>
          <w:sz w:val="32"/>
          <w:szCs w:val="32"/>
          <w:u w:val="none"/>
        </w:rPr>
        <w:t>活动，实现客源市场共建、旅游资源互补、文旅宣传</w:t>
      </w:r>
      <w:r>
        <w:rPr>
          <w:rFonts w:hint="eastAsia" w:ascii="仿宋_GB2312" w:hAnsi="仿宋_GB2312" w:eastAsia="仿宋_GB2312" w:cs="仿宋_GB2312"/>
          <w:spacing w:val="1"/>
          <w:kern w:val="0"/>
          <w:sz w:val="32"/>
          <w:szCs w:val="32"/>
          <w:u w:val="none"/>
          <w:lang w:val="en-US" w:eastAsia="zh-CN"/>
        </w:rPr>
        <w:t>齐</w:t>
      </w:r>
      <w:r>
        <w:rPr>
          <w:rFonts w:hint="eastAsia" w:ascii="仿宋_GB2312" w:hAnsi="仿宋_GB2312" w:eastAsia="仿宋_GB2312" w:cs="仿宋_GB2312"/>
          <w:spacing w:val="1"/>
          <w:kern w:val="0"/>
          <w:sz w:val="32"/>
          <w:szCs w:val="32"/>
          <w:u w:val="none"/>
        </w:rPr>
        <w:t>推。</w:t>
      </w:r>
      <w:r>
        <w:rPr>
          <w:rFonts w:hint="eastAsia" w:ascii="仿宋_GB2312" w:hAnsi="仿宋_GB2312" w:eastAsia="仿宋_GB2312" w:cs="仿宋_GB2312"/>
          <w:spacing w:val="1"/>
          <w:kern w:val="0"/>
          <w:sz w:val="32"/>
          <w:szCs w:val="32"/>
          <w:u w:val="none"/>
          <w:lang w:val="en-US" w:eastAsia="zh-CN"/>
        </w:rPr>
        <w:t>投入本级资金3000万元，推动基础消费升级，打造“一刻钟”便民生活圈30个，培育潮流夜市、民生早市、城乡集市等多元消费场景，点旺城镇“烟火气”。</w:t>
      </w:r>
    </w:p>
    <w:p>
      <w:pPr>
        <w:widowControl w:val="0"/>
        <w:wordWrap/>
        <w:overflowPunct w:val="0"/>
        <w:adjustRightInd w:val="0"/>
        <w:snapToGrid w:val="0"/>
        <w:spacing w:beforeAutospacing="0" w:line="560" w:lineRule="exact"/>
        <w:ind w:firstLine="643" w:firstLineChars="200"/>
        <w:jc w:val="both"/>
        <w:textAlignment w:val="auto"/>
        <w:rPr>
          <w:rFonts w:hint="default" w:ascii="仿宋_GB2312" w:hAnsi="仿宋_GB2312" w:eastAsia="仿宋_GB2312" w:cs="仿宋_GB2312"/>
          <w:color w:val="000000"/>
          <w:spacing w:val="0"/>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实现生产性服务业扩容增量。</w:t>
      </w:r>
      <w:r>
        <w:rPr>
          <w:rFonts w:hint="eastAsia" w:ascii="仿宋_GB2312" w:hAnsi="仿宋_GB2312" w:eastAsia="仿宋_GB2312" w:cs="仿宋_GB2312"/>
          <w:spacing w:val="0"/>
          <w:kern w:val="0"/>
          <w:sz w:val="32"/>
          <w:szCs w:val="32"/>
          <w:u w:val="none"/>
          <w:lang w:val="en-US" w:eastAsia="zh-CN"/>
        </w:rPr>
        <w:t>加快</w:t>
      </w:r>
      <w:r>
        <w:rPr>
          <w:rFonts w:hint="eastAsia" w:ascii="仿宋_GB2312" w:hAnsi="仿宋_GB2312" w:eastAsia="仿宋_GB2312" w:cs="仿宋_GB2312"/>
          <w:spacing w:val="0"/>
          <w:kern w:val="0"/>
          <w:sz w:val="32"/>
          <w:szCs w:val="32"/>
          <w:u w:val="none"/>
        </w:rPr>
        <w:t>发展仓储物流业</w:t>
      </w:r>
      <w:r>
        <w:rPr>
          <w:rFonts w:hint="eastAsia" w:ascii="仿宋_GB2312" w:hAnsi="仿宋_GB2312" w:eastAsia="仿宋_GB2312" w:cs="仿宋_GB2312"/>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rPr>
        <w:t>立足打造</w:t>
      </w:r>
      <w:r>
        <w:rPr>
          <w:rStyle w:val="10"/>
          <w:rFonts w:ascii="仿宋_GB2312" w:hAnsi="仿宋_GB2312" w:eastAsia="仿宋_GB2312" w:cs="仿宋_GB2312"/>
          <w:b w:val="0"/>
          <w:bCs/>
          <w:color w:val="000000"/>
          <w:spacing w:val="0"/>
          <w:kern w:val="0"/>
          <w:sz w:val="32"/>
          <w:szCs w:val="32"/>
          <w:u w:val="none"/>
          <w:shd w:val="clear" w:color="auto" w:fill="FFFFFF"/>
        </w:rPr>
        <w:t>自治区</w:t>
      </w:r>
      <w:r>
        <w:rPr>
          <w:rStyle w:val="10"/>
          <w:rFonts w:hint="eastAsia" w:ascii="仿宋_GB2312" w:hAnsi="仿宋_GB2312" w:eastAsia="仿宋_GB2312" w:cs="仿宋_GB2312"/>
          <w:b w:val="0"/>
          <w:bCs/>
          <w:color w:val="000000"/>
          <w:spacing w:val="0"/>
          <w:kern w:val="0"/>
          <w:sz w:val="32"/>
          <w:szCs w:val="32"/>
          <w:u w:val="none"/>
          <w:shd w:val="clear" w:color="auto" w:fill="FFFFFF"/>
        </w:rPr>
        <w:t>级</w:t>
      </w:r>
      <w:r>
        <w:rPr>
          <w:rStyle w:val="10"/>
          <w:rFonts w:ascii="仿宋_GB2312" w:hAnsi="仿宋_GB2312" w:eastAsia="仿宋_GB2312" w:cs="仿宋_GB2312"/>
          <w:b w:val="0"/>
          <w:bCs/>
          <w:color w:val="000000"/>
          <w:spacing w:val="0"/>
          <w:kern w:val="0"/>
          <w:sz w:val="32"/>
          <w:szCs w:val="32"/>
          <w:u w:val="none"/>
          <w:shd w:val="clear" w:color="auto" w:fill="FFFFFF"/>
        </w:rPr>
        <w:t>物流枢纽</w:t>
      </w:r>
      <w:r>
        <w:rPr>
          <w:rStyle w:val="10"/>
          <w:rFonts w:hint="eastAsia" w:ascii="仿宋_GB2312" w:hAnsi="仿宋_GB2312" w:eastAsia="仿宋_GB2312" w:cs="仿宋_GB2312"/>
          <w:b w:val="0"/>
          <w:bCs/>
          <w:color w:val="000000"/>
          <w:spacing w:val="0"/>
          <w:kern w:val="0"/>
          <w:sz w:val="32"/>
          <w:szCs w:val="32"/>
          <w:u w:val="none"/>
          <w:shd w:val="clear" w:color="auto" w:fill="FFFFFF"/>
        </w:rPr>
        <w:t>，</w:t>
      </w:r>
      <w:r>
        <w:rPr>
          <w:rFonts w:hint="eastAsia" w:ascii="仿宋_GB2312" w:hAnsi="仿宋_GB2312" w:eastAsia="仿宋_GB2312" w:cs="仿宋_GB2312"/>
          <w:spacing w:val="0"/>
          <w:kern w:val="0"/>
          <w:sz w:val="32"/>
          <w:szCs w:val="32"/>
          <w:u w:val="none"/>
        </w:rPr>
        <w:t>围绕千亿级工业园区和农牧产业，培育壮大1-2家带动周边、辐射全国的现代化仓储物流企业，</w:t>
      </w:r>
      <w:r>
        <w:rPr>
          <w:rFonts w:hint="eastAsia" w:ascii="仿宋_GB2312" w:hAnsi="仿宋_GB2312" w:eastAsia="仿宋_GB2312" w:cs="仿宋_GB2312"/>
          <w:spacing w:val="0"/>
          <w:kern w:val="0"/>
          <w:sz w:val="32"/>
          <w:szCs w:val="32"/>
          <w:u w:val="none"/>
          <w:lang w:val="en-US" w:eastAsia="zh-CN"/>
        </w:rPr>
        <w:t>推动</w:t>
      </w:r>
      <w:r>
        <w:rPr>
          <w:rFonts w:hint="eastAsia" w:ascii="仿宋_GB2312" w:hAnsi="仿宋_GB2312" w:eastAsia="仿宋_GB2312" w:cs="仿宋_GB2312"/>
          <w:spacing w:val="0"/>
          <w:kern w:val="0"/>
          <w:sz w:val="32"/>
          <w:szCs w:val="32"/>
          <w:u w:val="none"/>
        </w:rPr>
        <w:t>路衍经济</w:t>
      </w:r>
      <w:r>
        <w:rPr>
          <w:rFonts w:hint="eastAsia" w:ascii="仿宋_GB2312" w:hAnsi="仿宋_GB2312" w:eastAsia="仿宋_GB2312" w:cs="仿宋_GB2312"/>
          <w:spacing w:val="0"/>
          <w:kern w:val="0"/>
          <w:sz w:val="32"/>
          <w:szCs w:val="32"/>
          <w:u w:val="none"/>
          <w:lang w:val="en-US" w:eastAsia="zh-CN"/>
        </w:rPr>
        <w:t>融合发展</w:t>
      </w:r>
      <w:r>
        <w:rPr>
          <w:rFonts w:hint="eastAsia" w:ascii="仿宋_GB2312" w:hAnsi="仿宋_GB2312" w:eastAsia="仿宋_GB2312" w:cs="仿宋_GB2312"/>
          <w:spacing w:val="0"/>
          <w:kern w:val="0"/>
          <w:sz w:val="32"/>
          <w:szCs w:val="32"/>
          <w:u w:val="none"/>
        </w:rPr>
        <w:t>。</w:t>
      </w:r>
      <w:r>
        <w:rPr>
          <w:rFonts w:hint="eastAsia" w:ascii="仿宋_GB2312" w:hAnsi="仿宋_GB2312" w:eastAsia="仿宋_GB2312" w:cs="仿宋_GB2312"/>
          <w:color w:val="000000"/>
          <w:spacing w:val="0"/>
          <w:kern w:val="0"/>
          <w:sz w:val="32"/>
          <w:szCs w:val="32"/>
          <w:u w:val="none"/>
        </w:rPr>
        <w:t>探索发展新能源运维服务业</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紧抓</w:t>
      </w:r>
      <w:r>
        <w:rPr>
          <w:rFonts w:hint="eastAsia" w:ascii="仿宋_GB2312" w:hAnsi="仿宋_GB2312" w:eastAsia="仿宋_GB2312" w:cs="仿宋_GB2312"/>
          <w:color w:val="000000"/>
          <w:spacing w:val="0"/>
          <w:kern w:val="0"/>
          <w:sz w:val="32"/>
          <w:szCs w:val="32"/>
          <w:u w:val="none"/>
        </w:rPr>
        <w:t>新能源</w:t>
      </w:r>
      <w:r>
        <w:rPr>
          <w:rFonts w:hint="eastAsia" w:ascii="仿宋_GB2312" w:hAnsi="仿宋_GB2312" w:eastAsia="仿宋_GB2312" w:cs="仿宋_GB2312"/>
          <w:color w:val="000000"/>
          <w:spacing w:val="0"/>
          <w:kern w:val="0"/>
          <w:sz w:val="32"/>
          <w:szCs w:val="32"/>
          <w:u w:val="none"/>
          <w:lang w:val="en-US" w:eastAsia="zh-CN"/>
        </w:rPr>
        <w:t>扩增机遇，推动新能源运维平台建设，鼓励旗属国有企业深度参与，加快形成管理健全、</w:t>
      </w:r>
      <w:r>
        <w:rPr>
          <w:rFonts w:hint="eastAsia" w:ascii="仿宋_GB2312" w:hAnsi="仿宋_GB2312" w:eastAsia="仿宋_GB2312" w:cs="仿宋_GB2312"/>
          <w:color w:val="000000"/>
          <w:spacing w:val="0"/>
          <w:kern w:val="0"/>
          <w:sz w:val="32"/>
          <w:szCs w:val="32"/>
          <w:u w:val="none"/>
        </w:rPr>
        <w:t>运营智能、服务标准、应用丰富</w:t>
      </w:r>
      <w:r>
        <w:rPr>
          <w:rFonts w:hint="eastAsia" w:ascii="仿宋_GB2312" w:hAnsi="仿宋_GB2312" w:eastAsia="仿宋_GB2312" w:cs="仿宋_GB2312"/>
          <w:color w:val="000000"/>
          <w:spacing w:val="0"/>
          <w:kern w:val="0"/>
          <w:sz w:val="32"/>
          <w:szCs w:val="32"/>
          <w:u w:val="none"/>
          <w:lang w:eastAsia="zh-CN"/>
        </w:rPr>
        <w:t>的</w:t>
      </w:r>
      <w:r>
        <w:rPr>
          <w:rFonts w:hint="eastAsia" w:ascii="仿宋_GB2312" w:hAnsi="仿宋_GB2312" w:eastAsia="仿宋_GB2312" w:cs="仿宋_GB2312"/>
          <w:color w:val="000000"/>
          <w:spacing w:val="0"/>
          <w:kern w:val="0"/>
          <w:sz w:val="32"/>
          <w:szCs w:val="32"/>
          <w:u w:val="none"/>
          <w:lang w:val="en-US" w:eastAsia="zh-CN"/>
        </w:rPr>
        <w:t>新能源运维体系</w:t>
      </w:r>
      <w:r>
        <w:rPr>
          <w:rFonts w:hint="eastAsia" w:ascii="仿宋_GB2312" w:hAnsi="仿宋_GB2312" w:eastAsia="仿宋_GB2312" w:cs="仿宋_GB2312"/>
          <w:color w:val="000000"/>
          <w:spacing w:val="0"/>
          <w:kern w:val="0"/>
          <w:sz w:val="32"/>
          <w:szCs w:val="32"/>
          <w:u w:val="none"/>
        </w:rPr>
        <w:t>，</w:t>
      </w:r>
      <w:r>
        <w:rPr>
          <w:rFonts w:hint="eastAsia" w:ascii="仿宋_GB2312" w:hAnsi="仿宋_GB2312" w:eastAsia="仿宋_GB2312" w:cs="仿宋_GB2312"/>
          <w:color w:val="000000"/>
          <w:spacing w:val="0"/>
          <w:kern w:val="0"/>
          <w:sz w:val="32"/>
          <w:szCs w:val="32"/>
          <w:u w:val="none"/>
          <w:lang w:val="en-US" w:eastAsia="zh-CN"/>
        </w:rPr>
        <w:t>有效</w:t>
      </w:r>
      <w:r>
        <w:rPr>
          <w:rFonts w:hint="eastAsia" w:ascii="仿宋_GB2312" w:hAnsi="仿宋_GB2312" w:eastAsia="仿宋_GB2312" w:cs="仿宋_GB2312"/>
          <w:color w:val="000000"/>
          <w:spacing w:val="0"/>
          <w:kern w:val="0"/>
          <w:sz w:val="32"/>
          <w:szCs w:val="32"/>
          <w:u w:val="none"/>
        </w:rPr>
        <w:t>实现错位补位发展</w:t>
      </w:r>
      <w:r>
        <w:rPr>
          <w:rFonts w:hint="eastAsia" w:ascii="仿宋_GB2312" w:hAnsi="仿宋_GB2312" w:eastAsia="仿宋_GB2312" w:cs="仿宋_GB2312"/>
          <w:color w:val="000000"/>
          <w:spacing w:val="0"/>
          <w:kern w:val="0"/>
          <w:sz w:val="32"/>
          <w:szCs w:val="32"/>
          <w:u w:val="none"/>
          <w:lang w:val="en-US" w:eastAsia="zh-CN"/>
        </w:rPr>
        <w:t>。</w:t>
      </w:r>
    </w:p>
    <w:p>
      <w:pPr>
        <w:widowControl w:val="0"/>
        <w:wordWrap/>
        <w:overflowPunct w:val="0"/>
        <w:adjustRightInd w:val="0"/>
        <w:snapToGrid w:val="0"/>
        <w:spacing w:beforeAutospacing="0" w:line="560" w:lineRule="exact"/>
        <w:ind w:firstLine="643" w:firstLineChars="200"/>
        <w:jc w:val="both"/>
        <w:textAlignment w:val="auto"/>
        <w:rPr>
          <w:rFonts w:hint="default" w:ascii="仿宋_GB2312" w:hAnsi="仿宋_GB2312" w:eastAsia="仿宋_GB2312" w:cs="仿宋_GB2312"/>
          <w:color w:val="000000"/>
          <w:spacing w:val="0"/>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实现新兴服务业发展壮大。</w:t>
      </w:r>
      <w:r>
        <w:rPr>
          <w:rFonts w:hint="eastAsia" w:ascii="仿宋_GB2312" w:hAnsi="仿宋_GB2312" w:eastAsia="仿宋_GB2312" w:cs="仿宋_GB2312"/>
          <w:color w:val="000000"/>
          <w:spacing w:val="0"/>
          <w:kern w:val="0"/>
          <w:sz w:val="32"/>
          <w:szCs w:val="32"/>
          <w:u w:val="none"/>
          <w:lang w:val="en-US" w:eastAsia="zh-CN"/>
        </w:rPr>
        <w:t>大力发展数字经济，加快大数据集成应用。持续加强政金企合作，引导和鼓励更多金融资源支持科技创新、先进制造、绿色发展和中小微企业等重点领域，力争普惠小微贷款余额增长20%，加快推动双欣、美利坚等优质企业敲钟上市。实现现代服务业同先进制造业、现代农牧业耦合发展，培育壮大城乡电商、工业设计、检验检测、营销策划等新业态。</w:t>
      </w:r>
    </w:p>
    <w:p>
      <w:pPr>
        <w:widowControl w:val="0"/>
        <w:wordWrap/>
        <w:overflowPunct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color w:val="000000"/>
          <w:spacing w:val="0"/>
          <w:kern w:val="0"/>
          <w:sz w:val="32"/>
          <w:szCs w:val="32"/>
          <w:u w:val="none"/>
          <w:lang w:val="en-US" w:eastAsia="zh-CN"/>
        </w:rPr>
      </w:pPr>
      <w:r>
        <w:rPr>
          <w:rStyle w:val="4"/>
          <w:rFonts w:hint="eastAsia" w:ascii="楷体_GB2312" w:hAnsi="楷体_GB2312" w:eastAsia="楷体_GB2312" w:cs="楷体_GB2312"/>
          <w:b/>
          <w:bCs w:val="0"/>
          <w:spacing w:val="0"/>
          <w:kern w:val="0"/>
          <w:sz w:val="32"/>
          <w:lang w:val="en-US" w:eastAsia="zh-CN"/>
        </w:rPr>
        <w:t>(四)突出绿色发展，全面构筑生态屏障。</w:t>
      </w:r>
      <w:r>
        <w:rPr>
          <w:rFonts w:hint="eastAsia" w:ascii="仿宋_GB2312" w:hAnsi="仿宋_GB2312" w:eastAsia="仿宋_GB2312" w:cs="仿宋_GB2312"/>
          <w:color w:val="000000"/>
          <w:spacing w:val="0"/>
          <w:kern w:val="0"/>
          <w:sz w:val="32"/>
          <w:szCs w:val="32"/>
          <w:u w:val="none"/>
          <w:lang w:val="en-US" w:eastAsia="zh-CN"/>
        </w:rPr>
        <w:t>坚持生态优先、节约集约、绿色低碳，协同推进降碳、减污、扩绿，让青山常在、绿水长流、空气常新。</w:t>
      </w:r>
    </w:p>
    <w:p>
      <w:pPr>
        <w:pStyle w:val="12"/>
        <w:widowControl w:val="0"/>
        <w:wordWrap/>
        <w:overflowPunct w:val="0"/>
        <w:snapToGrid w:val="0"/>
        <w:spacing w:line="560" w:lineRule="exact"/>
        <w:ind w:firstLine="643" w:firstLineChars="200"/>
        <w:textAlignment w:val="auto"/>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rPr>
      </w:pPr>
      <w:r>
        <w:rPr>
          <w:rStyle w:val="4"/>
          <w:rFonts w:hint="eastAsia" w:ascii="仿宋_GB2312" w:hAnsi="仿宋_GB2312" w:eastAsia="仿宋_GB2312" w:cs="仿宋_GB2312"/>
          <w:b/>
          <w:bCs w:val="0"/>
          <w:spacing w:val="0"/>
          <w:kern w:val="0"/>
          <w:sz w:val="32"/>
          <w:lang w:val="en-US" w:eastAsia="zh-CN"/>
        </w:rPr>
        <w:t>久久为功抓好生态修复。</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rPr>
        <w:t>打好毛乌素沙地歼灭战，推动防沙治沙与风光电一体化、绿色矿山建设有机结合，完善拓展“先建后补”模式，强化辅助栽培柠条等种植技术推广应用，新建阻沙带10万亩以上，修复森林草原面积40万亩，围栏封育180万米，全面打造“绿富同兴”示范区。加强重点流域“两线三区”管控，持续推进蒙西沿黄生态保护和高质量发展，推动千里沟、乌珠林沟等河道治理，新增水土流失综合治理30平方公里。加强对各级林草长、河湖长的考核问效。完成自然保护地整合优化。</w:t>
      </w:r>
    </w:p>
    <w:p>
      <w:pPr>
        <w:pStyle w:val="12"/>
        <w:widowControl w:val="0"/>
        <w:wordWrap/>
        <w:overflowPunct w:val="0"/>
        <w:snapToGrid w:val="0"/>
        <w:spacing w:line="560" w:lineRule="exact"/>
        <w:ind w:firstLine="643" w:firstLineChars="200"/>
        <w:textAlignment w:val="auto"/>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rPr>
      </w:pPr>
      <w:r>
        <w:rPr>
          <w:rStyle w:val="10"/>
          <w:rFonts w:hint="eastAsia" w:ascii="仿宋_GB2312" w:hAnsi="仿宋_GB2312" w:eastAsia="仿宋_GB2312" w:cs="仿宋_GB2312"/>
          <w:b/>
          <w:bCs w:val="0"/>
          <w:color w:val="000000"/>
          <w:spacing w:val="0"/>
          <w:kern w:val="0"/>
          <w:sz w:val="32"/>
          <w:szCs w:val="32"/>
          <w:u w:val="none"/>
          <w:shd w:val="clear" w:color="auto" w:fill="FFFFFF"/>
          <w:lang w:val="en-US" w:eastAsia="zh-CN"/>
        </w:rPr>
        <w:t>源头治理推进污染防治。</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rPr>
        <w:t>狠抓中央环保督察及各级生态环境保护反馈意见整改，完成污染防治攻坚任务147项。统筹矿区、园区、城区、农村牧区环境综合整治，推行棋盘井蒙西分区分策治理，充分发挥“环保管家”专业力量，丰富拓展“线上五基+线下网格”治理模式，逐步构建覆盖全域的现代化环境治理体系。坚定不移推动矿权整合，加快建元等12家煤矿应用井下充填技术，确保所有矿山均建成绿色矿山。实施大气环境治理项目30个以上，持续推进工业企业全流程超低排放改造和VOCs治理，推动开发区新能源消纳占比提高到30%以上，园区货运车辆基本实现新能源替代。构建以电能、地热、太阳能等多种方式相结合的清洁能源供暖体系，基本完成清洁取暖替代。</w:t>
      </w:r>
    </w:p>
    <w:p>
      <w:pPr>
        <w:pStyle w:val="12"/>
        <w:widowControl w:val="0"/>
        <w:wordWrap/>
        <w:overflowPunct w:val="0"/>
        <w:snapToGrid w:val="0"/>
        <w:spacing w:line="560" w:lineRule="exact"/>
        <w:ind w:firstLine="643" w:firstLineChars="200"/>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rPr>
      </w:pPr>
      <w:r>
        <w:rPr>
          <w:rFonts w:hint="eastAsia" w:ascii="仿宋_GB2312" w:hAnsi="仿宋_GB2312" w:eastAsia="仿宋_GB2312" w:cs="仿宋_GB2312"/>
          <w:b/>
          <w:bCs/>
          <w:color w:val="000000"/>
          <w:spacing w:val="0"/>
          <w:kern w:val="0"/>
          <w:sz w:val="32"/>
          <w:szCs w:val="32"/>
          <w:lang w:val="en-US" w:eastAsia="zh-CN" w:bidi="ar-SA"/>
        </w:rPr>
        <w:t>节约集约腾出发展空间。</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bidi="ar-SA"/>
        </w:rPr>
        <w:t>紧紧围</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rPr>
        <w:t>绕双碳战略，持续挖掘节能潜力，实施重点领域技改项目90个，推动焦化、冶金、电石等传统行业在能效、水效、二氧化碳减排等方面达到国内领跑水平，完成13家企业超低排放改造，支持建元氨法脱硫脱碳一体化、双欣电石炉尾气综合利用等循环项目建设，工业尾气综合利用率达到100%，建成自治区低碳示范园区。全面贯彻“四水四定”原则，开展水效领跑者行动，严格落实地下水超采区治理措施，启动碱柜灌区节水改造等工程，推动单位GDP水耗下降2个百分点，建成自治区节水型园区。完善亩均税收、工业增加值考核评价体系，消化批而未供、闲置土地3000亩以上，推动开发区亩均效益提升15%。打造以蒙西铝业粉煤灰提取氧化铝为示范，东辰汇通煤矸石制生态土壤、宇扬世代煤泥清洁利用为支撑，晋昌固废综合利用等新建项目为补充的固废综合利用示范基地，将固废综合利用率提高到60%以上。</w:t>
      </w:r>
    </w:p>
    <w:p>
      <w:pPr>
        <w:widowControl w:val="0"/>
        <w:wordWrap/>
        <w:overflowPunct w:val="0"/>
        <w:adjustRightInd w:val="0"/>
        <w:snapToGrid w:val="0"/>
        <w:spacing w:beforeAutospacing="0" w:line="560" w:lineRule="exact"/>
        <w:ind w:firstLine="643" w:firstLineChars="200"/>
        <w:jc w:val="both"/>
        <w:textAlignment w:val="auto"/>
        <w:rPr>
          <w:rFonts w:ascii="瀹嬩綋" w:hAnsi="瀹嬩綋" w:eastAsia="瀹嬩綋" w:cs="瀹嬩綋"/>
          <w:i w:val="0"/>
          <w:iCs w:val="0"/>
          <w:caps w:val="0"/>
          <w:color w:val="000000"/>
          <w:spacing w:val="0"/>
          <w:kern w:val="0"/>
          <w:sz w:val="24"/>
          <w:szCs w:val="24"/>
          <w:shd w:val="clear" w:color="090000" w:fill="FFFFFF"/>
        </w:rPr>
      </w:pPr>
      <w:r>
        <w:rPr>
          <w:rStyle w:val="4"/>
          <w:rFonts w:hint="eastAsia" w:ascii="楷体_GB2312" w:hAnsi="楷体_GB2312" w:eastAsia="楷体_GB2312" w:cs="楷体_GB2312"/>
          <w:b/>
          <w:bCs w:val="0"/>
          <w:spacing w:val="0"/>
          <w:kern w:val="0"/>
          <w:sz w:val="32"/>
          <w:lang w:val="en-US" w:eastAsia="zh-CN"/>
        </w:rPr>
        <w:t>(五)突出改革引领，充分激发内生动力。</w:t>
      </w:r>
      <w:r>
        <w:rPr>
          <w:rStyle w:val="10"/>
          <w:rFonts w:hint="eastAsia" w:ascii="仿宋_GB2312" w:hAnsi="仿宋_GB2312" w:eastAsia="仿宋_GB2312" w:cs="仿宋_GB2312"/>
          <w:b w:val="0"/>
          <w:bCs/>
          <w:color w:val="000000"/>
          <w:spacing w:val="0"/>
          <w:kern w:val="0"/>
          <w:sz w:val="32"/>
          <w:szCs w:val="32"/>
          <w:u w:val="none"/>
          <w:shd w:val="clear" w:color="auto" w:fill="FFFFFF"/>
          <w:lang w:val="en-US" w:eastAsia="zh-CN"/>
        </w:rPr>
        <w:t>坚持以改革积蓄发展动力，促进资源要素优化配置、高效集聚，更好服务和融入新发展格局。</w:t>
      </w:r>
    </w:p>
    <w:p>
      <w:pPr>
        <w:widowControl w:val="0"/>
        <w:wordWrap/>
        <w:overflowPunct w:val="0"/>
        <w:adjustRightInd w:val="0"/>
        <w:snapToGrid w:val="0"/>
        <w:spacing w:beforeAutospacing="0" w:line="560" w:lineRule="exact"/>
        <w:ind w:firstLine="643" w:firstLineChars="200"/>
        <w:jc w:val="both"/>
        <w:textAlignment w:val="auto"/>
        <w:rPr>
          <w:rFonts w:hint="default" w:ascii="仿宋_GB2312" w:hAnsi="仿宋_GB2312" w:eastAsia="仿宋_GB2312" w:cs="仿宋_GB2312"/>
          <w:color w:val="000000"/>
          <w:spacing w:val="0"/>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持续优化营商环境。</w:t>
      </w:r>
      <w:r>
        <w:rPr>
          <w:rFonts w:hint="eastAsia" w:ascii="仿宋_GB2312" w:hAnsi="仿宋_GB2312" w:eastAsia="仿宋_GB2312" w:cs="仿宋_GB2312"/>
          <w:color w:val="000000"/>
          <w:spacing w:val="0"/>
          <w:kern w:val="0"/>
          <w:sz w:val="32"/>
          <w:szCs w:val="32"/>
          <w:u w:val="none"/>
        </w:rPr>
        <w:t>深化“放管服”改革，通过“综窗受理”推动“减窗行动”</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实现</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一网通办</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到</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一网好办</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搭建更多“一件事一次办”应用场景，扎实</w:t>
      </w:r>
      <w:r>
        <w:rPr>
          <w:rFonts w:hint="eastAsia" w:ascii="仿宋_GB2312" w:hAnsi="仿宋_GB2312" w:eastAsia="仿宋_GB2312" w:cs="仿宋_GB2312"/>
          <w:color w:val="000000"/>
          <w:spacing w:val="0"/>
          <w:kern w:val="0"/>
          <w:sz w:val="32"/>
          <w:szCs w:val="32"/>
          <w:u w:val="none"/>
        </w:rPr>
        <w:t>推动政务服务向基层延伸。</w:t>
      </w:r>
      <w:r>
        <w:rPr>
          <w:rFonts w:hint="eastAsia" w:ascii="仿宋_GB2312" w:hAnsi="仿宋_GB2312" w:eastAsia="仿宋_GB2312" w:cs="仿宋_GB2312"/>
          <w:color w:val="000000"/>
          <w:spacing w:val="0"/>
          <w:kern w:val="0"/>
          <w:sz w:val="32"/>
          <w:szCs w:val="32"/>
          <w:u w:val="none"/>
          <w:lang w:val="en-US" w:eastAsia="zh-CN"/>
        </w:rPr>
        <w:t>招募百名“营商环境体验官”，推进“多多评”“随手拍”全民监督。加强</w:t>
      </w:r>
      <w:r>
        <w:rPr>
          <w:rFonts w:hint="eastAsia" w:ascii="仿宋_GB2312" w:hAnsi="仿宋_GB2312" w:eastAsia="仿宋_GB2312" w:cs="仿宋_GB2312"/>
          <w:color w:val="000000"/>
          <w:spacing w:val="0"/>
          <w:kern w:val="0"/>
          <w:sz w:val="32"/>
          <w:szCs w:val="32"/>
          <w:u w:val="none"/>
        </w:rPr>
        <w:t>领导包联、</w:t>
      </w:r>
      <w:r>
        <w:rPr>
          <w:rFonts w:hint="eastAsia" w:ascii="仿宋_GB2312" w:hAnsi="仿宋_GB2312" w:eastAsia="仿宋_GB2312" w:cs="仿宋_GB2312"/>
          <w:color w:val="000000"/>
          <w:spacing w:val="0"/>
          <w:kern w:val="0"/>
          <w:sz w:val="32"/>
          <w:szCs w:val="32"/>
          <w:u w:val="none"/>
          <w:lang w:val="en-US" w:eastAsia="zh-CN"/>
        </w:rPr>
        <w:t>项目</w:t>
      </w:r>
      <w:r>
        <w:rPr>
          <w:rFonts w:hint="eastAsia" w:ascii="仿宋_GB2312" w:hAnsi="仿宋_GB2312" w:eastAsia="仿宋_GB2312" w:cs="仿宋_GB2312"/>
          <w:color w:val="000000"/>
          <w:spacing w:val="0"/>
          <w:kern w:val="0"/>
          <w:sz w:val="32"/>
          <w:szCs w:val="32"/>
          <w:u w:val="none"/>
        </w:rPr>
        <w:t>领办、并联审批，更好助力“未诉先办”</w:t>
      </w:r>
      <w:r>
        <w:rPr>
          <w:rFonts w:hint="eastAsia" w:ascii="仿宋_GB2312" w:hAnsi="仿宋_GB2312" w:eastAsia="仿宋_GB2312" w:cs="仿宋_GB2312"/>
          <w:color w:val="000000"/>
          <w:spacing w:val="0"/>
          <w:kern w:val="0"/>
          <w:sz w:val="32"/>
          <w:szCs w:val="32"/>
          <w:u w:val="none"/>
          <w:lang w:val="en-US" w:eastAsia="zh-CN"/>
        </w:rPr>
        <w:t>“不诉自办”</w:t>
      </w:r>
      <w:r>
        <w:rPr>
          <w:rFonts w:hint="eastAsia" w:ascii="仿宋_GB2312" w:hAnsi="仿宋_GB2312" w:eastAsia="仿宋_GB2312" w:cs="仿宋_GB2312"/>
          <w:color w:val="000000"/>
          <w:spacing w:val="0"/>
          <w:kern w:val="0"/>
          <w:sz w:val="32"/>
          <w:szCs w:val="32"/>
          <w:u w:val="none"/>
        </w:rPr>
        <w:t>，实现惠企政策免审即享、政策资金一键直达。</w:t>
      </w:r>
      <w:r>
        <w:rPr>
          <w:rFonts w:hint="eastAsia" w:ascii="仿宋_GB2312" w:hAnsi="仿宋_GB2312" w:eastAsia="仿宋_GB2312" w:cs="仿宋_GB2312"/>
          <w:color w:val="000000"/>
          <w:spacing w:val="0"/>
          <w:kern w:val="0"/>
          <w:sz w:val="32"/>
          <w:szCs w:val="32"/>
          <w:u w:val="none"/>
          <w:lang w:val="en-US" w:eastAsia="zh-CN"/>
        </w:rPr>
        <w:t>实施开发区提质行动，推动</w:t>
      </w:r>
      <w:r>
        <w:rPr>
          <w:rFonts w:hint="eastAsia" w:ascii="仿宋_GB2312" w:hAnsi="仿宋_GB2312" w:eastAsia="仿宋_GB2312" w:cs="仿宋_GB2312"/>
          <w:color w:val="000000"/>
          <w:spacing w:val="0"/>
          <w:kern w:val="0"/>
          <w:sz w:val="32"/>
          <w:szCs w:val="32"/>
          <w:u w:val="none"/>
        </w:rPr>
        <w:t>开发区基础设施“建管养”一体化，优化水电气路暖</w:t>
      </w:r>
      <w:r>
        <w:rPr>
          <w:rFonts w:hint="eastAsia" w:ascii="仿宋_GB2312" w:hAnsi="仿宋_GB2312" w:eastAsia="仿宋_GB2312" w:cs="仿宋_GB2312"/>
          <w:color w:val="000000"/>
          <w:spacing w:val="0"/>
          <w:kern w:val="0"/>
          <w:sz w:val="32"/>
          <w:szCs w:val="32"/>
          <w:u w:val="none"/>
          <w:lang w:val="en-US" w:eastAsia="zh-CN"/>
        </w:rPr>
        <w:t>和教育医疗等公共服务供给，推动</w:t>
      </w:r>
      <w:r>
        <w:rPr>
          <w:rFonts w:hint="eastAsia" w:ascii="仿宋_GB2312" w:hAnsi="仿宋_GB2312" w:eastAsia="仿宋_GB2312" w:cs="仿宋_GB2312"/>
          <w:color w:val="000000"/>
          <w:spacing w:val="0"/>
          <w:kern w:val="0"/>
          <w:sz w:val="32"/>
          <w:szCs w:val="32"/>
          <w:u w:val="none"/>
        </w:rPr>
        <w:t>开发区向国家高新技术园区、全国百强园区迈进</w:t>
      </w:r>
      <w:r>
        <w:rPr>
          <w:rFonts w:hint="eastAsia" w:ascii="仿宋_GB2312" w:hAnsi="仿宋_GB2312" w:eastAsia="仿宋_GB2312" w:cs="仿宋_GB2312"/>
          <w:color w:val="000000"/>
          <w:spacing w:val="0"/>
          <w:kern w:val="0"/>
          <w:sz w:val="32"/>
          <w:szCs w:val="32"/>
          <w:u w:val="none"/>
          <w:lang w:eastAsia="zh-CN"/>
        </w:rPr>
        <w:t>。</w:t>
      </w:r>
    </w:p>
    <w:p>
      <w:pPr>
        <w:widowControl w:val="0"/>
        <w:wordWrap/>
        <w:overflowPunct w:val="0"/>
        <w:adjustRightInd/>
        <w:snapToGrid w:val="0"/>
        <w:spacing w:line="560" w:lineRule="exact"/>
        <w:ind w:firstLine="643" w:firstLineChars="200"/>
        <w:textAlignment w:val="baseline"/>
        <w:rPr>
          <w:rFonts w:hint="eastAsia" w:ascii="仿宋_GB2312" w:hAnsi="仿宋_GB2312" w:eastAsia="仿宋_GB2312" w:cs="仿宋_GB2312"/>
          <w:color w:val="000000"/>
          <w:spacing w:val="0"/>
          <w:kern w:val="0"/>
          <w:sz w:val="32"/>
          <w:szCs w:val="32"/>
          <w:u w:val="none"/>
        </w:rPr>
      </w:pPr>
      <w:r>
        <w:rPr>
          <w:rStyle w:val="4"/>
          <w:rFonts w:hint="eastAsia" w:ascii="仿宋_GB2312" w:hAnsi="仿宋_GB2312" w:eastAsia="仿宋_GB2312" w:cs="仿宋_GB2312"/>
          <w:b/>
          <w:bCs w:val="0"/>
          <w:spacing w:val="0"/>
          <w:kern w:val="0"/>
          <w:sz w:val="32"/>
          <w:lang w:val="en-US" w:eastAsia="zh-CN"/>
        </w:rPr>
        <w:t>全面激发改革动能。</w:t>
      </w:r>
      <w:r>
        <w:rPr>
          <w:rFonts w:hint="eastAsia" w:ascii="仿宋_GB2312" w:hAnsi="仿宋_GB2312" w:eastAsia="仿宋_GB2312" w:cs="仿宋_GB2312"/>
          <w:color w:val="000000"/>
          <w:spacing w:val="0"/>
          <w:kern w:val="0"/>
          <w:sz w:val="32"/>
          <w:szCs w:val="32"/>
          <w:u w:val="none"/>
          <w:lang w:val="en-US" w:eastAsia="zh-CN"/>
        </w:rPr>
        <w:t>深入推进国有企业</w:t>
      </w:r>
      <w:r>
        <w:rPr>
          <w:rFonts w:hint="eastAsia" w:ascii="仿宋_GB2312" w:hAnsi="仿宋_GB2312" w:eastAsia="仿宋_GB2312" w:cs="仿宋_GB2312"/>
          <w:color w:val="000000"/>
          <w:spacing w:val="0"/>
          <w:kern w:val="0"/>
          <w:sz w:val="32"/>
          <w:szCs w:val="32"/>
          <w:u w:val="none"/>
        </w:rPr>
        <w:t>改革，注重经营绩效管理，探索布局新能源、新材料、新技术领域，进一步做强主业、做大资产、做优经营。加强预算绩效管理，保障财政稳健运行。</w:t>
      </w:r>
      <w:r>
        <w:rPr>
          <w:rFonts w:hint="eastAsia" w:ascii="仿宋_GB2312" w:hAnsi="仿宋_GB2312" w:eastAsia="仿宋_GB2312" w:cs="仿宋_GB2312"/>
          <w:color w:val="000000"/>
          <w:spacing w:val="0"/>
          <w:kern w:val="0"/>
          <w:sz w:val="32"/>
          <w:szCs w:val="32"/>
          <w:u w:val="none"/>
          <w:lang w:val="en-US" w:eastAsia="zh-CN"/>
        </w:rPr>
        <w:t>建设“经济大脑”，创新建立税收、电力等大数据经济运行监测体系</w:t>
      </w:r>
      <w:r>
        <w:rPr>
          <w:rFonts w:hint="eastAsia" w:ascii="仿宋_GB2312" w:hAnsi="仿宋_GB2312" w:eastAsia="仿宋_GB2312" w:cs="仿宋_GB2312"/>
          <w:color w:val="000000"/>
          <w:spacing w:val="0"/>
          <w:kern w:val="0"/>
          <w:sz w:val="32"/>
          <w:szCs w:val="32"/>
          <w:u w:val="none"/>
        </w:rPr>
        <w:t>。扎实推进供销合作社综合改革</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深化基层治理</w:t>
      </w:r>
      <w:r>
        <w:rPr>
          <w:rFonts w:hint="eastAsia" w:ascii="仿宋_GB2312" w:hAnsi="仿宋_GB2312" w:eastAsia="仿宋_GB2312" w:cs="仿宋_GB2312"/>
          <w:color w:val="000000"/>
          <w:spacing w:val="0"/>
          <w:kern w:val="0"/>
          <w:sz w:val="32"/>
          <w:szCs w:val="32"/>
          <w:u w:val="none"/>
        </w:rPr>
        <w:t>、科教文卫等</w:t>
      </w:r>
      <w:r>
        <w:rPr>
          <w:rFonts w:hint="eastAsia" w:ascii="仿宋_GB2312" w:hAnsi="仿宋_GB2312" w:eastAsia="仿宋_GB2312" w:cs="仿宋_GB2312"/>
          <w:color w:val="000000"/>
          <w:spacing w:val="0"/>
          <w:kern w:val="0"/>
          <w:sz w:val="32"/>
          <w:szCs w:val="32"/>
          <w:u w:val="none"/>
          <w:lang w:val="en-US" w:eastAsia="zh-CN"/>
        </w:rPr>
        <w:t>各</w:t>
      </w:r>
      <w:r>
        <w:rPr>
          <w:rFonts w:hint="eastAsia" w:ascii="仿宋_GB2312" w:hAnsi="仿宋_GB2312" w:eastAsia="仿宋_GB2312" w:cs="仿宋_GB2312"/>
          <w:color w:val="000000"/>
          <w:spacing w:val="0"/>
          <w:kern w:val="0"/>
          <w:sz w:val="32"/>
          <w:szCs w:val="32"/>
          <w:u w:val="none"/>
        </w:rPr>
        <w:t>领域改革，以改革成效助力高质量发展。充分开展典型经验大起底行动，探索更多可复制、可推广的“鄂托克经验”。</w:t>
      </w:r>
    </w:p>
    <w:p>
      <w:pPr>
        <w:pStyle w:val="12"/>
        <w:widowControl w:val="0"/>
        <w:wordWrap/>
        <w:overflowPunct w:val="0"/>
        <w:adjustRightInd/>
        <w:snapToGrid w:val="0"/>
        <w:spacing w:line="560" w:lineRule="exact"/>
        <w:ind w:firstLine="643" w:firstLineChars="200"/>
        <w:rPr>
          <w:rFonts w:hint="eastAsia" w:ascii="仿宋_GB2312" w:hAnsi="仿宋_GB2312" w:eastAsia="仿宋_GB2312" w:cs="仿宋_GB2312"/>
          <w:color w:val="000000"/>
          <w:spacing w:val="0"/>
          <w:kern w:val="0"/>
          <w:sz w:val="32"/>
          <w:szCs w:val="32"/>
          <w:u w:val="none"/>
        </w:rPr>
      </w:pPr>
      <w:r>
        <w:rPr>
          <w:rStyle w:val="4"/>
          <w:rFonts w:hint="eastAsia" w:ascii="仿宋_GB2312" w:hAnsi="仿宋_GB2312" w:eastAsia="仿宋_GB2312" w:cs="仿宋_GB2312"/>
          <w:b/>
          <w:bCs w:val="0"/>
          <w:spacing w:val="0"/>
          <w:kern w:val="0"/>
          <w:sz w:val="32"/>
          <w:lang w:val="en-US" w:eastAsia="zh-CN"/>
        </w:rPr>
        <w:t>全力以赴招商引资。</w:t>
      </w:r>
      <w:r>
        <w:rPr>
          <w:rFonts w:hint="eastAsia" w:ascii="仿宋_GB2312" w:hAnsi="仿宋_GB2312" w:eastAsia="仿宋_GB2312" w:cs="仿宋_GB2312"/>
          <w:color w:val="000000"/>
          <w:spacing w:val="0"/>
          <w:kern w:val="0"/>
          <w:sz w:val="32"/>
          <w:szCs w:val="32"/>
          <w:u w:val="none"/>
        </w:rPr>
        <w:t>大力开展以商招商</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rPr>
        <w:t>图谱招商、产业招商</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rPr>
        <w:t>把现有龙头企业、本土企业的上下游客户</w:t>
      </w:r>
      <w:r>
        <w:rPr>
          <w:rFonts w:hint="eastAsia" w:ascii="仿宋_GB2312" w:hAnsi="仿宋_GB2312" w:eastAsia="仿宋_GB2312" w:cs="仿宋_GB2312"/>
          <w:color w:val="000000"/>
          <w:spacing w:val="0"/>
          <w:kern w:val="0"/>
          <w:sz w:val="32"/>
          <w:szCs w:val="32"/>
          <w:u w:val="none"/>
          <w:lang w:val="en-US" w:eastAsia="zh-CN"/>
        </w:rPr>
        <w:t>作为</w:t>
      </w:r>
      <w:r>
        <w:rPr>
          <w:rFonts w:hint="eastAsia" w:ascii="仿宋_GB2312" w:hAnsi="仿宋_GB2312" w:eastAsia="仿宋_GB2312" w:cs="仿宋_GB2312"/>
          <w:color w:val="000000"/>
          <w:spacing w:val="0"/>
          <w:kern w:val="0"/>
          <w:sz w:val="32"/>
          <w:szCs w:val="32"/>
          <w:u w:val="none"/>
        </w:rPr>
        <w:t>最大的招商资源，</w:t>
      </w:r>
      <w:r>
        <w:rPr>
          <w:rFonts w:hint="eastAsia" w:ascii="仿宋_GB2312" w:hAnsi="仿宋_GB2312" w:eastAsia="仿宋_GB2312" w:cs="仿宋_GB2312"/>
          <w:color w:val="000000"/>
          <w:spacing w:val="0"/>
          <w:kern w:val="0"/>
          <w:sz w:val="32"/>
          <w:szCs w:val="32"/>
          <w:u w:val="none"/>
          <w:lang w:val="en-US" w:eastAsia="zh-CN"/>
        </w:rPr>
        <w:t>紧盯产业空白领域、链条断点，对所有签约项目实行清单化、台账化、节点化管理</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推动立项、开工、竣工率大幅上升</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rPr>
        <w:t>全面落实自治区诚信建设促进行动</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强化签约项目落地开工、服务保障和跟踪问效，让守信践诺成为鄂托克亲商安商的最亮名片，</w:t>
      </w:r>
      <w:r>
        <w:rPr>
          <w:rFonts w:hint="eastAsia" w:ascii="仿宋_GB2312" w:hAnsi="仿宋_GB2312" w:eastAsia="仿宋_GB2312" w:cs="仿宋_GB2312"/>
          <w:color w:val="000000"/>
          <w:spacing w:val="0"/>
          <w:kern w:val="0"/>
          <w:sz w:val="32"/>
          <w:szCs w:val="32"/>
          <w:u w:val="none"/>
        </w:rPr>
        <w:t>力争全年引进100亿元以上项目2个</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rPr>
        <w:t>50亿元以上项目5个，实际到位资金100亿元以上。</w:t>
      </w:r>
    </w:p>
    <w:p>
      <w:pPr>
        <w:widowControl w:val="0"/>
        <w:wordWrap/>
        <w:overflowPunct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color w:val="000000"/>
          <w:spacing w:val="0"/>
          <w:kern w:val="0"/>
          <w:sz w:val="32"/>
          <w:szCs w:val="32"/>
          <w:u w:val="none"/>
          <w:lang w:val="en-US" w:eastAsia="zh-CN"/>
        </w:rPr>
      </w:pPr>
      <w:r>
        <w:rPr>
          <w:rStyle w:val="4"/>
          <w:rFonts w:hint="eastAsia" w:ascii="楷体_GB2312" w:hAnsi="楷体_GB2312" w:eastAsia="楷体_GB2312" w:cs="楷体_GB2312"/>
          <w:b/>
          <w:bCs w:val="0"/>
          <w:spacing w:val="0"/>
          <w:kern w:val="0"/>
          <w:sz w:val="32"/>
          <w:lang w:val="en-US" w:eastAsia="zh-CN"/>
        </w:rPr>
        <w:t>(六)突出区域协调，不断提升城镇品质。</w:t>
      </w:r>
      <w:r>
        <w:rPr>
          <w:rStyle w:val="4"/>
          <w:rFonts w:hint="eastAsia" w:ascii="仿宋_GB2312" w:hAnsi="仿宋_GB2312" w:eastAsia="仿宋_GB2312" w:cs="仿宋_GB2312"/>
          <w:b w:val="0"/>
          <w:bCs/>
          <w:spacing w:val="0"/>
          <w:kern w:val="0"/>
          <w:sz w:val="32"/>
          <w:lang w:val="en-US" w:eastAsia="zh-CN"/>
        </w:rPr>
        <w:t>全面践行人民城市理念，</w:t>
      </w:r>
      <w:r>
        <w:rPr>
          <w:rFonts w:hint="eastAsia" w:ascii="仿宋_GB2312" w:hAnsi="仿宋_GB2312" w:eastAsia="仿宋_GB2312" w:cs="仿宋_GB2312"/>
          <w:b w:val="0"/>
          <w:bCs w:val="0"/>
          <w:color w:val="000000"/>
          <w:spacing w:val="0"/>
          <w:kern w:val="0"/>
          <w:sz w:val="32"/>
          <w:szCs w:val="32"/>
          <w:u w:val="none"/>
          <w:shd w:val="clear" w:color="auto" w:fill="FFFFFF"/>
          <w:lang w:val="en-US" w:eastAsia="zh-CN"/>
        </w:rPr>
        <w:t>以创建全国文明城市为抓手</w:t>
      </w:r>
      <w:r>
        <w:rPr>
          <w:rFonts w:hint="eastAsia" w:ascii="仿宋_GB2312" w:hAnsi="仿宋_GB2312" w:eastAsia="仿宋_GB2312" w:cs="仿宋_GB2312"/>
          <w:color w:val="000000"/>
          <w:spacing w:val="0"/>
          <w:kern w:val="0"/>
          <w:sz w:val="32"/>
          <w:szCs w:val="32"/>
          <w:u w:val="none"/>
          <w:lang w:val="en-US" w:eastAsia="zh-CN"/>
        </w:rPr>
        <w:t>，坚持规划先行，补齐短板弱项，推动区域融合发展。</w:t>
      </w:r>
    </w:p>
    <w:p>
      <w:pPr>
        <w:pStyle w:val="12"/>
        <w:widowControl w:val="0"/>
        <w:wordWrap/>
        <w:overflowPunct w:val="0"/>
        <w:adjustRightInd/>
        <w:snapToGrid w:val="0"/>
        <w:spacing w:line="560" w:lineRule="exact"/>
        <w:ind w:firstLine="643" w:firstLineChars="200"/>
        <w:rPr>
          <w:rFonts w:hint="eastAsia" w:ascii="仿宋_GB2312" w:hAnsi="仿宋_GB2312" w:eastAsia="仿宋_GB2312" w:cs="仿宋_GB2312"/>
          <w:color w:val="000000"/>
          <w:spacing w:val="0"/>
          <w:kern w:val="0"/>
          <w:sz w:val="32"/>
          <w:szCs w:val="32"/>
          <w:u w:val="none"/>
          <w:lang w:val="en-US" w:eastAsia="zh-CN"/>
        </w:rPr>
      </w:pPr>
      <w:r>
        <w:rPr>
          <w:rFonts w:hint="eastAsia" w:ascii="仿宋_GB2312" w:hAnsi="仿宋_GB2312" w:eastAsia="仿宋_GB2312" w:cs="仿宋_GB2312"/>
          <w:b/>
          <w:bCs/>
          <w:color w:val="000000"/>
          <w:spacing w:val="0"/>
          <w:kern w:val="0"/>
          <w:sz w:val="32"/>
          <w:szCs w:val="32"/>
          <w:u w:val="none"/>
          <w:lang w:val="en-US" w:eastAsia="zh-CN"/>
        </w:rPr>
        <w:t>抓实抓细推动规划引领。</w:t>
      </w:r>
      <w:r>
        <w:rPr>
          <w:rFonts w:hint="eastAsia" w:ascii="仿宋_GB2312" w:hAnsi="仿宋_GB2312" w:eastAsia="仿宋_GB2312" w:cs="仿宋_GB2312"/>
          <w:color w:val="000000"/>
          <w:spacing w:val="0"/>
          <w:kern w:val="0"/>
          <w:sz w:val="32"/>
          <w:szCs w:val="32"/>
          <w:u w:val="none"/>
          <w:lang w:val="en-US" w:eastAsia="zh-CN" w:bidi="ar-SA"/>
        </w:rPr>
        <w:t>按照乌兰镇旗府核心、棋盘井产城融合重镇、蒙西沿黄生态小镇、木凯淖尔红色旅游小镇、阿尔巴斯和苏米图两个精品牧业小镇的“一核、一重、四小”发展架构，完成旗镇两级国土空间总体规划报批。优化旗、开发区、苏木镇、嘎查村各类规划的有机衔接，确保产业发展功能定位、保护清单、负面清单相互统一，</w:t>
      </w:r>
      <w:r>
        <w:rPr>
          <w:rFonts w:hint="eastAsia" w:ascii="仿宋_GB2312" w:hAnsi="仿宋_GB2312" w:eastAsia="仿宋_GB2312" w:cs="仿宋_GB2312"/>
          <w:color w:val="000000"/>
          <w:spacing w:val="0"/>
          <w:kern w:val="0"/>
          <w:sz w:val="32"/>
          <w:szCs w:val="32"/>
          <w:u w:val="none"/>
          <w:lang w:val="en-US" w:eastAsia="zh-CN"/>
        </w:rPr>
        <w:t>实现规划“一张网”、设计“一张图”。</w:t>
      </w:r>
    </w:p>
    <w:p>
      <w:pPr>
        <w:pStyle w:val="12"/>
        <w:widowControl w:val="0"/>
        <w:wordWrap/>
        <w:overflowPunct w:val="0"/>
        <w:adjustRightInd/>
        <w:snapToGrid w:val="0"/>
        <w:spacing w:line="560" w:lineRule="exact"/>
        <w:ind w:firstLine="643" w:firstLineChars="200"/>
        <w:rPr>
          <w:rFonts w:hint="eastAsia" w:ascii="仿宋_GB2312" w:hAnsi="仿宋_GB2312" w:eastAsia="仿宋_GB2312" w:cs="仿宋_GB2312"/>
          <w:color w:val="000000"/>
          <w:spacing w:val="0"/>
          <w:kern w:val="0"/>
          <w:sz w:val="32"/>
          <w:szCs w:val="32"/>
          <w:u w:val="none"/>
          <w:lang w:val="en-US" w:eastAsia="zh-CN"/>
        </w:rPr>
      </w:pPr>
      <w:r>
        <w:rPr>
          <w:rFonts w:hint="eastAsia" w:ascii="仿宋_GB2312" w:hAnsi="仿宋_GB2312" w:eastAsia="仿宋_GB2312" w:cs="仿宋_GB2312"/>
          <w:b/>
          <w:bCs/>
          <w:color w:val="000000"/>
          <w:spacing w:val="0"/>
          <w:kern w:val="0"/>
          <w:sz w:val="32"/>
          <w:szCs w:val="32"/>
          <w:u w:val="none"/>
          <w:lang w:val="en-US" w:eastAsia="zh-CN"/>
        </w:rPr>
        <w:t>有力</w:t>
      </w:r>
      <w:r>
        <w:rPr>
          <w:rFonts w:hint="eastAsia" w:ascii="仿宋_GB2312" w:hAnsi="仿宋_GB2312" w:eastAsia="仿宋_GB2312" w:cs="仿宋_GB2312"/>
          <w:b/>
          <w:bCs/>
          <w:color w:val="000000"/>
          <w:spacing w:val="0"/>
          <w:kern w:val="0"/>
          <w:sz w:val="32"/>
          <w:szCs w:val="32"/>
          <w:u w:val="none"/>
        </w:rPr>
        <w:t>有序</w:t>
      </w:r>
      <w:r>
        <w:rPr>
          <w:rFonts w:hint="eastAsia" w:ascii="仿宋_GB2312" w:hAnsi="仿宋_GB2312" w:eastAsia="仿宋_GB2312" w:cs="仿宋_GB2312"/>
          <w:b/>
          <w:bCs/>
          <w:color w:val="000000"/>
          <w:spacing w:val="0"/>
          <w:kern w:val="0"/>
          <w:sz w:val="32"/>
          <w:szCs w:val="32"/>
          <w:u w:val="none"/>
          <w:lang w:val="en-US" w:eastAsia="zh-CN"/>
        </w:rPr>
        <w:t>加快</w:t>
      </w:r>
      <w:r>
        <w:rPr>
          <w:rFonts w:hint="eastAsia" w:ascii="仿宋_GB2312" w:hAnsi="仿宋_GB2312" w:eastAsia="仿宋_GB2312" w:cs="仿宋_GB2312"/>
          <w:b/>
          <w:bCs/>
          <w:color w:val="000000"/>
          <w:spacing w:val="0"/>
          <w:kern w:val="0"/>
          <w:sz w:val="32"/>
          <w:szCs w:val="32"/>
          <w:u w:val="none"/>
        </w:rPr>
        <w:t>城市更新</w:t>
      </w:r>
      <w:r>
        <w:rPr>
          <w:rFonts w:hint="eastAsia" w:ascii="仿宋_GB2312" w:hAnsi="仿宋_GB2312" w:eastAsia="仿宋_GB2312" w:cs="仿宋_GB2312"/>
          <w:b/>
          <w:bCs/>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lang w:val="en-US" w:eastAsia="zh-CN"/>
        </w:rPr>
        <w:t>全面实施“温暖工程”，一体推进供热、供水、供电、供气“四个保障”，统筹做好城市生命线普查，确保飞线入地、管网改造等各类市政工程有效衔接。加快实施热源建设、管网升级、智慧供热项目，完善供热监管体系。实施建筑节能改造30万平方米，新增改造供热管网200公里、面积300万平方米。启动乌兰镇污水处理厂升级改造、蒙西镇供水管网改造和水质提升等项目40个，新建改造雨污管网50公里、市政路网30公里，改善住宅小区30个</w:t>
      </w:r>
      <w:r>
        <w:rPr>
          <w:rFonts w:hint="eastAsia" w:ascii="仿宋_GB2312" w:hAnsi="仿宋_GB2312" w:eastAsia="仿宋_GB2312" w:cs="仿宋_GB2312"/>
          <w:color w:val="000000"/>
          <w:spacing w:val="0"/>
          <w:kern w:val="0"/>
          <w:sz w:val="32"/>
          <w:szCs w:val="32"/>
          <w:u w:val="none"/>
          <w:lang w:val="en-US" w:eastAsia="zh-CN" w:bidi="ar-SA"/>
        </w:rPr>
        <w:t>，建设充电桩300个，加快教育公园、体育公园建设，做好老城区亮化改善，新增口袋公园</w:t>
      </w:r>
      <w:r>
        <w:rPr>
          <w:rFonts w:hint="eastAsia" w:ascii="仿宋_GB2312" w:hAnsi="仿宋_GB2312" w:eastAsia="仿宋_GB2312" w:cs="仿宋_GB2312"/>
          <w:color w:val="000000"/>
          <w:spacing w:val="0"/>
          <w:kern w:val="0"/>
          <w:sz w:val="32"/>
          <w:szCs w:val="32"/>
          <w:u w:val="none"/>
          <w:lang w:val="en-US" w:eastAsia="zh-CN"/>
        </w:rPr>
        <w:t>2个、绿地20万平方米，通过国家园林城市复审。新增天然气用户1500户以上，基本实现居民用气全覆盖。</w:t>
      </w:r>
    </w:p>
    <w:p>
      <w:pPr>
        <w:pStyle w:val="12"/>
        <w:widowControl w:val="0"/>
        <w:wordWrap/>
        <w:overflowPunct w:val="0"/>
        <w:adjustRightInd/>
        <w:snapToGrid w:val="0"/>
        <w:spacing w:line="560" w:lineRule="exact"/>
        <w:ind w:firstLine="643" w:firstLineChars="200"/>
        <w:rPr>
          <w:rFonts w:hint="eastAsia" w:ascii="仿宋_GB2312" w:hAnsi="仿宋_GB2312" w:eastAsia="仿宋_GB2312" w:cs="仿宋_GB2312"/>
          <w:color w:val="000000"/>
          <w:spacing w:val="6"/>
          <w:kern w:val="0"/>
          <w:sz w:val="32"/>
          <w:szCs w:val="32"/>
          <w:u w:val="none"/>
          <w:lang w:val="en-US" w:eastAsia="zh-CN"/>
        </w:rPr>
      </w:pPr>
      <w:r>
        <w:rPr>
          <w:rFonts w:hint="eastAsia" w:ascii="仿宋_GB2312" w:hAnsi="仿宋_GB2312" w:eastAsia="仿宋_GB2312" w:cs="仿宋_GB2312"/>
          <w:b/>
          <w:bCs/>
          <w:color w:val="000000"/>
          <w:spacing w:val="0"/>
          <w:kern w:val="0"/>
          <w:sz w:val="32"/>
          <w:szCs w:val="32"/>
          <w:u w:val="none"/>
          <w:lang w:val="en-US" w:eastAsia="zh-CN"/>
        </w:rPr>
        <w:t>决战决胜创建文明城市</w:t>
      </w:r>
      <w:r>
        <w:rPr>
          <w:rFonts w:hint="eastAsia" w:ascii="仿宋_GB2312" w:hAnsi="仿宋_GB2312" w:eastAsia="仿宋_GB2312" w:cs="仿宋_GB2312"/>
          <w:b/>
          <w:bCs/>
          <w:color w:val="000000"/>
          <w:spacing w:val="0"/>
          <w:kern w:val="0"/>
          <w:sz w:val="32"/>
          <w:szCs w:val="32"/>
          <w:u w:val="none"/>
        </w:rPr>
        <w:t>。</w:t>
      </w:r>
      <w:r>
        <w:rPr>
          <w:rFonts w:hint="eastAsia" w:ascii="仿宋_GB2312" w:hAnsi="仿宋_GB2312" w:eastAsia="仿宋_GB2312" w:cs="仿宋_GB2312"/>
          <w:color w:val="000000"/>
          <w:spacing w:val="6"/>
          <w:kern w:val="0"/>
          <w:sz w:val="32"/>
          <w:szCs w:val="32"/>
          <w:u w:val="none"/>
          <w:lang w:val="en-US" w:eastAsia="zh-CN"/>
        </w:rPr>
        <w:t>坚持创建为民、创建靠民、创建惠民。以数字赋能城镇精细化管理，深化城镇运行“一网通管”，推动“数字城管”“智慧交通”“雪亮工程”等系统集成应用，推广“街长制”“马路办公”等管理模式。强化特色便民社区打造，实施一批嵌入式社区服务设施，健全物业行业准入退出机制。深入践行社会主义核心价值观，统筹推进文明培育、文明实践、文明创建，凝聚起人人支持、全民参与、共建共享的新时代文明力量。</w:t>
      </w:r>
    </w:p>
    <w:p>
      <w:pPr>
        <w:widowControl w:val="0"/>
        <w:wordWrap/>
        <w:overflowPunct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color w:val="000000"/>
          <w:spacing w:val="0"/>
          <w:kern w:val="0"/>
          <w:sz w:val="32"/>
          <w:szCs w:val="32"/>
          <w:u w:val="none"/>
          <w:lang w:val="en-US" w:eastAsia="zh-CN"/>
        </w:rPr>
      </w:pPr>
      <w:r>
        <w:rPr>
          <w:rStyle w:val="4"/>
          <w:rFonts w:hint="eastAsia" w:ascii="楷体_GB2312" w:hAnsi="楷体_GB2312" w:eastAsia="楷体_GB2312" w:cs="楷体_GB2312"/>
          <w:b/>
          <w:bCs w:val="0"/>
          <w:spacing w:val="0"/>
          <w:kern w:val="0"/>
          <w:sz w:val="32"/>
          <w:lang w:val="en-US" w:eastAsia="zh-CN"/>
        </w:rPr>
        <w:t>(七)突出以人为本，持续增进民生福祉。</w:t>
      </w:r>
      <w:r>
        <w:rPr>
          <w:rFonts w:hint="eastAsia" w:ascii="仿宋_GB2312" w:hAnsi="仿宋_GB2312" w:eastAsia="仿宋_GB2312" w:cs="仿宋_GB2312"/>
          <w:color w:val="000000"/>
          <w:spacing w:val="0"/>
          <w:kern w:val="0"/>
          <w:sz w:val="32"/>
          <w:szCs w:val="32"/>
          <w:u w:val="none"/>
          <w:lang w:val="en-US" w:eastAsia="zh-CN"/>
        </w:rPr>
        <w:t>坚决树牢以人民为中心的发展思想，按照“四个就近”“四个提升”要求，不断增强人民群众的获得感、幸福感、安全感。</w:t>
      </w:r>
    </w:p>
    <w:p>
      <w:pPr>
        <w:widowControl w:val="0"/>
        <w:wordWrap/>
        <w:overflowPunct w:val="0"/>
        <w:adjustRightInd/>
        <w:snapToGrid w:val="0"/>
        <w:spacing w:line="560" w:lineRule="exact"/>
        <w:ind w:firstLine="643" w:firstLineChars="200"/>
        <w:textAlignment w:val="baseline"/>
        <w:rPr>
          <w:rFonts w:hint="eastAsia" w:ascii="仿宋_GB2312" w:hAnsi="仿宋_GB2312" w:eastAsia="仿宋_GB2312" w:cs="仿宋_GB2312"/>
          <w:color w:val="000000"/>
          <w:spacing w:val="0"/>
          <w:kern w:val="0"/>
          <w:sz w:val="32"/>
          <w:szCs w:val="32"/>
          <w:u w:val="none"/>
        </w:rPr>
      </w:pPr>
      <w:r>
        <w:rPr>
          <w:rStyle w:val="4"/>
          <w:rFonts w:hint="eastAsia" w:ascii="仿宋_GB2312" w:hAnsi="仿宋_GB2312" w:eastAsia="仿宋_GB2312" w:cs="仿宋_GB2312"/>
          <w:b/>
          <w:bCs w:val="0"/>
          <w:spacing w:val="0"/>
          <w:kern w:val="0"/>
          <w:sz w:val="32"/>
          <w:lang w:val="en-US" w:eastAsia="zh-CN"/>
        </w:rPr>
        <w:t>推动社会保障健全有力。</w:t>
      </w:r>
      <w:r>
        <w:rPr>
          <w:rFonts w:hint="eastAsia" w:ascii="仿宋_GB2312" w:hAnsi="仿宋_GB2312" w:eastAsia="仿宋_GB2312" w:cs="仿宋_GB2312"/>
          <w:color w:val="000000"/>
          <w:spacing w:val="0"/>
          <w:kern w:val="0"/>
          <w:sz w:val="32"/>
          <w:szCs w:val="32"/>
          <w:u w:val="none"/>
          <w:lang w:val="en-US" w:eastAsia="zh-CN"/>
        </w:rPr>
        <w:t>实施居民增收致富工程，</w:t>
      </w:r>
      <w:r>
        <w:rPr>
          <w:rFonts w:hint="eastAsia" w:ascii="仿宋_GB2312" w:hAnsi="仿宋_GB2312" w:eastAsia="仿宋_GB2312" w:cs="仿宋_GB2312"/>
          <w:color w:val="000000"/>
          <w:spacing w:val="0"/>
          <w:kern w:val="0"/>
          <w:sz w:val="32"/>
          <w:szCs w:val="32"/>
          <w:u w:val="none"/>
        </w:rPr>
        <w:t>强化就业优先导向，</w:t>
      </w:r>
      <w:r>
        <w:rPr>
          <w:rFonts w:hint="eastAsia" w:ascii="仿宋_GB2312" w:hAnsi="仿宋_GB2312" w:eastAsia="仿宋_GB2312" w:cs="仿宋_GB2312"/>
          <w:color w:val="000000"/>
          <w:spacing w:val="0"/>
          <w:kern w:val="0"/>
          <w:sz w:val="32"/>
          <w:szCs w:val="32"/>
          <w:u w:val="none"/>
          <w:lang w:val="en-US" w:eastAsia="zh-CN"/>
        </w:rPr>
        <w:t>多渠道</w:t>
      </w:r>
      <w:r>
        <w:rPr>
          <w:rFonts w:hint="eastAsia" w:ascii="仿宋_GB2312" w:hAnsi="仿宋_GB2312" w:eastAsia="仿宋_GB2312" w:cs="仿宋_GB2312"/>
          <w:color w:val="000000"/>
          <w:spacing w:val="0"/>
          <w:kern w:val="0"/>
          <w:sz w:val="32"/>
          <w:szCs w:val="32"/>
          <w:u w:val="none"/>
        </w:rPr>
        <w:t>助企稳岗扩岗，统筹抓好高校毕业生、退役军人、农</w:t>
      </w:r>
      <w:r>
        <w:rPr>
          <w:rFonts w:hint="eastAsia" w:ascii="仿宋_GB2312" w:hAnsi="仿宋_GB2312" w:eastAsia="仿宋_GB2312" w:cs="仿宋_GB2312"/>
          <w:color w:val="000000"/>
          <w:spacing w:val="0"/>
          <w:kern w:val="0"/>
          <w:sz w:val="32"/>
          <w:szCs w:val="32"/>
          <w:u w:val="none"/>
          <w:lang w:val="en-US" w:eastAsia="zh-CN"/>
        </w:rPr>
        <w:t>牧</w:t>
      </w:r>
      <w:r>
        <w:rPr>
          <w:rFonts w:hint="eastAsia" w:ascii="仿宋_GB2312" w:hAnsi="仿宋_GB2312" w:eastAsia="仿宋_GB2312" w:cs="仿宋_GB2312"/>
          <w:color w:val="000000"/>
          <w:spacing w:val="0"/>
          <w:kern w:val="0"/>
          <w:sz w:val="32"/>
          <w:szCs w:val="32"/>
          <w:u w:val="none"/>
        </w:rPr>
        <w:t>民工等重点群体就业，新增就业3000人以上</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color w:val="000000"/>
          <w:spacing w:val="0"/>
          <w:kern w:val="0"/>
          <w:sz w:val="32"/>
          <w:szCs w:val="32"/>
          <w:u w:val="none"/>
        </w:rPr>
        <w:t>开展“人人都持证、技能鄂托克”行动，健全以工代赈机制，建设棋盘井零工市场，拓展职业高中社会服务功能，培育新型农牧民、职业技工2000人以上</w:t>
      </w:r>
      <w:r>
        <w:rPr>
          <w:rFonts w:hint="eastAsia" w:ascii="仿宋_GB2312" w:hAnsi="仿宋_GB2312" w:eastAsia="仿宋_GB2312" w:cs="仿宋_GB2312"/>
          <w:color w:val="000000"/>
          <w:spacing w:val="0"/>
          <w:kern w:val="0"/>
          <w:sz w:val="32"/>
          <w:szCs w:val="32"/>
          <w:u w:val="none"/>
          <w:lang w:eastAsia="zh-CN"/>
        </w:rPr>
        <w:t>。</w:t>
      </w:r>
      <w:r>
        <w:rPr>
          <w:rFonts w:hint="eastAsia" w:ascii="仿宋_GB2312" w:hAnsi="仿宋_GB2312" w:eastAsia="仿宋_GB2312" w:cs="仿宋_GB2312"/>
          <w:snapToGrid w:val="0"/>
          <w:color w:val="000000"/>
          <w:spacing w:val="0"/>
          <w:kern w:val="0"/>
          <w:sz w:val="32"/>
          <w:szCs w:val="32"/>
          <w:lang w:val="en-US" w:eastAsia="zh-CN"/>
        </w:rPr>
        <w:t>实施社保扩面提标工程，</w:t>
      </w:r>
      <w:r>
        <w:rPr>
          <w:rFonts w:hint="eastAsia" w:ascii="仿宋_GB2312" w:hAnsi="仿宋_GB2312" w:eastAsia="仿宋_GB2312" w:cs="仿宋_GB2312"/>
          <w:color w:val="000000"/>
          <w:spacing w:val="0"/>
          <w:kern w:val="0"/>
          <w:sz w:val="32"/>
          <w:szCs w:val="32"/>
          <w:u w:val="none"/>
        </w:rPr>
        <w:t>健全城乡社会救助体系，</w:t>
      </w:r>
      <w:r>
        <w:rPr>
          <w:rFonts w:hint="eastAsia" w:ascii="仿宋_GB2312" w:hAnsi="仿宋_GB2312" w:eastAsia="仿宋_GB2312" w:cs="仿宋_GB2312"/>
          <w:color w:val="000000"/>
          <w:spacing w:val="0"/>
          <w:kern w:val="0"/>
          <w:sz w:val="32"/>
          <w:szCs w:val="32"/>
          <w:u w:val="none"/>
          <w:lang w:val="en-US" w:eastAsia="zh-CN"/>
        </w:rPr>
        <w:t>推动</w:t>
      </w:r>
      <w:r>
        <w:rPr>
          <w:rFonts w:hint="eastAsia" w:ascii="仿宋_GB2312" w:hAnsi="仿宋_GB2312" w:eastAsia="仿宋_GB2312" w:cs="仿宋_GB2312"/>
          <w:color w:val="000000"/>
          <w:spacing w:val="0"/>
          <w:kern w:val="0"/>
          <w:sz w:val="32"/>
          <w:szCs w:val="32"/>
          <w:u w:val="none"/>
        </w:rPr>
        <w:t>城乡居民养老保险提级管理，</w:t>
      </w:r>
      <w:r>
        <w:rPr>
          <w:rFonts w:hint="eastAsia" w:ascii="仿宋_GB2312" w:hAnsi="仿宋_GB2312" w:eastAsia="仿宋_GB2312" w:cs="仿宋_GB2312"/>
          <w:color w:val="000000"/>
          <w:spacing w:val="0"/>
          <w:kern w:val="0"/>
          <w:sz w:val="32"/>
          <w:szCs w:val="32"/>
          <w:u w:val="none"/>
          <w:lang w:val="en-US" w:eastAsia="zh-CN"/>
        </w:rPr>
        <w:t>实现社会保险市内“同审统办”，</w:t>
      </w:r>
      <w:r>
        <w:rPr>
          <w:rFonts w:hint="eastAsia" w:ascii="仿宋_GB2312" w:hAnsi="仿宋_GB2312" w:eastAsia="仿宋_GB2312" w:cs="仿宋_GB2312"/>
          <w:color w:val="000000"/>
          <w:spacing w:val="0"/>
          <w:kern w:val="0"/>
          <w:sz w:val="32"/>
          <w:szCs w:val="32"/>
          <w:u w:val="none"/>
        </w:rPr>
        <w:t>全面兜牢困难群众基本生活底线。</w:t>
      </w:r>
    </w:p>
    <w:p>
      <w:pPr>
        <w:widowControl w:val="0"/>
        <w:wordWrap/>
        <w:overflowPunct w:val="0"/>
        <w:adjustRightInd/>
        <w:snapToGrid w:val="0"/>
        <w:spacing w:line="560" w:lineRule="exact"/>
        <w:ind w:firstLine="643" w:firstLineChars="200"/>
        <w:textAlignment w:val="baseline"/>
        <w:rPr>
          <w:rFonts w:hint="default" w:ascii="仿宋_GB2312" w:hAnsi="仿宋_GB2312" w:eastAsia="仿宋_GB2312" w:cs="仿宋_GB2312"/>
          <w:color w:val="000000"/>
          <w:spacing w:val="0"/>
          <w:kern w:val="0"/>
          <w:sz w:val="32"/>
          <w:szCs w:val="32"/>
          <w:u w:val="none"/>
          <w:lang w:val="en-US" w:eastAsia="zh-CN"/>
        </w:rPr>
      </w:pPr>
      <w:r>
        <w:rPr>
          <w:rStyle w:val="4"/>
          <w:rFonts w:hint="eastAsia" w:ascii="仿宋_GB2312" w:hAnsi="仿宋_GB2312" w:eastAsia="仿宋_GB2312" w:cs="仿宋_GB2312"/>
          <w:b/>
          <w:bCs w:val="0"/>
          <w:spacing w:val="0"/>
          <w:kern w:val="0"/>
          <w:sz w:val="32"/>
          <w:lang w:val="en-US" w:eastAsia="zh-CN"/>
        </w:rPr>
        <w:t>推动教育医疗就近可及。</w:t>
      </w:r>
      <w:r>
        <w:rPr>
          <w:rFonts w:hint="eastAsia" w:ascii="仿宋_GB2312" w:hAnsi="仿宋_GB2312" w:eastAsia="仿宋_GB2312" w:cs="仿宋_GB2312"/>
          <w:color w:val="000000"/>
          <w:spacing w:val="0"/>
          <w:kern w:val="0"/>
          <w:sz w:val="32"/>
          <w:szCs w:val="32"/>
          <w:u w:val="none"/>
          <w:lang w:val="en-US" w:eastAsia="zh-CN"/>
        </w:rPr>
        <w:t>坚定教育“2356”奋斗目标，一以贯之抓好抓细教育“十件</w:t>
      </w:r>
      <w:r>
        <w:rPr>
          <w:rFonts w:hint="eastAsia" w:ascii="仿宋_GB2312" w:hAnsi="仿宋_GB2312" w:eastAsia="仿宋_GB2312" w:cs="仿宋_GB2312"/>
          <w:color w:val="000000"/>
          <w:spacing w:val="0"/>
          <w:kern w:val="0"/>
          <w:sz w:val="32"/>
          <w:szCs w:val="32"/>
          <w:highlight w:val="none"/>
          <w:u w:val="none"/>
          <w:lang w:val="en-US" w:eastAsia="zh-CN"/>
        </w:rPr>
        <w:t>事”，扎实完成“三年初见成效”目标。提升基础教育竞争力，加快棋盘井第五小学、蒙古族实验小学综合实践楼等13个项目建设，持续推动教育教学改革，深入实施“十百千”强师工程和“各类人才的早期发现与针对性培养”项目，成立家庭教育指导中心，招聘教育教学人才150名</w:t>
      </w:r>
      <w:r>
        <w:rPr>
          <w:rFonts w:hint="eastAsia" w:ascii="仿宋_GB2312" w:hAnsi="仿宋_GB2312" w:eastAsia="仿宋_GB2312" w:cs="仿宋_GB2312"/>
          <w:color w:val="000000"/>
          <w:spacing w:val="0"/>
          <w:kern w:val="0"/>
          <w:sz w:val="32"/>
          <w:szCs w:val="32"/>
          <w:u w:val="none"/>
          <w:lang w:val="en-US" w:eastAsia="zh-CN"/>
        </w:rPr>
        <w:t>以上；提升高中教育吸引力，深化旗高级中学与清华大学合作力度，探索初高中一体化贯通式培养模式，推动旗高级中学、蒙古族中学建成自治区普通优质高中，用足用好“分招到校”等上级支持政策；提升职业教育辐射力，建立园区实训基地，打造涵盖安全生产培训、技术人员培养、专业人才培育的西部专业技术人才培育高地。实施公立医院能力提升工程，继续推进与周边地区、发达城市建立紧密型医联体，</w:t>
      </w:r>
      <w:r>
        <w:rPr>
          <w:rFonts w:hint="eastAsia" w:ascii="仿宋_GB2312" w:hAnsi="黑体" w:eastAsia="仿宋_GB2312"/>
          <w:spacing w:val="0"/>
          <w:kern w:val="0"/>
          <w:sz w:val="32"/>
          <w:szCs w:val="32"/>
          <w:lang w:val="en-US" w:eastAsia="zh-CN"/>
        </w:rPr>
        <w:t>建设旗人民医院肿瘤中心，启动旗蒙医院扩建工程</w:t>
      </w:r>
      <w:r>
        <w:rPr>
          <w:rFonts w:hint="eastAsia" w:ascii="仿宋_GB2312" w:hAnsi="仿宋_GB2312" w:eastAsia="仿宋_GB2312" w:cs="仿宋_GB2312"/>
          <w:color w:val="000000"/>
          <w:spacing w:val="0"/>
          <w:kern w:val="0"/>
          <w:sz w:val="32"/>
          <w:szCs w:val="32"/>
          <w:u w:val="none"/>
          <w:lang w:val="en-US" w:eastAsia="zh-CN"/>
        </w:rPr>
        <w:t>；打造以旗级医院为支撑、苏木镇中心卫生院为枢纽、嘎查村卫生室为基础的医共体，提升基层医疗服务可得性；深入开展新时代爱国卫生运动，常态化做好鼠疫防控，多渠道落实乡村医生补偿机制，加大国家卫生乡镇创建力度，推进宫颈癌疫苗免费接种提质扩面，加强肝癌、肺癌、“四高”等疾病免费筛查。</w:t>
      </w:r>
    </w:p>
    <w:p>
      <w:pPr>
        <w:widowControl w:val="0"/>
        <w:wordWrap/>
        <w:overflowPunct w:val="0"/>
        <w:adjustRightInd/>
        <w:snapToGrid w:val="0"/>
        <w:spacing w:line="560" w:lineRule="exact"/>
        <w:ind w:firstLine="667" w:firstLineChars="200"/>
        <w:textAlignment w:val="baseline"/>
        <w:rPr>
          <w:rFonts w:hint="default" w:ascii="仿宋_GB2312" w:hAnsi="仿宋_GB2312" w:eastAsia="仿宋_GB2312" w:cs="仿宋_GB2312"/>
          <w:snapToGrid w:val="0"/>
          <w:color w:val="000000"/>
          <w:spacing w:val="6"/>
          <w:kern w:val="0"/>
          <w:sz w:val="32"/>
          <w:szCs w:val="32"/>
          <w:lang w:val="en-US" w:eastAsia="zh-CN"/>
        </w:rPr>
      </w:pPr>
      <w:r>
        <w:rPr>
          <w:rFonts w:hint="eastAsia" w:ascii="仿宋_GB2312" w:hAnsi="仿宋_GB2312" w:eastAsia="仿宋_GB2312" w:cs="仿宋_GB2312"/>
          <w:b/>
          <w:bCs/>
          <w:color w:val="000000"/>
          <w:spacing w:val="6"/>
          <w:kern w:val="0"/>
          <w:sz w:val="32"/>
          <w:szCs w:val="32"/>
          <w:u w:val="none"/>
          <w:lang w:val="en-US" w:eastAsia="zh-CN"/>
        </w:rPr>
        <w:t>推动公共服务便民高效。</w:t>
      </w:r>
      <w:r>
        <w:rPr>
          <w:rFonts w:hint="eastAsia" w:ascii="仿宋_GB2312" w:hAnsi="仿宋_GB2312" w:eastAsia="仿宋_GB2312" w:cs="仿宋_GB2312"/>
          <w:snapToGrid w:val="0"/>
          <w:color w:val="000000"/>
          <w:spacing w:val="6"/>
          <w:kern w:val="0"/>
          <w:sz w:val="32"/>
          <w:szCs w:val="32"/>
          <w:lang w:val="en-US" w:eastAsia="zh-CN"/>
        </w:rPr>
        <w:t>实施全民健身提质工程，统筹推进学校体育、群众体育、竞技体育融合发展，完善工业园区体育场馆建设，广泛开展“一镇一特色”体育下乡活动，让赛事走进群众身边。实施养老育幼服务工程，统筹发展老龄事业和“银发产业”，建成投用综合康养服务中心、老年文化体育活动中心</w:t>
      </w:r>
      <w:r>
        <w:rPr>
          <w:rFonts w:hint="eastAsia" w:ascii="仿宋_GB2312" w:hAnsi="仿宋_GB2312" w:eastAsia="仿宋_GB2312" w:cs="仿宋_GB2312"/>
          <w:color w:val="000000"/>
          <w:spacing w:val="6"/>
          <w:kern w:val="0"/>
          <w:sz w:val="32"/>
          <w:szCs w:val="32"/>
          <w:u w:val="none"/>
          <w:lang w:eastAsia="zh-CN"/>
        </w:rPr>
        <w:t>；</w:t>
      </w:r>
      <w:r>
        <w:rPr>
          <w:rFonts w:hint="eastAsia" w:ascii="仿宋_GB2312" w:hAnsi="仿宋_GB2312" w:eastAsia="仿宋_GB2312" w:cs="仿宋_GB2312"/>
          <w:color w:val="000000"/>
          <w:spacing w:val="6"/>
          <w:kern w:val="0"/>
          <w:sz w:val="32"/>
          <w:szCs w:val="32"/>
          <w:u w:val="none"/>
        </w:rPr>
        <w:t>强化托</w:t>
      </w:r>
      <w:r>
        <w:rPr>
          <w:rFonts w:hint="eastAsia" w:ascii="仿宋_GB2312" w:hAnsi="仿宋_GB2312" w:eastAsia="仿宋_GB2312" w:cs="仿宋_GB2312"/>
          <w:color w:val="000000"/>
          <w:spacing w:val="6"/>
          <w:kern w:val="0"/>
          <w:sz w:val="32"/>
          <w:szCs w:val="32"/>
          <w:u w:val="none"/>
          <w:lang w:val="en-US" w:eastAsia="zh-CN"/>
        </w:rPr>
        <w:t>幼</w:t>
      </w:r>
      <w:r>
        <w:rPr>
          <w:rFonts w:hint="eastAsia" w:ascii="仿宋_GB2312" w:hAnsi="仿宋_GB2312" w:eastAsia="仿宋_GB2312" w:cs="仿宋_GB2312"/>
          <w:snapToGrid w:val="0"/>
          <w:color w:val="000000"/>
          <w:spacing w:val="6"/>
          <w:kern w:val="0"/>
          <w:sz w:val="32"/>
          <w:szCs w:val="32"/>
          <w:lang w:val="en-US" w:eastAsia="zh-CN"/>
        </w:rPr>
        <w:t>服务体系建设，增加公立托幼机构2处、婴幼儿托位300个，实现养老育幼服务便捷优质。实施文化惠民提升工程，</w:t>
      </w:r>
      <w:r>
        <w:rPr>
          <w:rFonts w:hint="eastAsia" w:ascii="仿宋_GB2312" w:hAnsi="仿宋_GB2312" w:eastAsia="仿宋_GB2312" w:cs="仿宋_GB2312"/>
          <w:spacing w:val="6"/>
          <w:kern w:val="0"/>
          <w:sz w:val="32"/>
          <w:szCs w:val="32"/>
          <w:lang w:val="en-US" w:eastAsia="zh-CN"/>
        </w:rPr>
        <w:t>立足“北疆文化”，</w:t>
      </w:r>
      <w:r>
        <w:rPr>
          <w:rFonts w:hint="eastAsia" w:ascii="仿宋_GB2312" w:hAnsi="仿宋_GB2312" w:eastAsia="仿宋_GB2312" w:cs="仿宋_GB2312"/>
          <w:snapToGrid w:val="0"/>
          <w:color w:val="000000"/>
          <w:spacing w:val="6"/>
          <w:kern w:val="0"/>
          <w:sz w:val="32"/>
          <w:szCs w:val="32"/>
          <w:lang w:val="en-US" w:eastAsia="zh-CN"/>
        </w:rPr>
        <w:t>擦亮鄂尔多斯“乃日”品牌，加强乌兰牧骑队伍建设，持续办好“周周有戏看”等公益惠民演出活动，让“群众办、群众演、群众看”成为文化生活新方式。深化全民阅读活动，打造更多群众家门口的城市书房和主题阅读场所，广泛开展“读书周”“读书节”“读书月”系列活动，</w:t>
      </w:r>
      <w:r>
        <w:rPr>
          <w:rFonts w:hint="eastAsia" w:ascii="仿宋_GB2312" w:hAnsi="仿宋_GB2312" w:eastAsia="仿宋_GB2312" w:cs="仿宋_GB2312"/>
          <w:i w:val="0"/>
          <w:iCs w:val="0"/>
          <w:caps w:val="0"/>
          <w:snapToGrid w:val="0"/>
          <w:color w:val="000000"/>
          <w:spacing w:val="6"/>
          <w:kern w:val="0"/>
          <w:sz w:val="32"/>
          <w:szCs w:val="32"/>
          <w:shd w:val="clear" w:color="0A0000" w:fill="auto"/>
        </w:rPr>
        <w:t>形成全民阅读热潮。</w:t>
      </w:r>
    </w:p>
    <w:p>
      <w:pPr>
        <w:widowControl w:val="0"/>
        <w:wordWrap/>
        <w:overflowPunct w:val="0"/>
        <w:adjustRightInd/>
        <w:snapToGrid/>
        <w:spacing w:line="560" w:lineRule="exact"/>
        <w:ind w:firstLine="643" w:firstLineChars="200"/>
        <w:jc w:val="both"/>
        <w:textAlignment w:val="auto"/>
        <w:rPr>
          <w:rFonts w:hint="eastAsia" w:ascii="仿宋_GB2312" w:hAnsi="仿宋_GB2312" w:eastAsia="仿宋_GB2312" w:cs="仿宋_GB2312"/>
          <w:color w:val="000000"/>
          <w:spacing w:val="0"/>
          <w:kern w:val="0"/>
          <w:sz w:val="32"/>
          <w:szCs w:val="32"/>
          <w:u w:val="none"/>
          <w:lang w:val="en-US" w:eastAsia="zh-CN"/>
        </w:rPr>
      </w:pPr>
      <w:r>
        <w:rPr>
          <w:rStyle w:val="4"/>
          <w:rFonts w:hint="eastAsia" w:ascii="楷体_GB2312" w:hAnsi="楷体_GB2312" w:eastAsia="楷体_GB2312" w:cs="楷体_GB2312"/>
          <w:b/>
          <w:bCs w:val="0"/>
          <w:spacing w:val="0"/>
          <w:kern w:val="0"/>
          <w:sz w:val="32"/>
          <w:lang w:val="en-US" w:eastAsia="zh-CN"/>
        </w:rPr>
        <w:t>(八)突出科学精准，更好统筹发展和安全。</w:t>
      </w:r>
      <w:r>
        <w:rPr>
          <w:rFonts w:hint="eastAsia" w:ascii="仿宋_GB2312" w:hAnsi="仿宋_GB2312" w:eastAsia="仿宋_GB2312" w:cs="仿宋_GB2312"/>
          <w:color w:val="000000"/>
          <w:spacing w:val="0"/>
          <w:kern w:val="0"/>
          <w:sz w:val="32"/>
          <w:szCs w:val="32"/>
          <w:u w:val="none"/>
        </w:rPr>
        <w:t>坚持高质量发展和高水平安全良性互动，以高质量发展促进高水平安全，以高水平安全保障高质量发展。</w:t>
      </w:r>
    </w:p>
    <w:p>
      <w:pPr>
        <w:widowControl w:val="0"/>
        <w:wordWrap/>
        <w:overflowPunct w:val="0"/>
        <w:adjustRightInd/>
        <w:snapToGrid w:val="0"/>
        <w:spacing w:line="560" w:lineRule="exact"/>
        <w:ind w:firstLine="643" w:firstLineChars="200"/>
        <w:jc w:val="both"/>
        <w:textAlignment w:val="baseline"/>
        <w:rPr>
          <w:rFonts w:hint="eastAsia" w:ascii="仿宋_GB2312" w:hAnsi="仿宋_GB2312" w:eastAsia="仿宋_GB2312" w:cs="仿宋_GB2312"/>
          <w:color w:val="000000"/>
          <w:spacing w:val="0"/>
          <w:kern w:val="0"/>
          <w:sz w:val="32"/>
          <w:szCs w:val="32"/>
          <w:u w:val="none"/>
          <w:lang w:val="en-US" w:eastAsia="zh-CN"/>
        </w:rPr>
      </w:pPr>
      <w:r>
        <w:rPr>
          <w:rFonts w:hint="eastAsia" w:ascii="仿宋_GB2312" w:hAnsi="仿宋_GB2312" w:eastAsia="仿宋_GB2312" w:cs="仿宋_GB2312"/>
          <w:b/>
          <w:bCs/>
          <w:color w:val="000000"/>
          <w:spacing w:val="0"/>
          <w:kern w:val="0"/>
          <w:sz w:val="32"/>
          <w:szCs w:val="32"/>
          <w:u w:val="none"/>
          <w:lang w:val="en-US" w:eastAsia="zh-CN"/>
        </w:rPr>
        <w:t>盯紧抓牢安全生产。</w:t>
      </w:r>
      <w:r>
        <w:rPr>
          <w:rFonts w:hint="eastAsia" w:ascii="仿宋_GB2312" w:hAnsi="仿宋_GB2312" w:eastAsia="仿宋_GB2312" w:cs="仿宋_GB2312"/>
          <w:color w:val="000000"/>
          <w:spacing w:val="6"/>
          <w:kern w:val="0"/>
          <w:sz w:val="32"/>
          <w:szCs w:val="32"/>
          <w:u w:val="none"/>
          <w:lang w:val="en-US" w:eastAsia="zh-CN"/>
        </w:rPr>
        <w:t>扎实开展安全生产治本攻坚三年行动、基层基础建设年行动，推进安全生产专业化、标准化、智能化建设，开展驻企监管服务，深入排查整治安全隐患，全面压实各方责任，常态化关注老旧小区、高层建筑、租赁房屋、经营性自建房等方面安全薄弱环节，坚决防范遏制安全事故发生。强化应急救援队伍建设和物资配备，</w:t>
      </w:r>
      <w:r>
        <w:rPr>
          <w:rFonts w:hint="eastAsia" w:ascii="仿宋_GB2312" w:hAnsi="仿宋_GB2312" w:eastAsia="仿宋_GB2312" w:cs="仿宋_GB2312"/>
          <w:i w:val="0"/>
          <w:iCs w:val="0"/>
          <w:caps w:val="0"/>
          <w:color w:val="000000"/>
          <w:spacing w:val="6"/>
          <w:kern w:val="0"/>
          <w:sz w:val="32"/>
          <w:szCs w:val="32"/>
          <w:u w:val="none"/>
          <w:shd w:val="clear" w:color="0A0000" w:fill="auto"/>
        </w:rPr>
        <w:t>科学</w:t>
      </w:r>
      <w:r>
        <w:rPr>
          <w:rFonts w:hint="eastAsia" w:ascii="仿宋_GB2312" w:hAnsi="仿宋_GB2312" w:eastAsia="仿宋_GB2312" w:cs="仿宋_GB2312"/>
          <w:i w:val="0"/>
          <w:iCs w:val="0"/>
          <w:caps w:val="0"/>
          <w:color w:val="000000"/>
          <w:spacing w:val="6"/>
          <w:kern w:val="0"/>
          <w:sz w:val="32"/>
          <w:szCs w:val="32"/>
          <w:u w:val="none"/>
          <w:shd w:val="clear" w:color="0A0000" w:fill="auto"/>
          <w:lang w:val="en-US" w:eastAsia="zh-CN"/>
        </w:rPr>
        <w:t>整合</w:t>
      </w:r>
      <w:r>
        <w:rPr>
          <w:rFonts w:hint="eastAsia" w:ascii="仿宋_GB2312" w:hAnsi="仿宋_GB2312" w:eastAsia="仿宋_GB2312" w:cs="仿宋_GB2312"/>
          <w:i w:val="0"/>
          <w:iCs w:val="0"/>
          <w:caps w:val="0"/>
          <w:color w:val="000000"/>
          <w:spacing w:val="6"/>
          <w:kern w:val="0"/>
          <w:sz w:val="32"/>
          <w:szCs w:val="32"/>
          <w:u w:val="none"/>
          <w:shd w:val="clear" w:color="0A0000" w:fill="auto"/>
        </w:rPr>
        <w:t>布局</w:t>
      </w:r>
      <w:r>
        <w:rPr>
          <w:rFonts w:hint="eastAsia" w:ascii="仿宋_GB2312" w:hAnsi="仿宋_GB2312" w:eastAsia="仿宋_GB2312" w:cs="仿宋_GB2312"/>
          <w:i w:val="0"/>
          <w:iCs w:val="0"/>
          <w:caps w:val="0"/>
          <w:color w:val="000000"/>
          <w:spacing w:val="6"/>
          <w:kern w:val="0"/>
          <w:sz w:val="32"/>
          <w:szCs w:val="32"/>
          <w:u w:val="none"/>
          <w:shd w:val="clear" w:color="0A0000" w:fill="auto"/>
          <w:lang w:val="en-US" w:eastAsia="zh-CN"/>
        </w:rPr>
        <w:t>各类</w:t>
      </w:r>
      <w:r>
        <w:rPr>
          <w:rFonts w:hint="eastAsia" w:ascii="仿宋_GB2312" w:hAnsi="仿宋_GB2312" w:eastAsia="仿宋_GB2312" w:cs="仿宋_GB2312"/>
          <w:i w:val="0"/>
          <w:iCs w:val="0"/>
          <w:caps w:val="0"/>
          <w:color w:val="000000"/>
          <w:spacing w:val="6"/>
          <w:kern w:val="0"/>
          <w:sz w:val="32"/>
          <w:szCs w:val="32"/>
          <w:u w:val="none"/>
          <w:shd w:val="clear" w:color="0A0000" w:fill="auto"/>
        </w:rPr>
        <w:t>救援力量</w:t>
      </w:r>
      <w:r>
        <w:rPr>
          <w:rFonts w:hint="eastAsia" w:ascii="仿宋_GB2312" w:hAnsi="仿宋_GB2312" w:eastAsia="仿宋_GB2312" w:cs="仿宋_GB2312"/>
          <w:i w:val="0"/>
          <w:iCs w:val="0"/>
          <w:caps w:val="0"/>
          <w:color w:val="000000"/>
          <w:spacing w:val="6"/>
          <w:kern w:val="0"/>
          <w:sz w:val="32"/>
          <w:szCs w:val="32"/>
          <w:u w:val="none"/>
          <w:shd w:val="clear" w:color="0A0000" w:fill="auto"/>
          <w:lang w:eastAsia="zh-CN"/>
        </w:rPr>
        <w:t>，</w:t>
      </w:r>
      <w:r>
        <w:rPr>
          <w:rFonts w:hint="eastAsia" w:ascii="仿宋_GB2312" w:hAnsi="仿宋_GB2312" w:eastAsia="仿宋_GB2312" w:cs="仿宋_GB2312"/>
          <w:color w:val="000000"/>
          <w:spacing w:val="6"/>
          <w:kern w:val="0"/>
          <w:sz w:val="32"/>
          <w:szCs w:val="32"/>
          <w:u w:val="none"/>
          <w:lang w:val="en-US" w:eastAsia="zh-CN"/>
        </w:rPr>
        <w:t>配置新一代天气雷达等先进设备，提高防灾减灾救灾和突发公共事件处置保障能力。</w:t>
      </w:r>
    </w:p>
    <w:p>
      <w:pPr>
        <w:widowControl w:val="0"/>
        <w:wordWrap/>
        <w:overflowPunct w:val="0"/>
        <w:adjustRightInd/>
        <w:snapToGrid w:val="0"/>
        <w:spacing w:line="560" w:lineRule="exact"/>
        <w:ind w:firstLine="643" w:firstLineChars="200"/>
        <w:textAlignment w:val="baseline"/>
        <w:rPr>
          <w:rFonts w:hint="default" w:ascii="仿宋_GB2312" w:hAnsi="仿宋_GB2312" w:eastAsia="仿宋_GB2312" w:cs="仿宋_GB2312"/>
          <w:color w:val="000000"/>
          <w:spacing w:val="0"/>
          <w:kern w:val="0"/>
          <w:sz w:val="32"/>
          <w:szCs w:val="32"/>
          <w:u w:val="none"/>
          <w:lang w:val="en-US" w:eastAsia="zh-CN"/>
        </w:rPr>
      </w:pPr>
      <w:r>
        <w:rPr>
          <w:rFonts w:hint="eastAsia" w:ascii="仿宋_GB2312" w:hAnsi="仿宋_GB2312" w:eastAsia="仿宋_GB2312" w:cs="仿宋_GB2312"/>
          <w:b/>
          <w:bCs/>
          <w:color w:val="000000"/>
          <w:spacing w:val="0"/>
          <w:kern w:val="0"/>
          <w:sz w:val="32"/>
          <w:szCs w:val="32"/>
          <w:u w:val="none"/>
          <w:lang w:val="en-US" w:eastAsia="zh-CN"/>
        </w:rPr>
        <w:t>全面加强社会治理。</w:t>
      </w:r>
      <w:r>
        <w:rPr>
          <w:rFonts w:hint="eastAsia" w:ascii="仿宋_GB2312" w:hAnsi="仿宋_GB2312" w:eastAsia="仿宋_GB2312" w:cs="仿宋_GB2312"/>
          <w:color w:val="000000"/>
          <w:spacing w:val="0"/>
          <w:kern w:val="0"/>
          <w:sz w:val="32"/>
          <w:szCs w:val="32"/>
          <w:u w:val="none"/>
          <w:lang w:val="en-US" w:eastAsia="zh-CN"/>
        </w:rPr>
        <w:t>推动“枫桥经验”“浦江经验”与信访代办制有机结合，推广</w:t>
      </w:r>
      <w:r>
        <w:rPr>
          <w:rStyle w:val="9"/>
          <w:rFonts w:hint="eastAsia" w:ascii="仿宋_GB2312" w:hAnsi="仿宋_GB2312" w:eastAsia="仿宋_GB2312" w:cs="仿宋_GB2312"/>
          <w:i w:val="0"/>
          <w:iCs w:val="0"/>
          <w:caps w:val="0"/>
          <w:color w:val="000000"/>
          <w:spacing w:val="0"/>
          <w:kern w:val="0"/>
          <w:sz w:val="32"/>
          <w:szCs w:val="32"/>
          <w:u w:val="none"/>
          <w:shd w:val="clear" w:color="0B0000" w:fill="FFFFFF"/>
        </w:rPr>
        <w:t>“三分吸附法”</w:t>
      </w:r>
      <w:r>
        <w:rPr>
          <w:rFonts w:hint="eastAsia" w:ascii="仿宋_GB2312" w:hAnsi="仿宋_GB2312" w:eastAsia="仿宋_GB2312" w:cs="仿宋_GB2312"/>
          <w:i w:val="0"/>
          <w:iCs w:val="0"/>
          <w:caps w:val="0"/>
          <w:color w:val="000000"/>
          <w:spacing w:val="0"/>
          <w:kern w:val="0"/>
          <w:sz w:val="32"/>
          <w:szCs w:val="32"/>
          <w:u w:val="none"/>
          <w:shd w:val="clear" w:color="0A0000" w:fill="auto"/>
          <w:lang w:eastAsia="zh-CN"/>
        </w:rPr>
        <w:t>“</w:t>
      </w:r>
      <w:r>
        <w:rPr>
          <w:rFonts w:hint="eastAsia" w:ascii="仿宋_GB2312" w:hAnsi="仿宋_GB2312" w:eastAsia="仿宋_GB2312" w:cs="仿宋_GB2312"/>
          <w:i w:val="0"/>
          <w:iCs w:val="0"/>
          <w:caps w:val="0"/>
          <w:color w:val="000000"/>
          <w:spacing w:val="0"/>
          <w:kern w:val="0"/>
          <w:sz w:val="32"/>
          <w:szCs w:val="32"/>
          <w:u w:val="none"/>
          <w:shd w:val="clear" w:color="0A0000" w:fill="auto"/>
          <w:lang w:val="en-US" w:eastAsia="zh-CN"/>
        </w:rPr>
        <w:t>多多评</w:t>
      </w:r>
      <w:r>
        <w:rPr>
          <w:rFonts w:hint="eastAsia" w:ascii="仿宋_GB2312" w:hAnsi="仿宋_GB2312" w:eastAsia="仿宋_GB2312" w:cs="仿宋_GB2312"/>
          <w:i w:val="0"/>
          <w:iCs w:val="0"/>
          <w:caps w:val="0"/>
          <w:color w:val="000000"/>
          <w:spacing w:val="0"/>
          <w:kern w:val="0"/>
          <w:sz w:val="32"/>
          <w:szCs w:val="32"/>
          <w:u w:val="none"/>
          <w:shd w:val="clear" w:color="0A0000" w:fill="auto"/>
          <w:lang w:eastAsia="zh-CN"/>
        </w:rPr>
        <w:t>”</w:t>
      </w:r>
      <w:r>
        <w:rPr>
          <w:rFonts w:hint="eastAsia" w:ascii="仿宋_GB2312" w:hAnsi="仿宋_GB2312" w:eastAsia="仿宋_GB2312" w:cs="仿宋_GB2312"/>
          <w:i w:val="0"/>
          <w:iCs w:val="0"/>
          <w:caps w:val="0"/>
          <w:color w:val="000000"/>
          <w:spacing w:val="0"/>
          <w:kern w:val="0"/>
          <w:sz w:val="32"/>
          <w:szCs w:val="32"/>
          <w:u w:val="none"/>
          <w:shd w:val="clear" w:color="0A0000" w:fill="auto"/>
          <w:lang w:val="en-US" w:eastAsia="zh-CN"/>
        </w:rPr>
        <w:t>数字平台等工作模式</w:t>
      </w:r>
      <w:r>
        <w:rPr>
          <w:rFonts w:hint="eastAsia" w:ascii="仿宋_GB2312" w:hAnsi="仿宋_GB2312" w:eastAsia="仿宋_GB2312" w:cs="仿宋_GB2312"/>
          <w:color w:val="000000"/>
          <w:spacing w:val="0"/>
          <w:kern w:val="0"/>
          <w:sz w:val="32"/>
          <w:szCs w:val="32"/>
          <w:u w:val="none"/>
          <w:lang w:val="en-US" w:eastAsia="zh-CN"/>
        </w:rPr>
        <w:t>，扎实做好诉前调解和公益诉讼检察，深化“千里草原安睦隆”矛盾纠纷化解工作法。有序做好第五次全国经济普查。开展食品药品安全专项整治行动，严格落实食品药品监管“四个最严”要求，创建自治区食品安全示范旗。做好国防动员、退役军人服务保障、全国双拥模范城创建等工作。</w:t>
      </w:r>
    </w:p>
    <w:p>
      <w:pPr>
        <w:widowControl w:val="0"/>
        <w:wordWrap/>
        <w:overflowPunct w:val="0"/>
        <w:adjustRightInd/>
        <w:snapToGrid w:val="0"/>
        <w:spacing w:line="540" w:lineRule="exact"/>
        <w:ind w:firstLine="643" w:firstLineChars="200"/>
        <w:textAlignment w:val="baseline"/>
        <w:rPr>
          <w:rFonts w:hint="eastAsia" w:ascii="仿宋_GB2312" w:hAnsi="仿宋_GB2312" w:eastAsia="仿宋_GB2312" w:cs="仿宋_GB2312"/>
          <w:color w:val="000000"/>
          <w:spacing w:val="0"/>
          <w:kern w:val="0"/>
          <w:sz w:val="32"/>
          <w:szCs w:val="32"/>
          <w:u w:val="none"/>
          <w:lang w:val="en-US" w:eastAsia="zh-CN"/>
        </w:rPr>
      </w:pPr>
      <w:r>
        <w:rPr>
          <w:rFonts w:hint="eastAsia" w:ascii="仿宋_GB2312" w:hAnsi="仿宋_GB2312" w:eastAsia="仿宋_GB2312" w:cs="仿宋_GB2312"/>
          <w:b/>
          <w:bCs/>
          <w:color w:val="000000"/>
          <w:spacing w:val="0"/>
          <w:kern w:val="0"/>
          <w:sz w:val="32"/>
          <w:szCs w:val="32"/>
          <w:u w:val="none"/>
          <w:lang w:val="en-US" w:eastAsia="zh-CN"/>
        </w:rPr>
        <w:t>全力维护社会稳定。</w:t>
      </w:r>
      <w:r>
        <w:rPr>
          <w:rFonts w:hint="eastAsia" w:ascii="仿宋_GB2312" w:hAnsi="仿宋_GB2312" w:eastAsia="仿宋_GB2312" w:cs="仿宋_GB2312"/>
          <w:color w:val="000000"/>
          <w:spacing w:val="0"/>
          <w:kern w:val="0"/>
          <w:sz w:val="32"/>
          <w:szCs w:val="32"/>
          <w:u w:val="none"/>
          <w:lang w:val="en-US" w:eastAsia="zh-CN"/>
        </w:rPr>
        <w:t>把维护政治安全放在首要位置，守牢意识形态领域阵地，强化网络数据安全和舆情信息监管。统筹化解政府债务、中小金融机构、房地产等领域风险，开展欠款、欠薪清理行动，坚决守住不发生系统性风险底线。织密社会治安防控网络，推进公安科技信息化建设，常态化开展扫黑除恶斗争，严厉打击电信网络诈骗等违法犯罪行为。</w:t>
      </w:r>
    </w:p>
    <w:p>
      <w:pPr>
        <w:widowControl w:val="0"/>
        <w:wordWrap/>
        <w:overflowPunct w:val="0"/>
        <w:adjustRightInd/>
        <w:snapToGrid w:val="0"/>
        <w:spacing w:line="540" w:lineRule="exact"/>
        <w:ind w:firstLine="640" w:firstLineChars="200"/>
        <w:textAlignment w:val="baseline"/>
        <w:rPr>
          <w:rFonts w:hint="eastAsia" w:ascii="黑体" w:hAnsi="黑体" w:eastAsia="黑体" w:cs="黑体"/>
          <w:i w:val="0"/>
          <w:caps w:val="0"/>
          <w:color w:val="000000"/>
          <w:spacing w:val="0"/>
          <w:kern w:val="0"/>
          <w:sz w:val="32"/>
          <w:szCs w:val="32"/>
          <w:shd w:val="clear" w:color="auto" w:fill="FFFFFF"/>
          <w:lang w:val="en-US" w:eastAsia="zh-CN"/>
        </w:rPr>
      </w:pPr>
      <w:r>
        <w:rPr>
          <w:rFonts w:hint="eastAsia" w:ascii="黑体" w:hAnsi="黑体" w:eastAsia="黑体" w:cs="黑体"/>
          <w:i w:val="0"/>
          <w:caps w:val="0"/>
          <w:color w:val="000000"/>
          <w:spacing w:val="0"/>
          <w:kern w:val="0"/>
          <w:sz w:val="32"/>
          <w:szCs w:val="32"/>
          <w:shd w:val="clear" w:color="auto" w:fill="FFFFFF"/>
          <w:lang w:val="en-US" w:eastAsia="zh-CN"/>
        </w:rPr>
        <w:t>三、持之以恒加强政府自身建设</w:t>
      </w:r>
    </w:p>
    <w:p>
      <w:pPr>
        <w:widowControl w:val="0"/>
        <w:wordWrap/>
        <w:overflowPunct w:val="0"/>
        <w:adjustRightInd/>
        <w:snapToGrid w:val="0"/>
        <w:spacing w:line="540" w:lineRule="exact"/>
        <w:ind w:firstLine="640" w:firstLineChars="200"/>
        <w:textAlignment w:val="baseline"/>
        <w:rPr>
          <w:rFonts w:hint="default" w:ascii="仿宋_GB2312" w:hAnsi="仿宋_GB2312" w:eastAsia="仿宋_GB2312" w:cs="仿宋_GB2312"/>
          <w:color w:val="000000"/>
          <w:spacing w:val="0"/>
          <w:kern w:val="0"/>
          <w:sz w:val="32"/>
          <w:szCs w:val="32"/>
          <w:u w:val="none"/>
          <w:lang w:val="en-US" w:eastAsia="zh-CN"/>
        </w:rPr>
      </w:pPr>
      <w:r>
        <w:rPr>
          <w:rFonts w:hint="eastAsia" w:ascii="仿宋_GB2312" w:hAnsi="仿宋_GB2312" w:eastAsia="仿宋_GB2312" w:cs="仿宋_GB2312"/>
          <w:color w:val="000000"/>
          <w:spacing w:val="0"/>
          <w:kern w:val="0"/>
          <w:sz w:val="32"/>
          <w:szCs w:val="32"/>
          <w:u w:val="none"/>
          <w:lang w:val="en-US" w:eastAsia="zh-CN"/>
        </w:rPr>
        <w:t>民惟邦本，本固邦宁。党的根基在</w:t>
      </w:r>
      <w:r>
        <w:rPr>
          <w:rFonts w:hint="default" w:ascii="仿宋_GB2312" w:hAnsi="仿宋_GB2312" w:eastAsia="仿宋_GB2312" w:cs="仿宋_GB2312"/>
          <w:color w:val="000000"/>
          <w:spacing w:val="0"/>
          <w:kern w:val="0"/>
          <w:sz w:val="32"/>
          <w:szCs w:val="32"/>
          <w:u w:val="none"/>
          <w:lang w:val="en-US" w:eastAsia="zh-CN"/>
        </w:rPr>
        <w:t>人民、血脉在人民、力量在人民</w:t>
      </w:r>
      <w:r>
        <w:rPr>
          <w:rFonts w:hint="eastAsia" w:ascii="仿宋_GB2312" w:hAnsi="仿宋_GB2312" w:eastAsia="仿宋_GB2312" w:cs="仿宋_GB2312"/>
          <w:color w:val="000000"/>
          <w:spacing w:val="0"/>
          <w:kern w:val="0"/>
          <w:sz w:val="32"/>
          <w:szCs w:val="32"/>
          <w:u w:val="none"/>
          <w:lang w:val="en-US" w:eastAsia="zh-CN"/>
        </w:rPr>
        <w:t>，</w:t>
      </w:r>
      <w:r>
        <w:rPr>
          <w:rFonts w:hint="default" w:ascii="仿宋_GB2312" w:hAnsi="仿宋_GB2312" w:eastAsia="仿宋_GB2312" w:cs="仿宋_GB2312"/>
          <w:color w:val="000000"/>
          <w:spacing w:val="0"/>
          <w:kern w:val="0"/>
          <w:sz w:val="32"/>
          <w:szCs w:val="32"/>
          <w:u w:val="none"/>
          <w:lang w:val="en-US" w:eastAsia="zh-CN"/>
        </w:rPr>
        <w:t>人民是党执政兴国的最大底气。</w:t>
      </w:r>
      <w:r>
        <w:rPr>
          <w:rFonts w:hint="eastAsia" w:ascii="仿宋_GB2312" w:hAnsi="仿宋_GB2312" w:eastAsia="仿宋_GB2312" w:cs="仿宋_GB2312"/>
          <w:color w:val="000000"/>
          <w:spacing w:val="0"/>
          <w:kern w:val="0"/>
          <w:sz w:val="32"/>
          <w:szCs w:val="32"/>
          <w:u w:val="none"/>
          <w:lang w:val="en-US" w:eastAsia="zh-CN"/>
        </w:rPr>
        <w:t>我们将始终坚持以人民为中心的发展思想，坚持权为民所用、情为民所系、利为民所谋，</w:t>
      </w:r>
      <w:r>
        <w:rPr>
          <w:rFonts w:hint="eastAsia" w:ascii="仿宋_GB2312" w:hAnsi="仿宋_GB2312" w:eastAsia="仿宋_GB2312" w:cs="仿宋_GB2312"/>
          <w:color w:val="000000"/>
          <w:spacing w:val="0"/>
          <w:kern w:val="0"/>
          <w:sz w:val="32"/>
          <w:szCs w:val="32"/>
          <w:u w:val="none"/>
          <w:lang w:val="en-US" w:eastAsia="zh-CN" w:bidi="ar-SA"/>
        </w:rPr>
        <w:t>不负时代使命，不负人民重托。</w:t>
      </w:r>
    </w:p>
    <w:p>
      <w:pPr>
        <w:pStyle w:val="12"/>
        <w:widowControl w:val="0"/>
        <w:wordWrap/>
        <w:adjustRightInd/>
        <w:spacing w:line="540" w:lineRule="exact"/>
        <w:rPr>
          <w:rFonts w:hint="default"/>
          <w:kern w:val="0"/>
          <w:lang w:val="en-US" w:eastAsia="zh-CN"/>
        </w:rPr>
      </w:pPr>
      <w:r>
        <w:rPr>
          <w:rStyle w:val="4"/>
          <w:rFonts w:hint="eastAsia" w:ascii="楷体_GB2312" w:hAnsi="楷体_GB2312" w:eastAsia="楷体_GB2312" w:cs="楷体_GB2312"/>
          <w:b/>
          <w:bCs w:val="0"/>
          <w:spacing w:val="0"/>
          <w:kern w:val="0"/>
          <w:sz w:val="32"/>
          <w:lang w:val="en-US" w:eastAsia="zh-CN"/>
        </w:rPr>
        <w:t>(一)永葆初心，对标对表与人民同行。</w:t>
      </w:r>
      <w:r>
        <w:rPr>
          <w:rFonts w:hint="eastAsia" w:ascii="仿宋_GB2312" w:hAnsi="仿宋_GB2312" w:eastAsia="仿宋_GB2312" w:cs="仿宋_GB2312"/>
          <w:color w:val="000000"/>
          <w:spacing w:val="0"/>
          <w:kern w:val="0"/>
          <w:sz w:val="32"/>
          <w:szCs w:val="32"/>
          <w:u w:val="none"/>
          <w:lang w:val="en-US" w:eastAsia="zh-CN" w:bidi="ar-SA"/>
        </w:rPr>
        <w:t>我们将坚定不移坚持和加强党对各项事业的全面领导，始终毫不偏移地尊崇核心、紧跟核心，时刻对标对表、校准偏差，自觉把习近平新时代中国特色社会主义思想作为抓工作、干事业、谋发展的制胜法宝，坚持好、运用好贯穿其中的立场、观点、方法，持续深入地把习近平总书记对内蒙古的重要指示精神转化为工作动力和举措，更加深刻领悟“两个确立”的决定性意义，更加坚定自觉地做到“两个维护”。时刻牢记“国之大者”，坚定不移沿着习近平总书记指引的方向办好全旗的事，守好人民的心。</w:t>
      </w:r>
    </w:p>
    <w:p>
      <w:pPr>
        <w:widowControl w:val="0"/>
        <w:wordWrap/>
        <w:overflowPunct w:val="0"/>
        <w:adjustRightInd/>
        <w:snapToGrid w:val="0"/>
        <w:spacing w:line="540" w:lineRule="exact"/>
        <w:ind w:firstLine="643" w:firstLineChars="200"/>
        <w:textAlignment w:val="baseline"/>
        <w:rPr>
          <w:rFonts w:hint="eastAsia" w:ascii="仿宋_GB2312" w:hAnsi="仿宋_GB2312" w:eastAsia="仿宋_GB2312" w:cs="仿宋_GB2312"/>
          <w:color w:val="000000"/>
          <w:spacing w:val="0"/>
          <w:kern w:val="0"/>
          <w:sz w:val="32"/>
          <w:szCs w:val="32"/>
          <w:u w:val="none"/>
          <w:lang w:val="en-US" w:eastAsia="zh-CN"/>
        </w:rPr>
      </w:pPr>
      <w:r>
        <w:rPr>
          <w:rStyle w:val="4"/>
          <w:rFonts w:hint="eastAsia" w:ascii="楷体_GB2312" w:hAnsi="楷体_GB2312" w:eastAsia="楷体_GB2312" w:cs="楷体_GB2312"/>
          <w:b/>
          <w:bCs w:val="0"/>
          <w:spacing w:val="0"/>
          <w:kern w:val="0"/>
          <w:sz w:val="32"/>
          <w:lang w:val="en-US" w:eastAsia="zh-CN"/>
        </w:rPr>
        <w:t>(二)依法行政，秉公用权受人民监督。</w:t>
      </w:r>
      <w:r>
        <w:rPr>
          <w:rFonts w:hint="eastAsia" w:ascii="仿宋_GB2312" w:hAnsi="仿宋_GB2312" w:eastAsia="仿宋_GB2312" w:cs="仿宋_GB2312"/>
          <w:color w:val="000000"/>
          <w:spacing w:val="0"/>
          <w:kern w:val="0"/>
          <w:sz w:val="32"/>
          <w:szCs w:val="32"/>
          <w:u w:val="none"/>
        </w:rPr>
        <w:t>深入贯彻</w:t>
      </w:r>
      <w:r>
        <w:rPr>
          <w:rFonts w:hint="eastAsia" w:ascii="仿宋_GB2312" w:hAnsi="仿宋_GB2312" w:eastAsia="仿宋_GB2312" w:cs="仿宋_GB2312"/>
          <w:color w:val="000000"/>
          <w:spacing w:val="0"/>
          <w:kern w:val="0"/>
          <w:sz w:val="32"/>
          <w:szCs w:val="32"/>
          <w:u w:val="none"/>
          <w:lang w:val="en-US" w:eastAsia="zh-CN"/>
        </w:rPr>
        <w:t>习近平法治思想，始终尊崇宪法、遵守法律、规范行政，推进政府权限、决策程序、责任职责法定化，以法治思维、法治方式深化改革、推</w:t>
      </w:r>
      <w:r>
        <w:rPr>
          <w:rFonts w:hint="eastAsia" w:ascii="仿宋_GB2312" w:hAnsi="仿宋_GB2312" w:eastAsia="仿宋_GB2312" w:cs="仿宋_GB2312"/>
          <w:color w:val="000000"/>
          <w:spacing w:val="1"/>
          <w:kern w:val="21"/>
          <w:sz w:val="32"/>
          <w:szCs w:val="32"/>
          <w:u w:val="none"/>
          <w:lang w:val="en-US" w:eastAsia="zh-CN"/>
        </w:rPr>
        <w:t>动发展，加快创建全区法治政府建设示范旗。深化行政执法改革，健全民主决策机制，优化政群沟通渠道，科学民主依法，文明规范执法。持续完善府院联动机制，主动推进政务公开，认真执行人大及其常委会的决定决议，自觉接受人大法律监督、政协民主监督、社会舆论监督。</w:t>
      </w:r>
    </w:p>
    <w:p>
      <w:pPr>
        <w:widowControl w:val="0"/>
        <w:wordWrap/>
        <w:overflowPunct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color w:val="000000"/>
          <w:spacing w:val="0"/>
          <w:kern w:val="0"/>
          <w:sz w:val="32"/>
          <w:szCs w:val="32"/>
          <w:u w:val="none"/>
          <w:lang w:val="en-US" w:eastAsia="zh-CN"/>
        </w:rPr>
      </w:pPr>
      <w:r>
        <w:rPr>
          <w:rStyle w:val="4"/>
          <w:rFonts w:hint="eastAsia" w:ascii="楷体_GB2312" w:hAnsi="楷体_GB2312" w:eastAsia="楷体_GB2312" w:cs="楷体_GB2312"/>
          <w:b/>
          <w:bCs w:val="0"/>
          <w:spacing w:val="0"/>
          <w:kern w:val="0"/>
          <w:sz w:val="32"/>
          <w:lang w:val="en-US" w:eastAsia="zh-CN"/>
        </w:rPr>
        <w:t>(三)笃行不怠，实干担当为人民服务。</w:t>
      </w:r>
      <w:r>
        <w:rPr>
          <w:rFonts w:hint="eastAsia" w:ascii="仿宋_GB2312" w:hAnsi="仿宋_GB2312" w:eastAsia="仿宋_GB2312" w:cs="仿宋_GB2312"/>
          <w:color w:val="000000"/>
          <w:spacing w:val="0"/>
          <w:kern w:val="0"/>
          <w:sz w:val="32"/>
          <w:szCs w:val="32"/>
          <w:u w:val="none"/>
          <w:lang w:val="en-US" w:eastAsia="zh-CN" w:bidi="ar-SA"/>
        </w:rPr>
        <w:t>为人民谋幸福是我们党矢志不渝的初心和使命。我们要坚决有力贯彻落实自治区党委“六个工程”和市委“三个四”工作任务，</w:t>
      </w:r>
      <w:r>
        <w:rPr>
          <w:rFonts w:hint="eastAsia" w:ascii="仿宋_GB2312" w:hAnsi="仿宋_GB2312" w:eastAsia="仿宋_GB2312" w:cs="仿宋_GB2312"/>
          <w:color w:val="000000"/>
          <w:spacing w:val="0"/>
          <w:kern w:val="0"/>
          <w:sz w:val="32"/>
          <w:szCs w:val="32"/>
          <w:u w:val="none"/>
          <w:lang w:val="en-US" w:eastAsia="zh-CN"/>
        </w:rPr>
        <w:t>紧紧围绕旗委“九个聚焦”工作要求，知难而进、迎难而上，发扬钉钉子精神，一锤接着一锤敲、一张蓝图绘到底，确保旗委、旗</w:t>
      </w:r>
      <w:bookmarkStart w:id="0" w:name="_GoBack"/>
      <w:bookmarkEnd w:id="0"/>
      <w:r>
        <w:rPr>
          <w:rFonts w:hint="eastAsia" w:ascii="仿宋_GB2312" w:hAnsi="仿宋_GB2312" w:eastAsia="仿宋_GB2312" w:cs="仿宋_GB2312"/>
          <w:color w:val="000000"/>
          <w:spacing w:val="0"/>
          <w:kern w:val="0"/>
          <w:sz w:val="32"/>
          <w:szCs w:val="32"/>
          <w:u w:val="none"/>
          <w:lang w:val="en-US" w:eastAsia="zh-CN"/>
        </w:rPr>
        <w:t>政府的各项决策部署一件一件落实到位。要大力弘扬“四下基层”优良传统，主动听取群众意见建议，诚恳接受群众监督批评，始终把群众满意不满意、高兴不高兴、答应不答应作为一切工作的出发点和落脚点，真正做到倾听民声、尊重民意、汇聚民智、顺应民心。</w:t>
      </w:r>
    </w:p>
    <w:p>
      <w:pPr>
        <w:widowControl w:val="0"/>
        <w:wordWrap/>
        <w:overflowPunct w:val="0"/>
        <w:adjustRightInd w:val="0"/>
        <w:snapToGrid w:val="0"/>
        <w:spacing w:beforeAutospacing="0" w:line="560" w:lineRule="exact"/>
        <w:ind w:firstLine="643" w:firstLineChars="200"/>
        <w:jc w:val="both"/>
        <w:textAlignment w:val="auto"/>
        <w:rPr>
          <w:rFonts w:hint="default" w:ascii="仿宋_GB2312" w:hAnsi="仿宋_GB2312" w:eastAsia="仿宋_GB2312" w:cs="仿宋_GB2312"/>
          <w:color w:val="000000"/>
          <w:spacing w:val="6"/>
          <w:kern w:val="0"/>
          <w:sz w:val="32"/>
          <w:szCs w:val="32"/>
          <w:u w:val="none"/>
          <w:lang w:val="en-US" w:eastAsia="zh-CN" w:bidi="ar-SA"/>
        </w:rPr>
      </w:pPr>
      <w:r>
        <w:rPr>
          <w:rStyle w:val="4"/>
          <w:rFonts w:hint="eastAsia" w:ascii="楷体_GB2312" w:hAnsi="楷体_GB2312" w:eastAsia="楷体_GB2312" w:cs="楷体_GB2312"/>
          <w:b/>
          <w:bCs w:val="0"/>
          <w:spacing w:val="0"/>
          <w:kern w:val="0"/>
          <w:sz w:val="32"/>
          <w:lang w:val="en-US" w:eastAsia="zh-CN"/>
        </w:rPr>
        <w:t>(四)廉洁奉公，风清气正让人民放心。</w:t>
      </w:r>
      <w:r>
        <w:rPr>
          <w:rFonts w:hint="eastAsia" w:ascii="仿宋_GB2312" w:hAnsi="仿宋_GB2312" w:eastAsia="仿宋_GB2312" w:cs="仿宋_GB2312"/>
          <w:color w:val="000000"/>
          <w:spacing w:val="6"/>
          <w:kern w:val="0"/>
          <w:sz w:val="32"/>
          <w:szCs w:val="32"/>
          <w:u w:val="none"/>
          <w:lang w:val="en-US" w:eastAsia="zh-CN" w:bidi="ar-SA"/>
        </w:rPr>
        <w:t>牢记打铁还须自身硬。我们要严格履行全面从严治党主体责任，持续加强政府系统党风廉政建设，严格落实中央八项规定及其实施细则，坚持不敢腐、不能腐、不想腐一体推进，让守纪律、讲规矩成为政府系统的行动自觉。让习惯“过紧日子”成为常态，严控一般性支出，兜牢“三保”底线，坚决防范和纠正“新形象工程”，严肃财经纪律，加强审计监督、统计监督、行政监督，把更多资源和财力用于推动发展、改善民生。</w:t>
      </w:r>
    </w:p>
    <w:p>
      <w:pPr>
        <w:widowControl w:val="0"/>
        <w:wordWrap/>
        <w:overflowPunct w:val="0"/>
        <w:adjustRightInd w:val="0"/>
        <w:snapToGrid w:val="0"/>
        <w:spacing w:beforeAutospacing="0" w:line="560" w:lineRule="exact"/>
        <w:ind w:firstLine="643" w:firstLineChars="200"/>
        <w:jc w:val="both"/>
        <w:textAlignment w:val="auto"/>
        <w:rPr>
          <w:rStyle w:val="4"/>
          <w:rFonts w:hint="eastAsia" w:ascii="楷体_GB2312" w:hAnsi="楷体_GB2312" w:eastAsia="楷体_GB2312" w:cs="楷体_GB2312"/>
          <w:b/>
          <w:bCs w:val="0"/>
          <w:color w:val="FF0000"/>
          <w:spacing w:val="0"/>
          <w:kern w:val="0"/>
          <w:sz w:val="32"/>
          <w:lang w:val="en-US" w:eastAsia="zh-CN"/>
        </w:rPr>
      </w:pPr>
      <w:r>
        <w:rPr>
          <w:rStyle w:val="4"/>
          <w:rFonts w:hint="eastAsia" w:ascii="楷体_GB2312" w:hAnsi="楷体_GB2312" w:eastAsia="楷体_GB2312" w:cs="楷体_GB2312"/>
          <w:b/>
          <w:bCs w:val="0"/>
          <w:spacing w:val="0"/>
          <w:kern w:val="0"/>
          <w:sz w:val="32"/>
          <w:lang w:val="en-US" w:eastAsia="zh-CN"/>
        </w:rPr>
        <w:t>(五)紧扣主线，凝心聚力同人民共进。</w:t>
      </w:r>
      <w:r>
        <w:rPr>
          <w:rFonts w:hint="eastAsia" w:ascii="仿宋_GB2312" w:hAnsi="仿宋_GB2312" w:eastAsia="仿宋_GB2312" w:cs="仿宋_GB2312"/>
          <w:color w:val="000000"/>
          <w:spacing w:val="0"/>
          <w:kern w:val="0"/>
          <w:sz w:val="32"/>
          <w:szCs w:val="32"/>
          <w:u w:val="none"/>
          <w:lang w:val="en-US" w:eastAsia="zh-CN"/>
        </w:rPr>
        <w:t>铸牢中华民族共同体意识是新时代党的民族工作的主线，也是民族地区各项工作的主线。我们要深入学习贯彻习近平总书记关于加强和改进民族工作的重要思想，坚定不移地把这条主线贯穿于想问题、做决策、抓落实的全过程，强化主线思维、落实主线要求，深入开展“感党恩、听党话、跟党走”群众教育实践活动，有形有感有效讲好“六句话”的事实和道理，加快创建全国民族团结进步示范旗，努力让“三个离不开”“四个与共”“五个认同”更加深入人心，让“七个作模范”在新时代彰显更大荣光。</w:t>
      </w:r>
    </w:p>
    <w:p>
      <w:pPr>
        <w:widowControl w:val="0"/>
        <w:wordWrap/>
        <w:overflowPunct w:val="0"/>
        <w:adjustRightInd w:val="0"/>
        <w:snapToGrid w:val="0"/>
        <w:spacing w:beforeAutospacing="0" w:line="560" w:lineRule="exact"/>
        <w:ind w:firstLine="640" w:firstLineChars="200"/>
        <w:jc w:val="both"/>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仿宋_GB2312" w:hAnsi="仿宋_GB2312" w:eastAsia="仿宋_GB2312" w:cs="仿宋_GB2312"/>
          <w:color w:val="000000"/>
          <w:spacing w:val="0"/>
          <w:kern w:val="0"/>
          <w:sz w:val="32"/>
          <w:szCs w:val="32"/>
          <w:u w:val="none"/>
        </w:rPr>
        <w:t>各位代表，</w:t>
      </w:r>
      <w:r>
        <w:rPr>
          <w:rFonts w:hint="eastAsia" w:ascii="仿宋_GB2312" w:hAnsi="仿宋_GB2312" w:eastAsia="仿宋_GB2312" w:cs="仿宋_GB2312"/>
          <w:color w:val="000000"/>
          <w:spacing w:val="0"/>
          <w:kern w:val="0"/>
          <w:sz w:val="32"/>
          <w:szCs w:val="32"/>
          <w:u w:val="none"/>
          <w:lang w:val="en-US" w:eastAsia="zh-CN"/>
        </w:rPr>
        <w:t>众力并则万钧举，人心齐则泰山移。</w:t>
      </w:r>
      <w:r>
        <w:rPr>
          <w:rFonts w:hint="eastAsia" w:ascii="仿宋_GB2312" w:hAnsi="仿宋_GB2312" w:eastAsia="仿宋_GB2312" w:cs="仿宋_GB2312"/>
          <w:color w:val="000000"/>
          <w:spacing w:val="0"/>
          <w:kern w:val="0"/>
          <w:sz w:val="32"/>
          <w:szCs w:val="32"/>
          <w:u w:val="none"/>
        </w:rPr>
        <w:t>让我们更加紧密地团结在以习近平同志为核心的党中央周围，在</w:t>
      </w:r>
      <w:r>
        <w:rPr>
          <w:rFonts w:hint="eastAsia" w:ascii="仿宋_GB2312" w:hAnsi="仿宋_GB2312" w:eastAsia="仿宋_GB2312" w:cs="仿宋_GB2312"/>
          <w:color w:val="000000"/>
          <w:spacing w:val="0"/>
          <w:kern w:val="0"/>
          <w:sz w:val="32"/>
          <w:szCs w:val="32"/>
          <w:u w:val="none"/>
          <w:lang w:val="en-US" w:eastAsia="zh-CN"/>
        </w:rPr>
        <w:t>市委、市政府和</w:t>
      </w:r>
      <w:r>
        <w:rPr>
          <w:rFonts w:hint="eastAsia" w:ascii="仿宋_GB2312" w:hAnsi="仿宋_GB2312" w:eastAsia="仿宋_GB2312" w:cs="仿宋_GB2312"/>
          <w:color w:val="000000"/>
          <w:spacing w:val="0"/>
          <w:kern w:val="0"/>
          <w:sz w:val="32"/>
          <w:szCs w:val="32"/>
          <w:u w:val="none"/>
          <w:lang w:eastAsia="zh-CN"/>
        </w:rPr>
        <w:t>旗</w:t>
      </w:r>
      <w:r>
        <w:rPr>
          <w:rFonts w:hint="eastAsia" w:ascii="仿宋_GB2312" w:hAnsi="仿宋_GB2312" w:eastAsia="仿宋_GB2312" w:cs="仿宋_GB2312"/>
          <w:color w:val="000000"/>
          <w:spacing w:val="0"/>
          <w:kern w:val="0"/>
          <w:sz w:val="32"/>
          <w:szCs w:val="32"/>
          <w:u w:val="none"/>
        </w:rPr>
        <w:t>委的坚强领导下，</w:t>
      </w:r>
      <w:r>
        <w:rPr>
          <w:rFonts w:hint="eastAsia" w:ascii="仿宋_GB2312" w:hAnsi="仿宋_GB2312" w:eastAsia="仿宋_GB2312" w:cs="仿宋_GB2312"/>
          <w:color w:val="000000"/>
          <w:spacing w:val="0"/>
          <w:kern w:val="0"/>
          <w:sz w:val="32"/>
          <w:szCs w:val="32"/>
          <w:u w:val="none"/>
          <w:lang w:val="en-US" w:eastAsia="zh-CN"/>
        </w:rPr>
        <w:t>大力弘扬“蒙古马精神”和“三北精神”，牢记嘱托、勇毅前行</w:t>
      </w:r>
      <w:r>
        <w:rPr>
          <w:rFonts w:hint="eastAsia" w:ascii="仿宋_GB2312" w:hAnsi="仿宋_GB2312" w:eastAsia="仿宋_GB2312" w:cs="仿宋_GB2312"/>
          <w:color w:val="000000"/>
          <w:spacing w:val="0"/>
          <w:kern w:val="0"/>
          <w:sz w:val="32"/>
          <w:szCs w:val="32"/>
          <w:u w:val="none"/>
        </w:rPr>
        <w:t>，</w:t>
      </w:r>
      <w:r>
        <w:rPr>
          <w:rFonts w:hint="eastAsia" w:ascii="仿宋_GB2312" w:hAnsi="仿宋_GB2312" w:eastAsia="仿宋_GB2312" w:cs="仿宋_GB2312"/>
          <w:color w:val="000000"/>
          <w:spacing w:val="0"/>
          <w:kern w:val="0"/>
          <w:sz w:val="32"/>
          <w:szCs w:val="32"/>
          <w:u w:val="none"/>
          <w:lang w:val="en-US" w:eastAsia="zh-CN"/>
        </w:rPr>
        <w:t>奋力书写中国式现代化鄂托克新篇章！</w:t>
      </w:r>
    </w:p>
    <w:p>
      <w:pPr>
        <w:pStyle w:val="15"/>
        <w:widowControl w:val="0"/>
        <w:wordWrap/>
        <w:spacing w:line="560" w:lineRule="exact"/>
        <w:rPr>
          <w:rFonts w:hint="eastAsia" w:ascii="仿宋_GB2312" w:hAnsi="仿宋_GB2312" w:eastAsia="仿宋_GB2312" w:cs="仿宋_GB2312"/>
          <w:color w:val="000000"/>
          <w:spacing w:val="0"/>
          <w:kern w:val="0"/>
          <w:sz w:val="32"/>
          <w:szCs w:val="32"/>
          <w:u w:val="none"/>
          <w:lang w:val="en-US" w:eastAsia="zh-CN"/>
        </w:rPr>
      </w:pPr>
    </w:p>
    <w:p>
      <w:pPr>
        <w:pStyle w:val="15"/>
        <w:widowControl w:val="0"/>
        <w:wordWrap/>
        <w:spacing w:line="560" w:lineRule="exact"/>
        <w:rPr>
          <w:rFonts w:hint="eastAsia" w:ascii="仿宋_GB2312" w:hAnsi="仿宋_GB2312" w:eastAsia="仿宋_GB2312" w:cs="仿宋_GB2312"/>
          <w:color w:val="000000"/>
          <w:spacing w:val="0"/>
          <w:kern w:val="0"/>
          <w:sz w:val="32"/>
          <w:szCs w:val="32"/>
          <w:u w:val="none"/>
          <w:lang w:val="en-US" w:eastAsia="zh-CN"/>
        </w:rPr>
      </w:pPr>
    </w:p>
    <w:p>
      <w:pPr>
        <w:pStyle w:val="15"/>
        <w:widowControl w:val="0"/>
        <w:wordWrap/>
        <w:spacing w:line="560" w:lineRule="exact"/>
        <w:rPr>
          <w:rFonts w:hint="eastAsia" w:ascii="仿宋_GB2312" w:hAnsi="仿宋_GB2312" w:eastAsia="仿宋_GB2312" w:cs="仿宋_GB2312"/>
          <w:color w:val="000000"/>
          <w:spacing w:val="0"/>
          <w:kern w:val="0"/>
          <w:sz w:val="32"/>
          <w:szCs w:val="32"/>
          <w:u w:val="none"/>
          <w:lang w:val="en-US" w:eastAsia="zh-CN"/>
        </w:rPr>
      </w:pPr>
    </w:p>
    <w:p>
      <w:pPr>
        <w:widowControl w:val="0"/>
        <w:wordWrap/>
        <w:adjustRightInd/>
        <w:snapToGrid/>
        <w:spacing w:line="560" w:lineRule="exact"/>
        <w:jc w:val="center"/>
        <w:rPr>
          <w:rFonts w:hint="eastAsia" w:ascii="方正小标宋简体" w:hAnsi="方正小标宋简体" w:eastAsia="方正小标宋简体" w:cs="方正小标宋简体"/>
          <w:kern w:val="0"/>
          <w:sz w:val="44"/>
          <w:szCs w:val="44"/>
          <w:lang w:eastAsia="zh-CN"/>
        </w:rPr>
      </w:pPr>
    </w:p>
    <w:p>
      <w:pPr>
        <w:widowControl w:val="0"/>
        <w:wordWrap/>
        <w:adjustRightInd/>
        <w:snapToGrid/>
        <w:spacing w:line="560" w:lineRule="exact"/>
        <w:jc w:val="center"/>
        <w:rPr>
          <w:rFonts w:hint="eastAsia" w:ascii="方正小标宋简体" w:hAnsi="方正小标宋简体" w:eastAsia="方正小标宋简体" w:cs="方正小标宋简体"/>
          <w:kern w:val="0"/>
          <w:sz w:val="44"/>
          <w:szCs w:val="44"/>
          <w:lang w:eastAsia="zh-CN"/>
        </w:rPr>
      </w:pPr>
    </w:p>
    <w:p>
      <w:pPr>
        <w:widowControl w:val="0"/>
        <w:wordWrap/>
        <w:adjustRightInd/>
        <w:snapToGrid/>
        <w:spacing w:line="560" w:lineRule="exact"/>
        <w:jc w:val="center"/>
        <w:rPr>
          <w:rFonts w:hint="eastAsia" w:ascii="方正小标宋简体" w:hAnsi="方正小标宋简体" w:eastAsia="方正小标宋简体" w:cs="方正小标宋简体"/>
          <w:kern w:val="0"/>
          <w:sz w:val="44"/>
          <w:szCs w:val="44"/>
          <w:lang w:eastAsia="zh-CN"/>
        </w:rPr>
      </w:pPr>
    </w:p>
    <w:p>
      <w:pPr>
        <w:widowControl w:val="0"/>
        <w:wordWrap/>
        <w:adjustRightInd/>
        <w:snapToGrid/>
        <w:spacing w:line="560" w:lineRule="exact"/>
        <w:jc w:val="center"/>
        <w:rPr>
          <w:rFonts w:hint="eastAsia" w:ascii="方正小标宋简体" w:hAnsi="方正小标宋简体" w:eastAsia="方正小标宋简体" w:cs="方正小标宋简体"/>
          <w:kern w:val="0"/>
          <w:sz w:val="44"/>
          <w:szCs w:val="44"/>
          <w:lang w:eastAsia="zh-CN"/>
        </w:rPr>
      </w:pPr>
    </w:p>
    <w:p>
      <w:pPr>
        <w:widowControl w:val="0"/>
        <w:wordWrap/>
        <w:adjustRightInd/>
        <w:snapToGrid/>
        <w:spacing w:line="560" w:lineRule="exact"/>
        <w:jc w:val="center"/>
        <w:rPr>
          <w:rFonts w:hint="eastAsia" w:ascii="方正小标宋简体" w:hAnsi="方正小标宋简体" w:eastAsia="方正小标宋简体" w:cs="方正小标宋简体"/>
          <w:kern w:val="0"/>
          <w:sz w:val="44"/>
          <w:szCs w:val="44"/>
          <w:lang w:eastAsia="zh-CN"/>
        </w:rPr>
      </w:pPr>
    </w:p>
    <w:p>
      <w:pPr>
        <w:widowControl w:val="0"/>
        <w:wordWrap/>
        <w:adjustRightInd/>
        <w:snapToGrid/>
        <w:spacing w:line="560" w:lineRule="exact"/>
        <w:jc w:val="center"/>
        <w:rPr>
          <w:rFonts w:hint="eastAsia" w:ascii="方正小标宋简体" w:hAnsi="方正小标宋简体" w:eastAsia="方正小标宋简体" w:cs="方正小标宋简体"/>
          <w:kern w:val="0"/>
          <w:sz w:val="44"/>
          <w:szCs w:val="44"/>
          <w:lang w:eastAsia="zh-CN"/>
        </w:rPr>
      </w:pPr>
    </w:p>
    <w:p>
      <w:pPr>
        <w:widowControl w:val="0"/>
        <w:wordWrap/>
        <w:adjustRightInd/>
        <w:snapToGrid/>
        <w:spacing w:line="56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《政府工作报告》有关名词解释</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1.专精特新“小巨人”企业：</w:t>
      </w:r>
      <w:r>
        <w:rPr>
          <w:rFonts w:hint="eastAsia" w:ascii="仿宋_GB2312" w:hAnsi="仿宋_GB2312" w:eastAsia="仿宋_GB2312" w:cs="仿宋_GB2312"/>
          <w:color w:val="000000"/>
          <w:spacing w:val="0"/>
          <w:kern w:val="0"/>
          <w:sz w:val="32"/>
          <w:szCs w:val="32"/>
          <w:u w:val="none"/>
          <w:lang w:val="en-US" w:eastAsia="zh-CN"/>
        </w:rPr>
        <w:t>指集中于新一代信息技术、高端装备制造、新能源、新材料、生物医药等中高端产业领域的尚处发展早期的小型企业，这些企业普遍具有经营业绩良好、科技含量高、设备工艺先进、管理体系完善、市场竞争力强等特点。</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2.“四办”改革：</w:t>
      </w:r>
      <w:r>
        <w:rPr>
          <w:rFonts w:hint="eastAsia" w:ascii="仿宋_GB2312" w:hAnsi="仿宋_GB2312" w:eastAsia="仿宋_GB2312" w:cs="仿宋_GB2312"/>
          <w:color w:val="000000"/>
          <w:spacing w:val="0"/>
          <w:kern w:val="0"/>
          <w:sz w:val="32"/>
          <w:szCs w:val="32"/>
          <w:u w:val="none"/>
          <w:lang w:val="en-US" w:eastAsia="zh-CN"/>
        </w:rPr>
        <w:t>一网办、掌上办、一次办、帮您办。</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3.三多、三少、三慢：</w:t>
      </w:r>
      <w:r>
        <w:rPr>
          <w:rFonts w:hint="eastAsia" w:ascii="仿宋_GB2312" w:hAnsi="仿宋_GB2312" w:eastAsia="仿宋_GB2312" w:cs="仿宋_GB2312"/>
          <w:color w:val="000000"/>
          <w:spacing w:val="0"/>
          <w:kern w:val="0"/>
          <w:sz w:val="32"/>
          <w:szCs w:val="32"/>
          <w:u w:val="none"/>
          <w:lang w:val="en-US" w:eastAsia="zh-CN"/>
        </w:rPr>
        <w:t>“三多”是会议多、活动多、外出多，“三少”是调研报告少、工作思路少、解决实际问题少，“三慢”是决策慢、行动慢、结果慢。</w:t>
      </w:r>
    </w:p>
    <w:p>
      <w:pPr>
        <w:pStyle w:val="15"/>
        <w:widowControl w:val="0"/>
        <w:wordWrap/>
        <w:adjustRightInd/>
        <w:snapToGrid/>
        <w:spacing w:line="560" w:lineRule="exact"/>
        <w:ind w:left="0" w:leftChars="0" w:firstLine="640" w:firstLineChars="200"/>
        <w:textAlignment w:val="auto"/>
        <w:rPr>
          <w:rFonts w:hint="eastAsia" w:ascii="黑体" w:hAnsi="黑体" w:eastAsia="黑体" w:cs="黑体"/>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4.两件大事：</w:t>
      </w:r>
      <w:r>
        <w:rPr>
          <w:rFonts w:hint="eastAsia" w:ascii="仿宋_GB2312" w:hAnsi="仿宋_GB2312" w:eastAsia="仿宋_GB2312" w:cs="仿宋_GB2312"/>
          <w:color w:val="000000"/>
          <w:kern w:val="0"/>
          <w:sz w:val="32"/>
          <w:szCs w:val="32"/>
          <w:u w:val="none"/>
        </w:rPr>
        <w:t>五大任务和全方位建设“模范自治区”</w:t>
      </w:r>
      <w:r>
        <w:rPr>
          <w:rFonts w:hint="eastAsia" w:ascii="仿宋_GB2312" w:hAnsi="仿宋_GB2312" w:eastAsia="仿宋_GB2312" w:cs="仿宋_GB2312"/>
          <w:color w:val="000000"/>
          <w:kern w:val="0"/>
          <w:sz w:val="32"/>
          <w:szCs w:val="32"/>
          <w:u w:val="none"/>
          <w:lang w:eastAsia="zh-CN"/>
        </w:rPr>
        <w:t>。</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5.“三个四”工作任务：</w:t>
      </w:r>
      <w:r>
        <w:rPr>
          <w:rFonts w:hint="eastAsia" w:ascii="仿宋_GB2312" w:hAnsi="仿宋_GB2312" w:eastAsia="仿宋_GB2312" w:cs="仿宋_GB2312"/>
          <w:color w:val="000000"/>
          <w:spacing w:val="0"/>
          <w:kern w:val="0"/>
          <w:sz w:val="32"/>
          <w:szCs w:val="32"/>
          <w:u w:val="none"/>
          <w:lang w:val="en-US" w:eastAsia="zh-CN"/>
        </w:rPr>
        <w:t>构筑能源、现代煤化工、新能源装备制造、羊绒四个世界级产业，建设生态治理、文明城市、共同富裕、市域社会治理四个国家典范，打造创新生态、营商环境、城市形象、干部队伍四个全国一流。</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6.</w:t>
      </w:r>
      <w:r>
        <w:rPr>
          <w:rFonts w:hint="eastAsia" w:ascii="黑体" w:hAnsi="黑体" w:eastAsia="黑体" w:cs="黑体"/>
          <w:color w:val="000000"/>
          <w:spacing w:val="-3"/>
          <w:kern w:val="0"/>
          <w:sz w:val="32"/>
          <w:szCs w:val="32"/>
          <w:u w:val="none"/>
          <w:lang w:val="en-US" w:eastAsia="zh-CN"/>
        </w:rPr>
        <w:t>四个就近：</w:t>
      </w:r>
      <w:r>
        <w:rPr>
          <w:rFonts w:hint="eastAsia" w:ascii="仿宋_GB2312" w:hAnsi="仿宋_GB2312" w:eastAsia="仿宋_GB2312" w:cs="仿宋_GB2312"/>
          <w:color w:val="000000"/>
          <w:spacing w:val="-3"/>
          <w:kern w:val="0"/>
          <w:sz w:val="32"/>
          <w:szCs w:val="32"/>
          <w:u w:val="none"/>
          <w:lang w:val="en-US" w:eastAsia="zh-CN"/>
        </w:rPr>
        <w:t>市委五届七次全会暨全市经济工作会议上提出，</w:t>
      </w:r>
      <w:r>
        <w:rPr>
          <w:rFonts w:hint="eastAsia" w:ascii="仿宋_GB2312" w:hAnsi="仿宋_GB2312" w:eastAsia="仿宋_GB2312" w:cs="仿宋_GB2312"/>
          <w:color w:val="000000"/>
          <w:spacing w:val="0"/>
          <w:kern w:val="0"/>
          <w:sz w:val="32"/>
          <w:szCs w:val="32"/>
          <w:u w:val="none"/>
          <w:lang w:val="en-US" w:eastAsia="zh-CN"/>
        </w:rPr>
        <w:t>力争利用三年时间，实现“一刻钟”就近托育、就近上学、就近养老、就近文体。</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7.</w:t>
      </w:r>
      <w:r>
        <w:rPr>
          <w:rFonts w:hint="eastAsia" w:ascii="黑体" w:hAnsi="黑体" w:eastAsia="黑体" w:cs="黑体"/>
          <w:color w:val="000000"/>
          <w:spacing w:val="-3"/>
          <w:kern w:val="0"/>
          <w:sz w:val="32"/>
          <w:szCs w:val="32"/>
          <w:u w:val="none"/>
          <w:lang w:val="en-US" w:eastAsia="zh-CN"/>
        </w:rPr>
        <w:t>四个提升：</w:t>
      </w:r>
      <w:r>
        <w:rPr>
          <w:rFonts w:hint="eastAsia" w:ascii="仿宋_GB2312" w:hAnsi="仿宋_GB2312" w:eastAsia="仿宋_GB2312" w:cs="仿宋_GB2312"/>
          <w:color w:val="000000"/>
          <w:spacing w:val="-3"/>
          <w:kern w:val="0"/>
          <w:sz w:val="32"/>
          <w:szCs w:val="32"/>
          <w:u w:val="none"/>
          <w:lang w:val="en-US" w:eastAsia="zh-CN"/>
        </w:rPr>
        <w:t>市委五届七次全会暨全市经济工作会议上提出，</w:t>
      </w:r>
      <w:r>
        <w:rPr>
          <w:rFonts w:hint="eastAsia" w:ascii="仿宋_GB2312" w:hAnsi="仿宋_GB2312" w:eastAsia="仿宋_GB2312" w:cs="仿宋_GB2312"/>
          <w:color w:val="000000"/>
          <w:spacing w:val="0"/>
          <w:kern w:val="0"/>
          <w:sz w:val="32"/>
          <w:szCs w:val="32"/>
          <w:u w:val="none"/>
          <w:lang w:val="en-US" w:eastAsia="zh-CN"/>
        </w:rPr>
        <w:t>全面提升就业、教育、医疗、住房保障水平。</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8.“四高”筛查：</w:t>
      </w:r>
      <w:r>
        <w:rPr>
          <w:rFonts w:hint="eastAsia" w:ascii="仿宋_GB2312" w:hAnsi="仿宋_GB2312" w:eastAsia="仿宋_GB2312" w:cs="仿宋_GB2312"/>
          <w:color w:val="000000"/>
          <w:spacing w:val="0"/>
          <w:kern w:val="0"/>
          <w:sz w:val="32"/>
          <w:szCs w:val="32"/>
          <w:u w:val="none"/>
          <w:lang w:val="en-US" w:eastAsia="zh-CN"/>
        </w:rPr>
        <w:t>高血压、高血糖、高血脂、高尿酸筛查。</w:t>
      </w:r>
    </w:p>
    <w:p>
      <w:pPr>
        <w:pStyle w:val="15"/>
        <w:widowControl w:val="0"/>
        <w:wordWrap/>
        <w:adjustRightInd/>
        <w:snapToGrid/>
        <w:spacing w:line="560" w:lineRule="exact"/>
        <w:ind w:left="0" w:leftChars="0" w:firstLine="640" w:firstLineChars="200"/>
        <w:textAlignment w:val="auto"/>
        <w:rPr>
          <w:rFonts w:hint="default"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9.三分吸附法：</w:t>
      </w:r>
      <w:r>
        <w:rPr>
          <w:rFonts w:hint="eastAsia" w:ascii="仿宋_GB2312" w:hAnsi="仿宋_GB2312" w:eastAsia="仿宋_GB2312" w:cs="仿宋_GB2312"/>
          <w:color w:val="000000"/>
          <w:spacing w:val="0"/>
          <w:kern w:val="0"/>
          <w:sz w:val="32"/>
          <w:szCs w:val="32"/>
          <w:u w:val="none"/>
          <w:lang w:val="en-US" w:eastAsia="zh-CN"/>
        </w:rPr>
        <w:t>指小矛盾即知即调、复杂事项分流分调、疑难案件联管联调，基本实现群众不上行、问题不出旗、矛盾不上交，信访群众吸附在当地、矛盾纠纷化解在当地。</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10.六个工程：</w:t>
      </w:r>
      <w:r>
        <w:rPr>
          <w:rFonts w:hint="eastAsia" w:ascii="仿宋_GB2312" w:hAnsi="仿宋_GB2312" w:eastAsia="仿宋_GB2312" w:cs="仿宋_GB2312"/>
          <w:color w:val="000000"/>
          <w:spacing w:val="0"/>
          <w:kern w:val="0"/>
          <w:sz w:val="32"/>
          <w:szCs w:val="32"/>
          <w:u w:val="none"/>
          <w:lang w:val="en-US" w:eastAsia="zh-CN"/>
        </w:rPr>
        <w:t>自治区党委十一届七次全会暨全区经济工作会议上提出的重点任务，即政策落地工程、防沙治沙和风电光伏一体化工程、温暖工程、诚信建设工程、科技“突围”工程、自贸区创建工程。</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11.三保：</w:t>
      </w:r>
      <w:r>
        <w:rPr>
          <w:rFonts w:hint="eastAsia" w:ascii="仿宋_GB2312" w:hAnsi="仿宋_GB2312" w:eastAsia="仿宋_GB2312" w:cs="仿宋_GB2312"/>
          <w:color w:val="000000"/>
          <w:spacing w:val="0"/>
          <w:kern w:val="0"/>
          <w:sz w:val="32"/>
          <w:szCs w:val="32"/>
          <w:u w:val="none"/>
          <w:lang w:val="en-US" w:eastAsia="zh-CN"/>
        </w:rPr>
        <w:t>保基本民生、保工资、保运转支出。</w:t>
      </w:r>
    </w:p>
    <w:p>
      <w:pPr>
        <w:pStyle w:val="15"/>
        <w:widowControl w:val="0"/>
        <w:wordWrap/>
        <w:adjustRightInd/>
        <w:snapToGrid/>
        <w:spacing w:line="560" w:lineRule="exact"/>
        <w:ind w:left="0" w:leftChars="0" w:firstLine="640" w:firstLineChars="200"/>
        <w:textAlignment w:val="auto"/>
        <w:rPr>
          <w:rFonts w:hint="default"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12.“六句话”的事实和道理：</w:t>
      </w:r>
      <w:r>
        <w:rPr>
          <w:rFonts w:hint="eastAsia" w:ascii="仿宋_GB2312" w:hAnsi="仿宋_GB2312" w:eastAsia="仿宋_GB2312" w:cs="仿宋_GB2312"/>
          <w:color w:val="000000"/>
          <w:spacing w:val="0"/>
          <w:kern w:val="0"/>
          <w:sz w:val="32"/>
          <w:szCs w:val="32"/>
          <w:u w:val="none"/>
          <w:lang w:val="en-US" w:eastAsia="zh-CN"/>
        </w:rPr>
        <w:t>内蒙古地区是中国共产党最早建立党组织的民族地区，内蒙古自治区是在中共中央直接领导下建立的，内蒙古是在党中央的支持下发展起来的，内蒙古工作中出现的重大偏差都是党中央帮助纠正的，内蒙古新时代的发展成就是在习近平总书记亲切关怀和指引下取得的，内蒙古作为模范自治区模范就模范在听党的话上。</w:t>
      </w:r>
    </w:p>
    <w:p>
      <w:pPr>
        <w:pStyle w:val="15"/>
        <w:widowControl w:val="0"/>
        <w:wordWrap/>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kern w:val="0"/>
          <w:sz w:val="32"/>
          <w:szCs w:val="32"/>
          <w:u w:val="none"/>
          <w:lang w:val="en-US" w:eastAsia="zh-CN"/>
        </w:rPr>
      </w:pPr>
      <w:r>
        <w:rPr>
          <w:rFonts w:hint="eastAsia" w:ascii="黑体" w:hAnsi="黑体" w:eastAsia="黑体" w:cs="黑体"/>
          <w:color w:val="000000"/>
          <w:spacing w:val="0"/>
          <w:kern w:val="0"/>
          <w:sz w:val="32"/>
          <w:szCs w:val="32"/>
          <w:u w:val="none"/>
          <w:lang w:val="en-US" w:eastAsia="zh-CN"/>
        </w:rPr>
        <w:t>13.七个作模范：</w:t>
      </w:r>
      <w:r>
        <w:rPr>
          <w:rFonts w:hint="eastAsia" w:ascii="仿宋_GB2312" w:hAnsi="仿宋_GB2312" w:eastAsia="仿宋_GB2312" w:cs="仿宋_GB2312"/>
          <w:color w:val="000000"/>
          <w:spacing w:val="0"/>
          <w:kern w:val="0"/>
          <w:sz w:val="32"/>
          <w:szCs w:val="32"/>
          <w:u w:val="none"/>
          <w:lang w:val="en-US" w:eastAsia="zh-CN"/>
        </w:rPr>
        <w:t>自治区党委十一届六次全会审议通过的《关于全方位建设模范自治区的决定》主要内容，包括在感党恩听党话、紧跟习近平总书记奋进新征程上作模范，在铸牢中华民族共</w:t>
      </w:r>
      <w:r>
        <w:rPr>
          <w:rFonts w:hint="eastAsia" w:ascii="仿宋_GB2312" w:hAnsi="仿宋_GB2312" w:eastAsia="仿宋_GB2312" w:cs="仿宋_GB2312"/>
          <w:color w:val="000000"/>
          <w:spacing w:val="-3"/>
          <w:kern w:val="21"/>
          <w:sz w:val="32"/>
          <w:szCs w:val="32"/>
          <w:u w:val="none"/>
          <w:lang w:val="en-US" w:eastAsia="zh-CN"/>
        </w:rPr>
        <w:t>同体意识上作模范，在民族地区推进中国式现代化建设中作模范，</w:t>
      </w:r>
      <w:r>
        <w:rPr>
          <w:rFonts w:hint="eastAsia" w:ascii="仿宋_GB2312" w:hAnsi="仿宋_GB2312" w:eastAsia="仿宋_GB2312" w:cs="仿宋_GB2312"/>
          <w:color w:val="000000"/>
          <w:spacing w:val="0"/>
          <w:kern w:val="0"/>
          <w:sz w:val="32"/>
          <w:szCs w:val="32"/>
          <w:u w:val="none"/>
          <w:lang w:val="en-US" w:eastAsia="zh-CN"/>
        </w:rPr>
        <w:t>在边疆民族地区走向共同富裕的道路上作模范，在兴边稳边固边上作模范，在边疆地区联通国内国际双循环上作模范，在弘扬新风正气上作模范。</w:t>
      </w:r>
    </w:p>
    <w:sectPr>
      <w:footerReference r:id="rId4" w:type="default"/>
      <w:pgSz w:w="11906" w:h="16838"/>
      <w:pgMar w:top="2098" w:right="1531" w:bottom="1984" w:left="1531" w:header="851" w:footer="992" w:gutter="0"/>
      <w:pgNumType w:fmt="decimal"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Times New Roman"/>
        <w:kern w:val="2"/>
        <w:sz w:val="18"/>
        <w:szCs w:val="24"/>
        <w:lang w:val="en-US" w:eastAsia="zh-CN" w:bidi="ar-SA"/>
      </w:rPr>
      <w:pict>
        <v:rect id="文本框 1" o:spid="_x0000_s1025" style="position:absolute;left:0;margin-top:-30.45pt;height:22.95pt;width:76.55pt;mso-position-horizontal:outside;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6"/>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4"/>
    <w:basedOn w:val="1"/>
    <w:next w:val="1"/>
    <w:link w:val="4"/>
    <w:pPr>
      <w:keepNext/>
      <w:keepLines/>
      <w:spacing w:beforeAutospacing="0" w:afterAutospacing="0" w:line="560" w:lineRule="exact"/>
      <w:outlineLvl w:val="3"/>
    </w:pPr>
    <w:rPr>
      <w:rFonts w:ascii="Arial" w:hAnsi="Arial" w:eastAsia="仿宋_GB2312"/>
      <w:b/>
      <w:sz w:val="32"/>
    </w:rPr>
  </w:style>
  <w:style w:type="character" w:default="1" w:styleId="9">
    <w:name w:val="Default Paragraph Font"/>
  </w:style>
  <w:style w:type="character" w:customStyle="1" w:styleId="4">
    <w:name w:val="标题 4 Char"/>
    <w:link w:val="3"/>
    <w:semiHidden/>
    <w:rPr>
      <w:rFonts w:ascii="Arial" w:hAnsi="Arial" w:eastAsia="仿宋_GB2312"/>
      <w:b/>
      <w:sz w:val="32"/>
    </w:rPr>
  </w:style>
  <w:style w:type="paragraph" w:styleId="5">
    <w:name w:val="Body Text"/>
    <w:basedOn w:val="1"/>
    <w:next w:val="6"/>
    <w:pPr>
      <w:ind w:left="106"/>
    </w:pPr>
    <w:rPr>
      <w:rFonts w:ascii="仿宋_GB2312" w:hAnsi="仿宋_GB2312" w:eastAsia="仿宋_GB2312" w:cs="仿宋_GB2312"/>
      <w:sz w:val="34"/>
      <w:szCs w:val="34"/>
      <w:lang w:val="zh-CN" w:eastAsia="zh-CN" w:bidi="zh-CN"/>
    </w:rPr>
  </w:style>
  <w:style w:type="paragraph" w:styleId="6">
    <w:name w:val="footer"/>
    <w:basedOn w:val="1"/>
    <w:pPr>
      <w:tabs>
        <w:tab w:val="center" w:pos="4153"/>
        <w:tab w:val="right" w:pos="8306"/>
      </w:tabs>
      <w:snapToGrid w:val="0"/>
      <w:jc w:val="left"/>
    </w:pPr>
    <w:rPr>
      <w:sz w:val="18"/>
    </w:rPr>
  </w:style>
  <w:style w:type="paragraph" w:styleId="7">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6"/>
    <w:next w:val="1"/>
    <w:pPr>
      <w:wordWrap w:val="0"/>
      <w:ind w:left="1700"/>
      <w:jc w:val="both"/>
    </w:pPr>
    <w:rPr>
      <w:rFonts w:ascii="Times New Roman" w:hAnsi="Times New Roman" w:eastAsia="宋体" w:cs="Times New Roman"/>
      <w:sz w:val="21"/>
      <w:lang w:val="en-US" w:eastAsia="zh-CN" w:bidi="ar-SA"/>
    </w:rPr>
  </w:style>
  <w:style w:type="character" w:styleId="10">
    <w:name w:val="Strong"/>
    <w:basedOn w:val="9"/>
    <w:rPr>
      <w:b/>
    </w:rPr>
  </w:style>
  <w:style w:type="character" w:styleId="11">
    <w:name w:val="Emphasis"/>
    <w:basedOn w:val="9"/>
    <w:rPr>
      <w:i/>
    </w:rPr>
  </w:style>
  <w:style w:type="paragraph" w:customStyle="1" w:styleId="12">
    <w:name w:val="Normal Indent"/>
    <w:basedOn w:val="1"/>
    <w:next w:val="1"/>
    <w:pPr>
      <w:ind w:firstLine="420" w:firstLineChars="200"/>
    </w:pPr>
    <w:rPr>
      <w:rFonts w:ascii="Calibri" w:hAnsi="Calibri" w:eastAsia="宋体" w:cs="Times New Roman"/>
      <w:szCs w:val="22"/>
    </w:rPr>
  </w:style>
  <w:style w:type="paragraph" w:customStyle="1" w:styleId="13">
    <w:name w:val="Body Text Indent"/>
    <w:basedOn w:val="1"/>
    <w:next w:val="8"/>
    <w:pPr>
      <w:spacing w:after="120"/>
      <w:ind w:left="420" w:leftChars="200"/>
    </w:pPr>
  </w:style>
  <w:style w:type="paragraph" w:customStyle="1" w:styleId="14">
    <w:name w:val="Body Text 2"/>
    <w:basedOn w:val="1"/>
    <w:pPr>
      <w:spacing w:line="480" w:lineRule="auto"/>
    </w:pPr>
  </w:style>
  <w:style w:type="paragraph" w:customStyle="1" w:styleId="15">
    <w:name w:val="Body Text First Indent 2"/>
    <w:basedOn w:val="13"/>
    <w:pPr>
      <w:spacing w:after="0" w:line="600" w:lineRule="exact"/>
      <w:ind w:left="0" w:leftChars="0" w:firstLine="420"/>
    </w:pPr>
    <w:rPr>
      <w:rFonts w:eastAsia="仿宋"/>
      <w:sz w:val="24"/>
      <w:szCs w:val="20"/>
    </w:rPr>
  </w:style>
  <w:style w:type="paragraph" w:customStyle="1" w:styleId="16">
    <w:name w:val="BodyText1I2"/>
    <w:basedOn w:val="17"/>
    <w:next w:val="1"/>
    <w:pPr>
      <w:suppressAutoHyphens/>
      <w:spacing w:after="120"/>
      <w:ind w:left="420" w:leftChars="200" w:firstLine="420"/>
      <w:jc w:val="both"/>
      <w:textAlignment w:val="baseline"/>
    </w:pPr>
  </w:style>
  <w:style w:type="paragraph" w:customStyle="1" w:styleId="17">
    <w:name w:val="BodyTextIndent"/>
    <w:basedOn w:val="1"/>
    <w:next w:val="18"/>
    <w:pPr>
      <w:suppressAutoHyphens/>
      <w:spacing w:after="120"/>
      <w:ind w:left="420" w:leftChars="200"/>
      <w:jc w:val="both"/>
      <w:textAlignment w:val="baseline"/>
    </w:pPr>
  </w:style>
  <w:style w:type="paragraph" w:customStyle="1" w:styleId="18">
    <w:name w:val="NormalIndent"/>
    <w:basedOn w:val="1"/>
    <w:next w:val="1"/>
    <w:pPr>
      <w:ind w:firstLine="420" w:firstLineChars="200"/>
    </w:pPr>
    <w:rPr>
      <w:rFonts w:ascii="Calibri" w:hAnsi="Calibri" w:eastAsia="仿宋"/>
      <w:sz w:val="32"/>
    </w:rPr>
  </w:style>
  <w:style w:type="paragraph" w:customStyle="1" w:styleId="19">
    <w:name w:val="Body Text Indent1"/>
    <w:next w:val="8"/>
    <w:pPr>
      <w:widowControl w:val="0"/>
      <w:ind w:left="200" w:leftChars="200"/>
      <w:jc w:val="both"/>
    </w:pPr>
    <w:rPr>
      <w:rFonts w:ascii="Calibri" w:hAnsi="Calibri" w:eastAsia="宋体" w:cs="Times New Roman"/>
      <w:kern w:val="2"/>
      <w:sz w:val="21"/>
      <w:szCs w:val="22"/>
      <w:lang w:val="en-US" w:eastAsia="zh-CN" w:bidi="ar-SA"/>
    </w:rPr>
  </w:style>
  <w:style w:type="character" w:customStyle="1" w:styleId="20">
    <w:name w:val="NormalCharacte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10663</Words>
  <Characters>10935</Characters>
  <Lines>0</Lines>
  <Paragraphs>42</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2023-01-17T23:14:00Z</dcterms:created>
  <dc:creator>zk</dc:creator>
  <cp:lastPrinted>2024-01-25T23:56:00Z</cp:lastPrinted>
  <dcterms:modified xsi:type="dcterms:W3CDTF">2024-02-20T16:07:03Z</dcterms:modified>
  <dc:title>刘佳航</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76815BA0FA4A41DCB9DA2CBDD78A497A_13</vt:lpwstr>
  </property>
</Properties>
</file>